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jc w:val="left"/>
        <w:rPr>
          <w:rFonts w:ascii="黑体" w:eastAsia="黑体"/>
          <w:sz w:val="30"/>
          <w:szCs w:val="30"/>
        </w:rPr>
      </w:pPr>
      <w:r>
        <w:rPr>
          <w:rFonts w:hint="eastAsia" w:ascii="黑体" w:eastAsia="黑体"/>
          <w:sz w:val="30"/>
          <w:szCs w:val="30"/>
        </w:rPr>
        <w:t>附件4</w:t>
      </w:r>
    </w:p>
    <w:p>
      <w:pPr>
        <w:autoSpaceDE w:val="0"/>
        <w:autoSpaceDN w:val="0"/>
        <w:jc w:val="center"/>
        <w:rPr>
          <w:rFonts w:ascii="黑体" w:eastAsia="黑体"/>
          <w:sz w:val="30"/>
          <w:szCs w:val="30"/>
        </w:rPr>
      </w:pPr>
      <w:r>
        <w:rPr>
          <w:rFonts w:hint="eastAsia" w:ascii="黑体" w:eastAsia="黑体"/>
          <w:sz w:val="30"/>
          <w:szCs w:val="30"/>
        </w:rPr>
        <w:t>浙江嵊州农村商业银行股份有限公司丰收信福20220</w:t>
      </w:r>
      <w:r>
        <w:rPr>
          <w:rFonts w:hint="eastAsia" w:ascii="黑体" w:eastAsia="黑体"/>
          <w:sz w:val="30"/>
          <w:szCs w:val="30"/>
          <w:lang w:val="en-US" w:eastAsia="zh-CN"/>
        </w:rPr>
        <w:t>6</w:t>
      </w:r>
      <w:r>
        <w:rPr>
          <w:rFonts w:hint="eastAsia" w:ascii="黑体" w:eastAsia="黑体"/>
          <w:sz w:val="30"/>
          <w:szCs w:val="30"/>
        </w:rPr>
        <w:t>期</w:t>
      </w:r>
    </w:p>
    <w:p>
      <w:pPr>
        <w:autoSpaceDE w:val="0"/>
        <w:autoSpaceDN w:val="0"/>
        <w:jc w:val="center"/>
        <w:rPr>
          <w:rFonts w:ascii="黑体" w:eastAsia="黑体"/>
          <w:sz w:val="30"/>
          <w:szCs w:val="30"/>
        </w:rPr>
      </w:pPr>
      <w:r>
        <w:rPr>
          <w:rFonts w:hint="eastAsia" w:ascii="黑体" w:eastAsia="黑体"/>
          <w:sz w:val="30"/>
          <w:szCs w:val="30"/>
        </w:rPr>
        <w:t>封闭式净值型理财产品风险揭示书</w:t>
      </w:r>
    </w:p>
    <w:p>
      <w:pPr>
        <w:autoSpaceDE w:val="0"/>
        <w:autoSpaceDN w:val="0"/>
        <w:jc w:val="center"/>
        <w:rPr>
          <w:rFonts w:ascii="黑体" w:eastAsia="黑体"/>
          <w:sz w:val="24"/>
          <w:szCs w:val="24"/>
        </w:rPr>
      </w:pPr>
      <w:r>
        <w:rPr>
          <w:rFonts w:hint="eastAsia" w:ascii="黑体" w:eastAsia="黑体"/>
          <w:sz w:val="24"/>
          <w:szCs w:val="24"/>
        </w:rPr>
        <w:t>理财非存款、产品有风险、投资须谨慎</w:t>
      </w:r>
    </w:p>
    <w:p>
      <w:pPr>
        <w:autoSpaceDE w:val="0"/>
        <w:autoSpaceDN w:val="0"/>
        <w:ind w:firstLine="422" w:firstLineChars="200"/>
        <w:jc w:val="left"/>
        <w:rPr>
          <w:rFonts w:ascii="仿宋_GB2312" w:eastAsia="仿宋_GB2312" w:cs="楷体_GB2312"/>
          <w:b/>
          <w:szCs w:val="21"/>
        </w:rPr>
      </w:pPr>
    </w:p>
    <w:p>
      <w:pPr>
        <w:rPr>
          <w:rFonts w:ascii="仿宋_GB2312" w:eastAsia="仿宋_GB2312"/>
          <w:sz w:val="24"/>
          <w:szCs w:val="24"/>
        </w:rPr>
      </w:pPr>
      <w:r>
        <w:rPr>
          <w:rFonts w:hint="eastAsia" w:ascii="仿宋_GB2312" w:eastAsia="仿宋_GB2312" w:cs="楷体_GB2312"/>
          <w:b/>
          <w:szCs w:val="21"/>
        </w:rPr>
        <w:t xml:space="preserve">   </w:t>
      </w:r>
      <w:r>
        <w:rPr>
          <w:rFonts w:hint="eastAsia" w:ascii="仿宋_GB2312" w:eastAsia="仿宋_GB2312" w:cs="楷体_GB2312"/>
          <w:b/>
          <w:sz w:val="24"/>
          <w:szCs w:val="24"/>
        </w:rPr>
        <w:t xml:space="preserve"> 特别提示：投资者购买</w:t>
      </w:r>
      <w:r>
        <w:rPr>
          <w:rFonts w:hint="eastAsia" w:ascii="仿宋_GB2312" w:eastAsia="仿宋_GB2312"/>
          <w:b/>
          <w:sz w:val="24"/>
          <w:szCs w:val="24"/>
        </w:rPr>
        <w:t>嵊州农商行丰收信福20220</w:t>
      </w:r>
      <w:r>
        <w:rPr>
          <w:rFonts w:hint="eastAsia" w:ascii="仿宋_GB2312" w:eastAsia="仿宋_GB2312"/>
          <w:b/>
          <w:sz w:val="24"/>
          <w:szCs w:val="24"/>
          <w:lang w:val="en-US" w:eastAsia="zh-CN"/>
        </w:rPr>
        <w:t>6</w:t>
      </w:r>
      <w:r>
        <w:rPr>
          <w:rFonts w:hint="eastAsia" w:ascii="仿宋_GB2312" w:eastAsia="仿宋_GB2312"/>
          <w:b/>
          <w:sz w:val="24"/>
          <w:szCs w:val="24"/>
        </w:rPr>
        <w:t>期封闭式净值型理财产品</w:t>
      </w:r>
      <w:r>
        <w:rPr>
          <w:rFonts w:hint="eastAsia" w:ascii="仿宋_GB2312" w:eastAsia="仿宋_GB2312" w:cs="楷体_GB2312"/>
          <w:b/>
          <w:sz w:val="24"/>
          <w:szCs w:val="24"/>
        </w:rPr>
        <w:t>(产品代码：FSXFFBJZ89300020220</w:t>
      </w:r>
      <w:r>
        <w:rPr>
          <w:rFonts w:hint="eastAsia" w:ascii="仿宋_GB2312" w:eastAsia="仿宋_GB2312" w:cs="楷体_GB2312"/>
          <w:b/>
          <w:sz w:val="24"/>
          <w:szCs w:val="24"/>
          <w:lang w:val="en-US" w:eastAsia="zh-CN"/>
        </w:rPr>
        <w:t>6</w:t>
      </w:r>
      <w:r>
        <w:rPr>
          <w:rFonts w:hint="eastAsia" w:ascii="仿宋_GB2312" w:eastAsia="仿宋_GB2312" w:cs="楷体_GB2312"/>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pPr>
        <w:autoSpaceDE w:val="0"/>
        <w:autoSpaceDN w:val="0"/>
        <w:ind w:firstLine="480" w:firstLineChars="200"/>
        <w:jc w:val="left"/>
        <w:rPr>
          <w:rFonts w:ascii="仿宋_GB2312" w:eastAsia="仿宋_GB2312" w:cs="楷体_GB2312"/>
          <w:sz w:val="24"/>
          <w:szCs w:val="24"/>
        </w:rPr>
      </w:pPr>
      <w:r>
        <w:rPr>
          <w:rFonts w:hint="eastAsia" w:ascii="仿宋_GB2312" w:eastAsia="仿宋_GB2312" w:cs="楷体_GB2312"/>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有可能损失全部本金，由此产生的本金和理财收益不确定的风险由投资者自行承担。</w:t>
      </w:r>
    </w:p>
    <w:p>
      <w:pPr>
        <w:autoSpaceDE w:val="0"/>
        <w:autoSpaceDN w:val="0"/>
        <w:ind w:firstLine="480" w:firstLineChars="200"/>
        <w:jc w:val="left"/>
        <w:rPr>
          <w:rFonts w:ascii="仿宋_GB2312" w:eastAsia="仿宋_GB2312" w:cs="楷体_GB2312"/>
          <w:sz w:val="24"/>
          <w:szCs w:val="24"/>
        </w:rPr>
      </w:pPr>
      <w:r>
        <w:rPr>
          <w:rFonts w:hint="eastAsia" w:ascii="仿宋_GB2312" w:eastAsia="仿宋_GB2312" w:cs="楷体_GB2312"/>
          <w:sz w:val="24"/>
          <w:szCs w:val="24"/>
        </w:rPr>
        <w:t>2.市场风险：涉及到利率风险、经济周期风险、政策风险等多种市场风险。如在理财期内，市场利率上升，本理财产品的收益不随市场利率上升而提高。</w:t>
      </w:r>
    </w:p>
    <w:p>
      <w:pPr>
        <w:autoSpaceDE w:val="0"/>
        <w:autoSpaceDN w:val="0"/>
        <w:ind w:firstLine="480" w:firstLineChars="200"/>
        <w:jc w:val="left"/>
        <w:rPr>
          <w:rFonts w:ascii="仿宋_GB2312" w:eastAsia="仿宋_GB2312" w:cs="楷体_GB2312"/>
          <w:sz w:val="24"/>
          <w:szCs w:val="24"/>
        </w:rPr>
      </w:pPr>
      <w:r>
        <w:rPr>
          <w:rFonts w:hint="eastAsia" w:ascii="仿宋_GB2312" w:eastAsia="仿宋_GB2312" w:cs="楷体_GB2312"/>
          <w:sz w:val="24"/>
          <w:szCs w:val="24"/>
        </w:rPr>
        <w:t>3.流动性风险：本理财产品到期前投资者无权提前终止或赎回。</w:t>
      </w:r>
    </w:p>
    <w:p>
      <w:pPr>
        <w:autoSpaceDE w:val="0"/>
        <w:autoSpaceDN w:val="0"/>
        <w:ind w:firstLine="480" w:firstLineChars="200"/>
        <w:jc w:val="left"/>
        <w:rPr>
          <w:rFonts w:ascii="仿宋_GB2312" w:eastAsia="仿宋_GB2312" w:cs="楷体_GB2312"/>
          <w:sz w:val="24"/>
          <w:szCs w:val="24"/>
        </w:rPr>
      </w:pPr>
      <w:r>
        <w:rPr>
          <w:rFonts w:hint="eastAsia" w:ascii="仿宋_GB2312" w:eastAsia="仿宋_GB2312" w:cs="楷体_GB2312"/>
          <w:sz w:val="24"/>
          <w:szCs w:val="24"/>
        </w:rPr>
        <w:t>4.提前终止风险：在投资期内，如发生本行认为需要提前终止本理财产品的情况，本行有权提前终止本理财产品。投资者可能无法实现期初预期的全部收益。</w:t>
      </w:r>
    </w:p>
    <w:p>
      <w:pPr>
        <w:autoSpaceDE w:val="0"/>
        <w:autoSpaceDN w:val="0"/>
        <w:ind w:firstLine="480" w:firstLineChars="200"/>
        <w:jc w:val="left"/>
        <w:rPr>
          <w:rFonts w:ascii="仿宋_GB2312" w:eastAsia="仿宋_GB2312" w:cs="楷体_GB2312"/>
          <w:sz w:val="24"/>
          <w:szCs w:val="24"/>
        </w:rPr>
      </w:pPr>
      <w:r>
        <w:rPr>
          <w:rFonts w:hint="eastAsia" w:ascii="仿宋_GB2312" w:eastAsia="仿宋_GB2312" w:cs="楷体_GB2312"/>
          <w:sz w:val="24"/>
          <w:szCs w:val="24"/>
        </w:rPr>
        <w:t>5.延期风险：如因理财产品项下对应的理财财产不能及时变现等原因造成理财产品不能按时偿还本金及收益，理财产品将面临期限相应延长或进行二次清算的可能。</w:t>
      </w:r>
    </w:p>
    <w:p>
      <w:pPr>
        <w:autoSpaceDE w:val="0"/>
        <w:autoSpaceDN w:val="0"/>
        <w:ind w:firstLine="480" w:firstLineChars="200"/>
        <w:jc w:val="left"/>
        <w:rPr>
          <w:rFonts w:ascii="仿宋_GB2312" w:eastAsia="仿宋_GB2312" w:cs="楷体_GB2312"/>
          <w:sz w:val="24"/>
          <w:szCs w:val="24"/>
        </w:rPr>
      </w:pPr>
      <w:r>
        <w:rPr>
          <w:rFonts w:hint="eastAsia" w:ascii="仿宋_GB2312" w:eastAsia="仿宋_GB2312" w:cs="楷体_GB2312"/>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pPr>
        <w:autoSpaceDE w:val="0"/>
        <w:autoSpaceDN w:val="0"/>
        <w:ind w:firstLine="480" w:firstLineChars="200"/>
        <w:jc w:val="left"/>
        <w:rPr>
          <w:rFonts w:ascii="仿宋_GB2312" w:eastAsia="仿宋_GB2312" w:cs="楷体_GB2312"/>
          <w:sz w:val="24"/>
          <w:szCs w:val="24"/>
        </w:rPr>
      </w:pPr>
      <w:r>
        <w:rPr>
          <w:rFonts w:hint="eastAsia" w:ascii="仿宋_GB2312" w:eastAsia="仿宋_GB2312" w:cs="楷体_GB2312"/>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pPr>
        <w:autoSpaceDE w:val="0"/>
        <w:autoSpaceDN w:val="0"/>
        <w:ind w:firstLine="480" w:firstLineChars="200"/>
        <w:jc w:val="left"/>
        <w:rPr>
          <w:rFonts w:ascii="仿宋_GB2312" w:eastAsia="仿宋_GB2312" w:cs="楷体_GB2312"/>
          <w:sz w:val="24"/>
          <w:szCs w:val="24"/>
        </w:rPr>
      </w:pPr>
      <w:r>
        <w:rPr>
          <w:rFonts w:hint="eastAsia" w:ascii="仿宋_GB2312" w:eastAsia="仿宋_GB2312" w:cs="楷体_GB2312"/>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pPr>
        <w:autoSpaceDE w:val="0"/>
        <w:autoSpaceDN w:val="0"/>
        <w:ind w:firstLine="480" w:firstLineChars="200"/>
        <w:jc w:val="left"/>
        <w:rPr>
          <w:rFonts w:ascii="仿宋_GB2312" w:eastAsia="仿宋_GB2312" w:cs="楷体_GB2312"/>
          <w:sz w:val="24"/>
          <w:szCs w:val="24"/>
        </w:rPr>
      </w:pPr>
      <w:r>
        <w:rPr>
          <w:rFonts w:hint="eastAsia" w:ascii="仿宋_GB2312" w:eastAsia="仿宋_GB2312" w:cs="楷体_GB2312"/>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pPr>
        <w:autoSpaceDE w:val="0"/>
        <w:autoSpaceDN w:val="0"/>
        <w:ind w:firstLine="480" w:firstLineChars="200"/>
        <w:jc w:val="left"/>
        <w:rPr>
          <w:rFonts w:ascii="仿宋_GB2312" w:eastAsia="仿宋_GB2312" w:cs="楷体_GB2312"/>
          <w:sz w:val="24"/>
          <w:szCs w:val="24"/>
        </w:rPr>
      </w:pPr>
      <w:r>
        <w:rPr>
          <w:rFonts w:hint="eastAsia" w:ascii="仿宋_GB2312" w:eastAsia="仿宋_GB2312" w:cs="楷体_GB2312"/>
          <w:sz w:val="24"/>
          <w:szCs w:val="24"/>
        </w:rPr>
        <w:t>上述举例提示可能并未穷尽本理财产品项下可能出现的所有风险。</w:t>
      </w:r>
    </w:p>
    <w:p>
      <w:pPr>
        <w:widowControl/>
        <w:spacing w:line="360" w:lineRule="exact"/>
        <w:ind w:firstLine="472" w:firstLineChars="196"/>
        <w:jc w:val="left"/>
        <w:rPr>
          <w:rFonts w:ascii="仿宋_GB2312" w:eastAsia="仿宋_GB2312"/>
          <w:b/>
          <w:color w:val="000000"/>
          <w:sz w:val="24"/>
          <w:szCs w:val="24"/>
        </w:rPr>
      </w:pPr>
      <w:r>
        <w:rPr>
          <w:rFonts w:hint="eastAsia" w:ascii="仿宋_GB2312" w:eastAsia="仿宋_GB2312"/>
          <w:b/>
          <w:color w:val="000000"/>
          <w:sz w:val="24"/>
          <w:szCs w:val="24"/>
        </w:rPr>
        <w:t>本理财产品有投资风险，不保证理财资金本金及收益，您的本金可能会因市场变动而蒙受损失，您应当充分认识投资风险，谨慎投资。</w:t>
      </w:r>
    </w:p>
    <w:p>
      <w:pPr>
        <w:autoSpaceDE w:val="0"/>
        <w:autoSpaceDN w:val="0"/>
        <w:spacing w:line="360" w:lineRule="exact"/>
        <w:ind w:firstLine="482" w:firstLineChars="200"/>
        <w:jc w:val="left"/>
        <w:rPr>
          <w:rFonts w:ascii="仿宋_GB2312" w:eastAsia="仿宋_GB2312" w:cs="楷体_GB2312"/>
          <w:b/>
          <w:sz w:val="24"/>
          <w:szCs w:val="24"/>
        </w:rPr>
      </w:pPr>
      <w:r>
        <w:rPr>
          <w:rFonts w:hint="eastAsia" w:ascii="仿宋_GB2312" w:eastAsia="仿宋_GB2312" w:cs="楷体_GB2312"/>
          <w:b/>
          <w:sz w:val="24"/>
          <w:szCs w:val="24"/>
        </w:rPr>
        <w:t>客户在投资者签字栏签字的行为即表示客户已详细阅知《</w:t>
      </w:r>
      <w:r>
        <w:rPr>
          <w:rFonts w:hint="eastAsia" w:ascii="仿宋_GB2312" w:eastAsia="仿宋_GB2312"/>
          <w:b/>
          <w:color w:val="000000"/>
          <w:sz w:val="24"/>
          <w:szCs w:val="24"/>
        </w:rPr>
        <w:t>浙江嵊州农村商业银行股份有限公司丰收信福20220</w:t>
      </w:r>
      <w:r>
        <w:rPr>
          <w:rFonts w:hint="eastAsia" w:ascii="仿宋_GB2312" w:eastAsia="仿宋_GB2312"/>
          <w:b/>
          <w:color w:val="000000"/>
          <w:sz w:val="24"/>
          <w:szCs w:val="24"/>
          <w:lang w:val="en-US" w:eastAsia="zh-CN"/>
        </w:rPr>
        <w:t>6</w:t>
      </w:r>
      <w:r>
        <w:rPr>
          <w:rFonts w:hint="eastAsia" w:ascii="仿宋_GB2312" w:eastAsia="仿宋_GB2312"/>
          <w:b/>
          <w:color w:val="000000"/>
          <w:sz w:val="24"/>
          <w:szCs w:val="24"/>
        </w:rPr>
        <w:t>期封闭式净值型理财产品</w:t>
      </w:r>
      <w:r>
        <w:rPr>
          <w:rFonts w:hint="eastAsia" w:ascii="仿宋_GB2312" w:eastAsia="仿宋_GB2312" w:cs="楷体_GB2312"/>
          <w:b/>
          <w:sz w:val="24"/>
          <w:szCs w:val="24"/>
        </w:rPr>
        <w:t>说明书》《</w:t>
      </w:r>
      <w:r>
        <w:rPr>
          <w:rFonts w:hint="eastAsia" w:ascii="仿宋_GB2312" w:eastAsia="仿宋_GB2312"/>
          <w:b/>
          <w:color w:val="000000"/>
          <w:sz w:val="24"/>
          <w:szCs w:val="24"/>
        </w:rPr>
        <w:t>浙江嵊州农村商业银行股份有限公司丰收信福20220</w:t>
      </w:r>
      <w:r>
        <w:rPr>
          <w:rFonts w:hint="eastAsia" w:ascii="仿宋_GB2312" w:eastAsia="仿宋_GB2312"/>
          <w:b/>
          <w:color w:val="000000"/>
          <w:sz w:val="24"/>
          <w:szCs w:val="24"/>
          <w:lang w:val="en-US" w:eastAsia="zh-CN"/>
        </w:rPr>
        <w:t>6</w:t>
      </w:r>
      <w:bookmarkStart w:id="0" w:name="_GoBack"/>
      <w:bookmarkEnd w:id="0"/>
      <w:r>
        <w:rPr>
          <w:rFonts w:hint="eastAsia" w:ascii="仿宋_GB2312" w:eastAsia="仿宋_GB2312"/>
          <w:b/>
          <w:color w:val="000000"/>
          <w:sz w:val="24"/>
          <w:szCs w:val="24"/>
        </w:rPr>
        <w:t>期封闭式净值型理财产品</w:t>
      </w:r>
      <w:r>
        <w:rPr>
          <w:rFonts w:hint="eastAsia" w:ascii="仿宋_GB2312" w:eastAsia="仿宋_GB2312" w:cs="楷体_GB2312"/>
          <w:b/>
          <w:sz w:val="24"/>
          <w:szCs w:val="24"/>
        </w:rPr>
        <w:t>风险揭示书》。</w:t>
      </w:r>
      <w:r>
        <w:rPr>
          <w:rFonts w:hint="eastAsia" w:ascii="仿宋_GB2312" w:eastAsia="仿宋_GB2312"/>
          <w:b/>
          <w:color w:val="000000"/>
          <w:sz w:val="24"/>
          <w:szCs w:val="24"/>
        </w:rPr>
        <w:t>嵊州农商银行</w:t>
      </w:r>
      <w:r>
        <w:rPr>
          <w:rFonts w:hint="eastAsia" w:ascii="仿宋_GB2312" w:eastAsia="仿宋_GB2312" w:cs="楷体_GB2312"/>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pPr>
        <w:pStyle w:val="5"/>
        <w:widowControl w:val="0"/>
        <w:kinsoku w:val="0"/>
        <w:autoSpaceDE w:val="0"/>
        <w:adjustRightInd w:val="0"/>
        <w:snapToGrid w:val="0"/>
        <w:spacing w:beforeLines="150" w:beforeAutospacing="0" w:after="0" w:afterAutospacing="0" w:line="360" w:lineRule="exact"/>
        <w:ind w:left="6393" w:leftChars="1866" w:hanging="2474" w:hangingChars="1027"/>
        <w:rPr>
          <w:rFonts w:ascii="仿宋_GB2312" w:eastAsia="仿宋_GB2312"/>
          <w:color w:val="000000"/>
          <w:szCs w:val="21"/>
        </w:rPr>
      </w:pPr>
      <w:r>
        <w:rPr>
          <w:rFonts w:hint="eastAsia" w:ascii="仿宋_GB2312" w:hAnsi="Times New Roman" w:eastAsia="仿宋_GB2312" w:cs="Times New Roman"/>
          <w:b/>
          <w:bCs/>
          <w:color w:val="000000"/>
        </w:rPr>
        <w:t>投资者签字栏：</w:t>
      </w:r>
      <w:r>
        <w:rPr>
          <w:rFonts w:hint="eastAsia" w:ascii="仿宋_GB2312" w:hAnsi="Times New Roman" w:eastAsia="仿宋_GB2312" w:cs="Times New Roman"/>
          <w:b/>
          <w:bCs/>
          <w:color w:val="000000"/>
          <w:u w:val="single"/>
        </w:rPr>
        <w:t xml:space="preserve">                              </w:t>
      </w:r>
      <w:r>
        <w:rPr>
          <w:rFonts w:hint="eastAsia" w:ascii="仿宋_GB2312" w:hAnsi="Times New Roman" w:eastAsia="仿宋_GB2312" w:cs="Times New Roman"/>
          <w:b/>
          <w:bCs/>
          <w:color w:val="000000"/>
          <w:sz w:val="21"/>
          <w:szCs w:val="21"/>
          <w:u w:val="single"/>
        </w:rPr>
        <w:t xml:space="preserve">  </w:t>
      </w:r>
      <w:r>
        <w:rPr>
          <w:rFonts w:hint="eastAsia" w:ascii="仿宋_GB2312" w:eastAsia="仿宋_GB2312"/>
          <w:color w:val="000000"/>
          <w:szCs w:val="21"/>
        </w:rPr>
        <w:t xml:space="preserve">                    </w:t>
      </w:r>
    </w:p>
    <w:p>
      <w:pPr>
        <w:pStyle w:val="5"/>
        <w:widowControl w:val="0"/>
        <w:kinsoku w:val="0"/>
        <w:autoSpaceDE w:val="0"/>
        <w:adjustRightInd w:val="0"/>
        <w:snapToGrid w:val="0"/>
        <w:spacing w:beforeLines="50" w:beforeAutospacing="0" w:after="0" w:afterAutospacing="0"/>
        <w:ind w:left="6019" w:leftChars="2866" w:firstLine="240" w:firstLineChars="100"/>
        <w:rPr>
          <w:rFonts w:ascii="仿宋_GB2312" w:eastAsia="仿宋_GB2312"/>
          <w:color w:val="000000"/>
          <w:szCs w:val="21"/>
        </w:rPr>
      </w:pPr>
      <w:r>
        <w:rPr>
          <w:rFonts w:hint="eastAsia" w:ascii="仿宋_GB2312" w:eastAsia="仿宋_GB2312"/>
          <w:color w:val="000000"/>
          <w:szCs w:val="21"/>
        </w:rPr>
        <w:t>年     月     日</w:t>
      </w:r>
    </w:p>
    <w:p>
      <w:pPr>
        <w:pStyle w:val="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pPr>
        <w:pStyle w:val="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hint="eastAsia" w:ascii="仿宋_GB2312" w:eastAsia="仿宋_GB2312"/>
          <w:b/>
          <w:color w:val="000000"/>
          <w:szCs w:val="21"/>
        </w:rPr>
        <w:t>提示：如影响您风险承受能力的因素发生变化，请及时完成风险承受能力评估。</w:t>
      </w:r>
    </w:p>
    <w:p>
      <w:pPr>
        <w:adjustRightInd w:val="0"/>
        <w:snapToGrid w:val="0"/>
        <w:ind w:left="-141" w:leftChars="-67"/>
        <w:rPr>
          <w:rFonts w:ascii="仿宋_GB2312" w:eastAsia="仿宋_GB2312" w:cs="楷体_GB2312"/>
          <w:b/>
          <w:sz w:val="24"/>
          <w:szCs w:val="21"/>
        </w:rPr>
      </w:pPr>
    </w:p>
    <w:p>
      <w:pPr>
        <w:pStyle w:val="5"/>
        <w:widowControl w:val="0"/>
        <w:kinsoku w:val="0"/>
        <w:autoSpaceDE w:val="0"/>
        <w:adjustRightInd w:val="0"/>
        <w:snapToGrid w:val="0"/>
        <w:spacing w:before="0" w:beforeAutospacing="0" w:after="0" w:afterAutospacing="0"/>
        <w:jc w:val="center"/>
        <w:rPr>
          <w:rFonts w:ascii="黑体" w:eastAsia="黑体"/>
          <w:sz w:val="32"/>
          <w:szCs w:val="32"/>
        </w:rPr>
      </w:pPr>
      <w:r>
        <w:rPr>
          <w:rFonts w:hint="eastAsia" w:ascii="黑体" w:eastAsia="黑体"/>
          <w:sz w:val="32"/>
          <w:szCs w:val="32"/>
        </w:rPr>
        <w:t>客户主动要求购买理财产品确认栏</w:t>
      </w:r>
    </w:p>
    <w:tbl>
      <w:tblPr>
        <w:tblStyle w:val="6"/>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93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11" w:hRule="atLeast"/>
        </w:trPr>
        <w:tc>
          <w:tcPr>
            <w:tcW w:w="8933" w:type="dxa"/>
          </w:tcPr>
          <w:p>
            <w:pPr>
              <w:rPr>
                <w:rFonts w:eastAsia="仿宋_GB2312" w:cs="Arial Unicode MS"/>
                <w:color w:val="000000"/>
                <w:kern w:val="0"/>
                <w:sz w:val="24"/>
                <w:szCs w:val="24"/>
              </w:rPr>
            </w:pPr>
            <w:r>
              <w:rPr>
                <w:rFonts w:hint="eastAsia" w:ascii="仿宋_GB2312" w:hAnsi="宋体" w:eastAsia="仿宋_GB2312"/>
                <w:b/>
                <w:color w:val="000000"/>
                <w:szCs w:val="21"/>
              </w:rPr>
              <w:t xml:space="preserve">    </w:t>
            </w:r>
            <w:r>
              <w:rPr>
                <w:rFonts w:hint="eastAsia" w:eastAsia="仿宋_GB2312" w:cs="Arial Unicode MS"/>
                <w:color w:val="000000"/>
                <w:kern w:val="0"/>
                <w:sz w:val="24"/>
                <w:szCs w:val="24"/>
              </w:rPr>
              <w:t>根据监管部门的要求，为确保个人投资者充分理解本理财产品的风险，请在确认栏抄录以下语句并签名：</w:t>
            </w:r>
          </w:p>
          <w:p>
            <w:pPr>
              <w:autoSpaceDE w:val="0"/>
              <w:autoSpaceDN w:val="0"/>
              <w:rPr>
                <w:rFonts w:eastAsia="仿宋_GB2312" w:cs="Arial Unicode MS"/>
                <w:b/>
                <w:bCs/>
                <w:color w:val="000000"/>
                <w:kern w:val="0"/>
                <w:szCs w:val="21"/>
              </w:rPr>
            </w:pPr>
            <w:r>
              <w:rPr>
                <w:rFonts w:hint="eastAsia" w:eastAsia="仿宋_GB2312" w:cs="Arial Unicode MS"/>
                <w:b/>
                <w:bCs/>
                <w:color w:val="000000"/>
                <w:kern w:val="0"/>
                <w:szCs w:val="21"/>
              </w:rPr>
              <w:t>“</w:t>
            </w:r>
            <w:r>
              <w:rPr>
                <w:rFonts w:hint="eastAsia" w:eastAsia="仿宋_GB2312" w:cs="Arial Unicode MS"/>
                <w:b/>
                <w:bCs/>
                <w:color w:val="000000"/>
                <w:kern w:val="0"/>
                <w:sz w:val="32"/>
                <w:szCs w:val="32"/>
              </w:rPr>
              <w:t>本人已经阅读风险揭示，愿意承担投资风险。</w:t>
            </w:r>
            <w:r>
              <w:rPr>
                <w:rFonts w:hint="eastAsia" w:eastAsia="仿宋_GB2312" w:cs="Arial Unicode MS"/>
                <w:b/>
                <w:bCs/>
                <w:color w:val="000000"/>
                <w:kern w:val="0"/>
                <w:szCs w:val="21"/>
              </w:rPr>
              <w:t>”</w:t>
            </w:r>
          </w:p>
          <w:p>
            <w:pPr>
              <w:rPr>
                <w:rFonts w:eastAsia="仿宋_GB2312" w:cs="Arial Unicode MS"/>
                <w:color w:val="000000"/>
                <w:kern w:val="0"/>
                <w:szCs w:val="21"/>
              </w:rPr>
            </w:pPr>
          </w:p>
          <w:p>
            <w:pPr>
              <w:rPr>
                <w:rFonts w:eastAsia="仿宋_GB2312" w:cs="Arial Unicode MS"/>
                <w:color w:val="000000"/>
                <w:kern w:val="0"/>
                <w:szCs w:val="21"/>
                <w:u w:val="single"/>
              </w:rPr>
            </w:pPr>
            <w:r>
              <w:rPr>
                <w:rFonts w:hint="eastAsia" w:eastAsia="仿宋_GB2312" w:cs="Arial Unicode MS"/>
                <w:color w:val="000000"/>
                <w:kern w:val="0"/>
                <w:sz w:val="24"/>
                <w:szCs w:val="24"/>
              </w:rPr>
              <w:t>投资者确认栏</w:t>
            </w:r>
            <w:r>
              <w:rPr>
                <w:rFonts w:hint="eastAsia" w:eastAsia="仿宋_GB2312" w:cs="Arial Unicode MS"/>
                <w:color w:val="000000"/>
                <w:kern w:val="0"/>
                <w:szCs w:val="21"/>
              </w:rPr>
              <w:t>：</w:t>
            </w:r>
            <w:r>
              <w:rPr>
                <w:rFonts w:hint="eastAsia" w:eastAsia="仿宋_GB2312" w:cs="Arial Unicode MS"/>
                <w:color w:val="000000"/>
                <w:kern w:val="0"/>
                <w:szCs w:val="21"/>
                <w:u w:val="single"/>
              </w:rPr>
              <w:t xml:space="preserve">                                                                     </w:t>
            </w:r>
          </w:p>
          <w:p>
            <w:pPr>
              <w:rPr>
                <w:rFonts w:eastAsia="仿宋_GB2312" w:cs="Arial Unicode MS"/>
                <w:color w:val="000000"/>
                <w:kern w:val="0"/>
                <w:szCs w:val="21"/>
                <w:u w:val="single"/>
              </w:rPr>
            </w:pPr>
          </w:p>
          <w:p>
            <w:pPr>
              <w:rPr>
                <w:rFonts w:eastAsia="仿宋_GB2312" w:cs="Arial Unicode MS"/>
                <w:color w:val="000000"/>
                <w:kern w:val="0"/>
                <w:szCs w:val="21"/>
              </w:rPr>
            </w:pPr>
            <w:r>
              <w:rPr>
                <w:rFonts w:hint="eastAsia" w:eastAsia="仿宋_GB2312" w:cs="Arial Unicode MS"/>
                <w:color w:val="000000"/>
                <w:kern w:val="0"/>
                <w:szCs w:val="21"/>
                <w:u w:val="single"/>
              </w:rPr>
              <w:t xml:space="preserve">                                                                                   </w:t>
            </w:r>
          </w:p>
          <w:p>
            <w:pPr>
              <w:rPr>
                <w:rFonts w:eastAsia="仿宋_GB2312" w:cs="Arial Unicode MS"/>
                <w:color w:val="000000"/>
                <w:kern w:val="0"/>
                <w:szCs w:val="21"/>
              </w:rPr>
            </w:pPr>
          </w:p>
          <w:p>
            <w:pPr>
              <w:rPr>
                <w:rFonts w:eastAsia="仿宋_GB2312" w:cs="Arial Unicode MS"/>
                <w:color w:val="000000"/>
                <w:kern w:val="0"/>
                <w:szCs w:val="21"/>
              </w:rPr>
            </w:pPr>
            <w:r>
              <w:rPr>
                <w:rFonts w:hint="eastAsia" w:eastAsia="仿宋_GB2312" w:cs="Arial Unicode MS"/>
                <w:color w:val="000000"/>
                <w:kern w:val="0"/>
                <w:szCs w:val="21"/>
                <w:u w:val="single"/>
              </w:rPr>
              <w:t xml:space="preserve">                                                                                   </w:t>
            </w:r>
          </w:p>
          <w:p>
            <w:pPr>
              <w:rPr>
                <w:rFonts w:eastAsia="仿宋_GB2312" w:cs="Arial Unicode MS"/>
                <w:color w:val="000000"/>
                <w:kern w:val="0"/>
                <w:szCs w:val="21"/>
              </w:rPr>
            </w:pPr>
          </w:p>
          <w:p>
            <w:pPr>
              <w:rPr>
                <w:rFonts w:eastAsia="仿宋_GB2312" w:cs="Arial Unicode MS"/>
                <w:color w:val="000000"/>
                <w:kern w:val="0"/>
                <w:szCs w:val="21"/>
                <w:u w:val="single"/>
              </w:rPr>
            </w:pPr>
            <w:r>
              <w:rPr>
                <w:rFonts w:hint="eastAsia" w:eastAsia="仿宋_GB2312" w:cs="Arial Unicode MS"/>
                <w:color w:val="000000"/>
                <w:kern w:val="0"/>
                <w:szCs w:val="21"/>
                <w:u w:val="single"/>
              </w:rPr>
              <w:t xml:space="preserve">                                                                                   </w:t>
            </w:r>
          </w:p>
          <w:p>
            <w:pPr>
              <w:rPr>
                <w:rFonts w:eastAsia="仿宋_GB2312" w:cs="Arial Unicode MS"/>
                <w:color w:val="000000"/>
                <w:kern w:val="0"/>
                <w:szCs w:val="21"/>
              </w:rPr>
            </w:pPr>
          </w:p>
          <w:p>
            <w:pPr>
              <w:ind w:firstLine="284"/>
              <w:rPr>
                <w:rFonts w:ascii="仿宋_GB2312" w:eastAsia="仿宋_GB2312"/>
                <w:b/>
                <w:color w:val="000000"/>
                <w:szCs w:val="21"/>
              </w:rPr>
            </w:pPr>
            <w:r>
              <w:rPr>
                <w:rFonts w:hint="eastAsia" w:eastAsia="仿宋_GB2312" w:cs="Arial Unicode MS"/>
                <w:color w:val="000000"/>
                <w:kern w:val="0"/>
                <w:sz w:val="24"/>
                <w:szCs w:val="24"/>
              </w:rPr>
              <w:t>投资者签名</w:t>
            </w:r>
            <w:r>
              <w:rPr>
                <w:rFonts w:hint="eastAsia" w:eastAsia="仿宋_GB2312" w:cs="Arial Unicode MS"/>
                <w:color w:val="000000"/>
                <w:kern w:val="0"/>
                <w:szCs w:val="21"/>
              </w:rPr>
              <w:t>：</w:t>
            </w:r>
            <w:r>
              <w:rPr>
                <w:rFonts w:hint="eastAsia" w:eastAsia="仿宋_GB2312" w:cs="Arial Unicode MS"/>
                <w:color w:val="000000"/>
                <w:kern w:val="0"/>
                <w:szCs w:val="21"/>
                <w:u w:val="single"/>
              </w:rPr>
              <w:t xml:space="preserve">                 </w:t>
            </w:r>
            <w:r>
              <w:rPr>
                <w:rFonts w:hint="eastAsia" w:eastAsia="仿宋_GB2312" w:cs="Arial Unicode MS"/>
                <w:color w:val="000000"/>
                <w:kern w:val="0"/>
                <w:szCs w:val="21"/>
              </w:rPr>
              <w:t xml:space="preserve">                       </w:t>
            </w:r>
            <w:r>
              <w:rPr>
                <w:rFonts w:hint="eastAsia" w:ascii="楷体_GB2312" w:eastAsia="仿宋_GB2312"/>
                <w:color w:val="000000"/>
                <w:szCs w:val="21"/>
                <w:u w:val="single"/>
              </w:rPr>
              <w:t xml:space="preserve">        </w:t>
            </w:r>
            <w:r>
              <w:rPr>
                <w:rFonts w:hint="eastAsia" w:ascii="楷体_GB2312" w:eastAsia="仿宋_GB2312"/>
                <w:color w:val="000000"/>
                <w:szCs w:val="21"/>
              </w:rPr>
              <w:t>年</w:t>
            </w:r>
            <w:r>
              <w:rPr>
                <w:rFonts w:hint="eastAsia" w:ascii="楷体_GB2312" w:eastAsia="仿宋_GB2312"/>
                <w:color w:val="000000"/>
                <w:szCs w:val="21"/>
                <w:u w:val="single"/>
              </w:rPr>
              <w:t xml:space="preserve">     </w:t>
            </w:r>
            <w:r>
              <w:rPr>
                <w:rFonts w:hint="eastAsia" w:ascii="楷体_GB2312" w:eastAsia="仿宋_GB2312"/>
                <w:color w:val="000000"/>
                <w:szCs w:val="21"/>
              </w:rPr>
              <w:t>月</w:t>
            </w:r>
            <w:r>
              <w:rPr>
                <w:rFonts w:hint="eastAsia" w:ascii="楷体_GB2312" w:eastAsia="仿宋_GB2312"/>
                <w:color w:val="000000"/>
                <w:szCs w:val="21"/>
                <w:u w:val="single"/>
              </w:rPr>
              <w:t xml:space="preserve">      </w:t>
            </w:r>
            <w:r>
              <w:rPr>
                <w:rFonts w:hint="eastAsia" w:ascii="楷体_GB2312" w:eastAsia="仿宋_GB2312"/>
                <w:color w:val="000000"/>
                <w:szCs w:val="21"/>
              </w:rPr>
              <w:t>日</w:t>
            </w:r>
          </w:p>
        </w:tc>
      </w:tr>
    </w:tbl>
    <w:p>
      <w:pPr>
        <w:rPr>
          <w:rFonts w:ascii="宋体" w:hAnsi="宋体" w:eastAsia="仿宋_GB2312"/>
          <w:b/>
          <w:kern w:val="0"/>
          <w:szCs w:val="21"/>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795FB5"/>
    <w:rsid w:val="00003A51"/>
    <w:rsid w:val="0006359E"/>
    <w:rsid w:val="00091221"/>
    <w:rsid w:val="00146A84"/>
    <w:rsid w:val="001A007A"/>
    <w:rsid w:val="001B2847"/>
    <w:rsid w:val="001B66EC"/>
    <w:rsid w:val="001C145C"/>
    <w:rsid w:val="001E554E"/>
    <w:rsid w:val="00220B94"/>
    <w:rsid w:val="0025633E"/>
    <w:rsid w:val="002C4CB1"/>
    <w:rsid w:val="002E16C3"/>
    <w:rsid w:val="002F4A71"/>
    <w:rsid w:val="00331BC3"/>
    <w:rsid w:val="0036636C"/>
    <w:rsid w:val="003A4B3C"/>
    <w:rsid w:val="003B765E"/>
    <w:rsid w:val="004020C5"/>
    <w:rsid w:val="004574ED"/>
    <w:rsid w:val="00465D9A"/>
    <w:rsid w:val="004716B1"/>
    <w:rsid w:val="004B76F2"/>
    <w:rsid w:val="004E5D3F"/>
    <w:rsid w:val="005077AD"/>
    <w:rsid w:val="00531840"/>
    <w:rsid w:val="0062620E"/>
    <w:rsid w:val="00672D38"/>
    <w:rsid w:val="0068535A"/>
    <w:rsid w:val="006B3026"/>
    <w:rsid w:val="006C5490"/>
    <w:rsid w:val="006D44E4"/>
    <w:rsid w:val="00795FB5"/>
    <w:rsid w:val="007C2D09"/>
    <w:rsid w:val="007E5803"/>
    <w:rsid w:val="00805D1B"/>
    <w:rsid w:val="00841A3E"/>
    <w:rsid w:val="00891D66"/>
    <w:rsid w:val="008A0495"/>
    <w:rsid w:val="008B5DA3"/>
    <w:rsid w:val="009736A6"/>
    <w:rsid w:val="0099767C"/>
    <w:rsid w:val="009F3127"/>
    <w:rsid w:val="009F54DA"/>
    <w:rsid w:val="00A54B52"/>
    <w:rsid w:val="00A55C5C"/>
    <w:rsid w:val="00AA0957"/>
    <w:rsid w:val="00AB4FD4"/>
    <w:rsid w:val="00AB7477"/>
    <w:rsid w:val="00B44FD8"/>
    <w:rsid w:val="00C404CA"/>
    <w:rsid w:val="00C95209"/>
    <w:rsid w:val="00D253C3"/>
    <w:rsid w:val="00D66164"/>
    <w:rsid w:val="00D727F6"/>
    <w:rsid w:val="00D842A9"/>
    <w:rsid w:val="00D96441"/>
    <w:rsid w:val="00E30438"/>
    <w:rsid w:val="00EA590F"/>
    <w:rsid w:val="00EA7322"/>
    <w:rsid w:val="00EC4C5C"/>
    <w:rsid w:val="00ED3C2B"/>
    <w:rsid w:val="00EF3660"/>
    <w:rsid w:val="00F128B6"/>
    <w:rsid w:val="00F33197"/>
    <w:rsid w:val="00F440C7"/>
    <w:rsid w:val="4F791B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uiPriority w:val="99"/>
    <w:rPr>
      <w:sz w:val="18"/>
      <w:szCs w:val="18"/>
    </w:rPr>
  </w:style>
  <w:style w:type="paragraph" w:styleId="3">
    <w:name w:val="footer"/>
    <w:basedOn w:val="1"/>
    <w:link w:val="9"/>
    <w:semiHidden/>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8"/>
    <w:semiHidden/>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Normal (Web)"/>
    <w:basedOn w:val="1"/>
    <w:uiPriority w:val="0"/>
    <w:pPr>
      <w:widowControl/>
      <w:spacing w:before="100" w:beforeAutospacing="1" w:after="100" w:afterAutospacing="1"/>
      <w:jc w:val="left"/>
    </w:pPr>
    <w:rPr>
      <w:rFonts w:ascii="宋体" w:hAnsi="宋体" w:cs="宋体"/>
      <w:kern w:val="0"/>
      <w:sz w:val="24"/>
      <w:szCs w:val="24"/>
    </w:rPr>
  </w:style>
  <w:style w:type="character" w:customStyle="1" w:styleId="8">
    <w:name w:val="页眉 Char"/>
    <w:basedOn w:val="7"/>
    <w:link w:val="4"/>
    <w:semiHidden/>
    <w:uiPriority w:val="99"/>
    <w:rPr>
      <w:sz w:val="18"/>
      <w:szCs w:val="18"/>
    </w:rPr>
  </w:style>
  <w:style w:type="character" w:customStyle="1" w:styleId="9">
    <w:name w:val="页脚 Char"/>
    <w:basedOn w:val="7"/>
    <w:link w:val="3"/>
    <w:semiHidden/>
    <w:uiPriority w:val="99"/>
    <w:rPr>
      <w:sz w:val="18"/>
      <w:szCs w:val="18"/>
    </w:rPr>
  </w:style>
  <w:style w:type="character" w:customStyle="1" w:styleId="10">
    <w:name w:val="批注框文本 Char"/>
    <w:basedOn w:val="7"/>
    <w:link w:val="2"/>
    <w:semiHidden/>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311</Words>
  <Characters>1774</Characters>
  <Lines>14</Lines>
  <Paragraphs>4</Paragraphs>
  <TotalTime>34</TotalTime>
  <ScaleCrop>false</ScaleCrop>
  <LinksUpToDate>false</LinksUpToDate>
  <CharactersWithSpaces>2081</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2020-07-30T00:27:00Z</dcterms:created>
  <dc:creator>Windows 用户</dc:creator>
  <cp:lastModifiedBy>珊子</cp:lastModifiedBy>
  <dcterms:modified xsi:type="dcterms:W3CDTF">2022-01-08T07:43:24Z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13978A156E794F83AD7DC12426EAE95A</vt:lpwstr>
  </property>
</Properties>
</file>