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85" w:rsidRDefault="00A421AA">
      <w:pPr>
        <w:autoSpaceDE w:val="0"/>
        <w:autoSpaceDN w:val="0"/>
        <w:jc w:val="left"/>
        <w:rPr>
          <w:rFonts w:ascii="黑体" w:eastAsia="黑体"/>
          <w:sz w:val="30"/>
          <w:szCs w:val="30"/>
        </w:rPr>
      </w:pPr>
      <w:r>
        <w:rPr>
          <w:rFonts w:ascii="黑体" w:eastAsia="黑体" w:hint="eastAsia"/>
          <w:sz w:val="30"/>
          <w:szCs w:val="30"/>
        </w:rPr>
        <w:t>附件</w:t>
      </w:r>
      <w:r>
        <w:rPr>
          <w:rFonts w:ascii="黑体" w:eastAsia="黑体" w:hint="eastAsia"/>
          <w:sz w:val="30"/>
          <w:szCs w:val="30"/>
        </w:rPr>
        <w:t>4</w:t>
      </w:r>
    </w:p>
    <w:p w:rsidR="004B4385" w:rsidRDefault="00A421AA">
      <w:pPr>
        <w:autoSpaceDE w:val="0"/>
        <w:autoSpaceDN w:val="0"/>
        <w:jc w:val="center"/>
        <w:rPr>
          <w:rFonts w:ascii="黑体" w:eastAsia="黑体"/>
          <w:sz w:val="30"/>
          <w:szCs w:val="30"/>
        </w:rPr>
      </w:pPr>
      <w:r>
        <w:rPr>
          <w:rFonts w:ascii="黑体" w:eastAsia="黑体" w:hint="eastAsia"/>
          <w:sz w:val="30"/>
          <w:szCs w:val="30"/>
        </w:rPr>
        <w:t>浙江嵊州农村商业银行股份有限公司丰收信福202210</w:t>
      </w:r>
      <w:r>
        <w:rPr>
          <w:rFonts w:ascii="黑体" w:eastAsia="黑体" w:hint="eastAsia"/>
          <w:sz w:val="30"/>
          <w:szCs w:val="30"/>
        </w:rPr>
        <w:t>期</w:t>
      </w:r>
    </w:p>
    <w:p w:rsidR="004B4385" w:rsidRDefault="00A421AA">
      <w:pPr>
        <w:autoSpaceDE w:val="0"/>
        <w:autoSpaceDN w:val="0"/>
        <w:jc w:val="center"/>
        <w:rPr>
          <w:rFonts w:ascii="黑体" w:eastAsia="黑体"/>
          <w:sz w:val="30"/>
          <w:szCs w:val="30"/>
        </w:rPr>
      </w:pPr>
      <w:r>
        <w:rPr>
          <w:rFonts w:ascii="黑体" w:eastAsia="黑体" w:hint="eastAsia"/>
          <w:sz w:val="30"/>
          <w:szCs w:val="30"/>
        </w:rPr>
        <w:t>封闭式净值型理财产品风险揭示书</w:t>
      </w:r>
    </w:p>
    <w:p w:rsidR="004B4385" w:rsidRDefault="00A421AA">
      <w:pPr>
        <w:autoSpaceDE w:val="0"/>
        <w:autoSpaceDN w:val="0"/>
        <w:jc w:val="center"/>
        <w:rPr>
          <w:rFonts w:ascii="黑体" w:eastAsia="黑体"/>
          <w:sz w:val="24"/>
          <w:szCs w:val="24"/>
        </w:rPr>
      </w:pPr>
      <w:r>
        <w:rPr>
          <w:rFonts w:ascii="黑体" w:eastAsia="黑体" w:hint="eastAsia"/>
          <w:sz w:val="24"/>
          <w:szCs w:val="24"/>
        </w:rPr>
        <w:t>理财非存款、产品有风险、投资须谨慎</w:t>
      </w:r>
    </w:p>
    <w:p w:rsidR="004B4385" w:rsidRDefault="004B4385">
      <w:pPr>
        <w:autoSpaceDE w:val="0"/>
        <w:autoSpaceDN w:val="0"/>
        <w:ind w:firstLineChars="200" w:firstLine="422"/>
        <w:jc w:val="left"/>
        <w:rPr>
          <w:rFonts w:ascii="仿宋_GB2312" w:eastAsia="仿宋_GB2312" w:cs="楷体_GB2312"/>
          <w:b/>
          <w:szCs w:val="21"/>
        </w:rPr>
      </w:pPr>
    </w:p>
    <w:p w:rsidR="004B4385" w:rsidRDefault="00A421AA">
      <w:pPr>
        <w:rPr>
          <w:rFonts w:ascii="仿宋_GB2312" w:eastAsia="仿宋_GB2312"/>
          <w:sz w:val="24"/>
          <w:szCs w:val="24"/>
        </w:rPr>
      </w:pPr>
      <w:r>
        <w:rPr>
          <w:rFonts w:ascii="仿宋_GB2312" w:eastAsia="仿宋_GB2312" w:cs="楷体_GB2312" w:hint="eastAsia"/>
          <w:b/>
          <w:sz w:val="24"/>
          <w:szCs w:val="24"/>
        </w:rPr>
        <w:t xml:space="preserve"> </w:t>
      </w:r>
      <w:r>
        <w:rPr>
          <w:rFonts w:ascii="仿宋_GB2312" w:eastAsia="仿宋_GB2312" w:cs="楷体_GB2312" w:hint="eastAsia"/>
          <w:b/>
          <w:sz w:val="24"/>
          <w:szCs w:val="24"/>
        </w:rPr>
        <w:t>特别提示：投资者购买</w:t>
      </w:r>
      <w:r>
        <w:rPr>
          <w:rFonts w:ascii="仿宋_GB2312" w:eastAsia="仿宋_GB2312" w:hint="eastAsia"/>
          <w:b/>
          <w:sz w:val="24"/>
          <w:szCs w:val="24"/>
        </w:rPr>
        <w:t>嵊州农商行丰收信福202210</w:t>
      </w:r>
      <w:r>
        <w:rPr>
          <w:rFonts w:ascii="仿宋_GB2312" w:eastAsia="仿宋_GB2312" w:hint="eastAsia"/>
          <w:b/>
          <w:sz w:val="24"/>
          <w:szCs w:val="24"/>
        </w:rPr>
        <w:t>期封闭式净值型理财产品</w:t>
      </w:r>
      <w:r>
        <w:rPr>
          <w:rFonts w:ascii="仿宋_GB2312" w:eastAsia="仿宋_GB2312" w:cs="楷体_GB2312" w:hint="eastAsia"/>
          <w:b/>
          <w:sz w:val="24"/>
          <w:szCs w:val="24"/>
        </w:rPr>
        <w:t>(</w:t>
      </w:r>
      <w:r>
        <w:rPr>
          <w:rFonts w:ascii="仿宋_GB2312" w:eastAsia="仿宋_GB2312" w:cs="楷体_GB2312" w:hint="eastAsia"/>
          <w:b/>
          <w:sz w:val="24"/>
          <w:szCs w:val="24"/>
        </w:rPr>
        <w:t>产品代码：</w:t>
      </w:r>
      <w:r>
        <w:rPr>
          <w:rFonts w:ascii="仿宋_GB2312" w:eastAsia="仿宋_GB2312" w:cs="楷体_GB2312" w:hint="eastAsia"/>
          <w:b/>
          <w:sz w:val="24"/>
          <w:szCs w:val="24"/>
        </w:rPr>
        <w:t>FSXFFBJZ893000202210</w:t>
      </w:r>
      <w:r>
        <w:rPr>
          <w:rFonts w:ascii="仿宋_GB2312" w:eastAsia="仿宋_GB2312" w:cs="楷体_GB2312" w:hint="eastAsia"/>
          <w:b/>
          <w:sz w:val="24"/>
          <w:szCs w:val="24"/>
        </w:rPr>
        <w:t>)</w:t>
      </w:r>
      <w:r>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1.</w:t>
      </w:r>
      <w:r>
        <w:rPr>
          <w:rFonts w:ascii="仿宋_GB2312" w:eastAsia="仿宋_GB2312" w:cs="楷体_GB2312" w:hint="eastAsia"/>
          <w:sz w:val="24"/>
          <w:szCs w:val="24"/>
        </w:rPr>
        <w:t>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2.</w:t>
      </w:r>
      <w:r>
        <w:rPr>
          <w:rFonts w:ascii="仿宋_GB2312" w:eastAsia="仿宋_GB2312" w:cs="楷体_GB2312" w:hint="eastAsia"/>
          <w:sz w:val="24"/>
          <w:szCs w:val="24"/>
        </w:rPr>
        <w:t>市场风险：涉及到利率风险、经济周期风险、政策风险等多种市场风险。如在理财期内，市场利率上升，本理财产品的收益不随市场利率上升而提高。</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3.</w:t>
      </w:r>
      <w:r>
        <w:rPr>
          <w:rFonts w:ascii="仿宋_GB2312" w:eastAsia="仿宋_GB2312" w:cs="楷体_GB2312" w:hint="eastAsia"/>
          <w:sz w:val="24"/>
          <w:szCs w:val="24"/>
        </w:rPr>
        <w:t>流动性风险：本理财产品到期</w:t>
      </w:r>
      <w:r>
        <w:rPr>
          <w:rFonts w:ascii="仿宋_GB2312" w:eastAsia="仿宋_GB2312" w:cs="楷体_GB2312" w:hint="eastAsia"/>
          <w:sz w:val="24"/>
          <w:szCs w:val="24"/>
        </w:rPr>
        <w:t>前投资者无权提前终止或赎回。</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4.</w:t>
      </w:r>
      <w:r>
        <w:rPr>
          <w:rFonts w:ascii="仿宋_GB2312" w:eastAsia="仿宋_GB2312" w:cs="楷体_GB2312" w:hint="eastAsia"/>
          <w:sz w:val="24"/>
          <w:szCs w:val="24"/>
        </w:rPr>
        <w:t>提前终止风险：在投资期内，如发生本行认为需要提前终止本理财产品的情况，本行有权提前终止本理财产品。投资者可能无法实现期初预期的全部收益。</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5.</w:t>
      </w:r>
      <w:r>
        <w:rPr>
          <w:rFonts w:ascii="仿宋_GB2312" w:eastAsia="仿宋_GB2312" w:cs="楷体_GB2312" w:hint="eastAsia"/>
          <w:sz w:val="24"/>
          <w:szCs w:val="24"/>
        </w:rPr>
        <w:t>延期风险：如因理财产品项下对应的理财财产不能及时变现等原因造成理财产品不能按时偿还本金及收益，理财产品将面临期限相应延长或进行二次清算的可能。</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6.</w:t>
      </w:r>
      <w:r>
        <w:rPr>
          <w:rFonts w:ascii="仿宋_GB2312" w:eastAsia="仿宋_GB2312" w:cs="楷体_GB2312" w:hint="eastAsia"/>
          <w:sz w:val="24"/>
          <w:szCs w:val="24"/>
        </w:rPr>
        <w:t>理财产品不成立风险：本理财产品开始认购至认购结束的期间，理财产品认购总金额未达到规模下限或市场发生剧烈波动，经本行判断难以按照本理财产品书规定向投资者提供本理财产品，本行有权宣布本理财产品</w:t>
      </w:r>
      <w:r>
        <w:rPr>
          <w:rFonts w:ascii="仿宋_GB2312" w:eastAsia="仿宋_GB2312" w:cs="楷体_GB2312" w:hint="eastAsia"/>
          <w:sz w:val="24"/>
          <w:szCs w:val="24"/>
        </w:rPr>
        <w:t>不成立。</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7.</w:t>
      </w:r>
      <w:r>
        <w:rPr>
          <w:rFonts w:ascii="仿宋_GB2312" w:eastAsia="仿宋_GB2312" w:cs="楷体_GB2312" w:hint="eastAsia"/>
          <w:sz w:val="24"/>
          <w:szCs w:val="24"/>
        </w:rPr>
        <w:t>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8.</w:t>
      </w:r>
      <w:r>
        <w:rPr>
          <w:rFonts w:ascii="仿宋_GB2312" w:eastAsia="仿宋_GB2312" w:cs="楷体_GB2312" w:hint="eastAsia"/>
          <w:sz w:val="24"/>
          <w:szCs w:val="24"/>
        </w:rPr>
        <w:t>其他风险：战争、自然灾害等不可抗力因素的出现，将会严重影响金融市场的运行，可能导致受托管理资产的损失，甚至影响理财产品的受理、投资、偿还等的正常运行，进而影响理财产品的资金安全。</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9.</w:t>
      </w:r>
      <w:r>
        <w:rPr>
          <w:rFonts w:ascii="仿宋_GB2312" w:eastAsia="仿宋_GB2312" w:cs="楷体_GB2312" w:hint="eastAsia"/>
          <w:sz w:val="24"/>
          <w:szCs w:val="24"/>
        </w:rPr>
        <w:t>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上述举例提示可能并未穷尽本理财产品项下可能出现的所有风险。</w:t>
      </w:r>
    </w:p>
    <w:p w:rsidR="004B4385" w:rsidRDefault="00A421AA">
      <w:pPr>
        <w:widowControl/>
        <w:spacing w:line="360" w:lineRule="exact"/>
        <w:ind w:firstLineChars="196" w:firstLine="472"/>
        <w:jc w:val="left"/>
        <w:rPr>
          <w:rFonts w:ascii="仿宋_GB2312" w:eastAsia="仿宋_GB2312"/>
          <w:b/>
          <w:color w:val="000000"/>
          <w:sz w:val="24"/>
          <w:szCs w:val="24"/>
        </w:rPr>
      </w:pPr>
      <w:r>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4B4385" w:rsidRDefault="00A421AA">
      <w:pPr>
        <w:autoSpaceDE w:val="0"/>
        <w:autoSpaceDN w:val="0"/>
        <w:spacing w:line="360" w:lineRule="exact"/>
        <w:ind w:firstLineChars="200" w:firstLine="482"/>
        <w:jc w:val="left"/>
        <w:rPr>
          <w:rFonts w:ascii="仿宋_GB2312" w:eastAsia="仿宋_GB2312" w:cs="楷体_GB2312"/>
          <w:b/>
          <w:sz w:val="24"/>
          <w:szCs w:val="24"/>
        </w:rPr>
      </w:pPr>
      <w:r>
        <w:rPr>
          <w:rFonts w:ascii="仿宋_GB2312" w:eastAsia="仿宋_GB2312" w:cs="楷体_GB2312" w:hint="eastAsia"/>
          <w:b/>
          <w:sz w:val="24"/>
          <w:szCs w:val="24"/>
        </w:rPr>
        <w:t>客户在投资者签字栏签字的行为即表示客户已详细</w:t>
      </w:r>
      <w:r>
        <w:rPr>
          <w:rFonts w:ascii="仿宋_GB2312" w:eastAsia="仿宋_GB2312" w:cs="楷体_GB2312" w:hint="eastAsia"/>
          <w:b/>
          <w:sz w:val="24"/>
          <w:szCs w:val="24"/>
        </w:rPr>
        <w:t>阅知《</w:t>
      </w:r>
      <w:r>
        <w:rPr>
          <w:rFonts w:ascii="仿宋_GB2312" w:eastAsia="仿宋_GB2312" w:hint="eastAsia"/>
          <w:b/>
          <w:color w:val="000000"/>
          <w:sz w:val="24"/>
          <w:szCs w:val="24"/>
        </w:rPr>
        <w:t>浙江嵊州农村商业银行股份有限公司丰收信福202210</w:t>
      </w:r>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说明书》《</w:t>
      </w:r>
      <w:r>
        <w:rPr>
          <w:rFonts w:ascii="仿宋_GB2312" w:eastAsia="仿宋_GB2312" w:hint="eastAsia"/>
          <w:b/>
          <w:color w:val="000000"/>
          <w:sz w:val="24"/>
          <w:szCs w:val="24"/>
        </w:rPr>
        <w:t>浙江嵊州农村商业银行股份有限公司丰收信福202210</w:t>
      </w:r>
      <w:bookmarkStart w:id="0" w:name="_GoBack"/>
      <w:bookmarkEnd w:id="0"/>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风险揭示书》。</w:t>
      </w:r>
      <w:r>
        <w:rPr>
          <w:rFonts w:ascii="仿宋_GB2312" w:eastAsia="仿宋_GB2312" w:hint="eastAsia"/>
          <w:b/>
          <w:color w:val="000000"/>
          <w:sz w:val="24"/>
          <w:szCs w:val="24"/>
        </w:rPr>
        <w:t>嵊州农商银行</w:t>
      </w:r>
      <w:r>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4B4385" w:rsidRDefault="00A421AA" w:rsidP="00A421AA">
      <w:pPr>
        <w:pStyle w:val="a6"/>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Pr>
          <w:rFonts w:ascii="仿宋_GB2312" w:eastAsia="仿宋_GB2312" w:hAnsi="Times New Roman" w:cs="Times New Roman" w:hint="eastAsia"/>
          <w:b/>
          <w:bCs/>
          <w:color w:val="000000"/>
        </w:rPr>
        <w:t>投资者签字栏：</w:t>
      </w:r>
    </w:p>
    <w:p w:rsidR="004B4385" w:rsidRDefault="00A421AA" w:rsidP="00A421AA">
      <w:pPr>
        <w:pStyle w:val="a6"/>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w:t>
      </w:r>
      <w:r>
        <w:rPr>
          <w:rFonts w:ascii="仿宋_GB2312" w:eastAsia="仿宋_GB2312" w:hint="eastAsia"/>
          <w:color w:val="000000"/>
          <w:szCs w:val="21"/>
        </w:rPr>
        <w:t xml:space="preserve">     </w:t>
      </w:r>
      <w:r>
        <w:rPr>
          <w:rFonts w:ascii="仿宋_GB2312" w:eastAsia="仿宋_GB2312" w:hint="eastAsia"/>
          <w:color w:val="000000"/>
          <w:szCs w:val="21"/>
        </w:rPr>
        <w:t>月</w:t>
      </w:r>
      <w:r>
        <w:rPr>
          <w:rFonts w:ascii="仿宋_GB2312" w:eastAsia="仿宋_GB2312" w:hint="eastAsia"/>
          <w:color w:val="000000"/>
          <w:szCs w:val="21"/>
        </w:rPr>
        <w:t xml:space="preserve">     </w:t>
      </w:r>
      <w:r>
        <w:rPr>
          <w:rFonts w:ascii="仿宋_GB2312" w:eastAsia="仿宋_GB2312" w:hint="eastAsia"/>
          <w:color w:val="000000"/>
          <w:szCs w:val="21"/>
        </w:rPr>
        <w:t>日</w:t>
      </w:r>
    </w:p>
    <w:p w:rsidR="004B4385" w:rsidRDefault="004B4385">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4B4385" w:rsidRDefault="00A421AA">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4B4385" w:rsidRDefault="004B4385">
      <w:pPr>
        <w:adjustRightInd w:val="0"/>
        <w:snapToGrid w:val="0"/>
        <w:ind w:leftChars="-67" w:left="-141"/>
        <w:rPr>
          <w:rFonts w:ascii="仿宋_GB2312" w:eastAsia="仿宋_GB2312" w:cs="楷体_GB2312"/>
          <w:b/>
          <w:sz w:val="24"/>
          <w:szCs w:val="21"/>
        </w:rPr>
      </w:pPr>
    </w:p>
    <w:p w:rsidR="004B4385" w:rsidRDefault="00A421AA">
      <w:pPr>
        <w:pStyle w:val="a6"/>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933"/>
      </w:tblGrid>
      <w:tr w:rsidR="004B4385">
        <w:trPr>
          <w:trHeight w:val="6611"/>
        </w:trPr>
        <w:tc>
          <w:tcPr>
            <w:tcW w:w="8933" w:type="dxa"/>
          </w:tcPr>
          <w:p w:rsidR="004B4385" w:rsidRDefault="00A421AA">
            <w:pPr>
              <w:rPr>
                <w:rFonts w:eastAsia="仿宋_GB2312" w:cs="Arial Unicode MS"/>
                <w:color w:val="000000"/>
                <w:kern w:val="0"/>
                <w:sz w:val="24"/>
                <w:szCs w:val="24"/>
              </w:rPr>
            </w:pPr>
            <w:r>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4B4385" w:rsidRDefault="00A421AA">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4B4385" w:rsidRDefault="004B4385">
            <w:pPr>
              <w:rPr>
                <w:rFonts w:eastAsia="仿宋_GB2312" w:cs="Arial Unicode MS"/>
                <w:color w:val="000000"/>
                <w:kern w:val="0"/>
                <w:szCs w:val="21"/>
              </w:rPr>
            </w:pPr>
          </w:p>
          <w:p w:rsidR="004B4385" w:rsidRDefault="00A421AA">
            <w:pPr>
              <w:rPr>
                <w:rFonts w:eastAsia="仿宋_GB2312" w:cs="Arial Unicode MS"/>
                <w:color w:val="000000"/>
                <w:kern w:val="0"/>
                <w:szCs w:val="21"/>
                <w:u w:val="single"/>
              </w:rPr>
            </w:pPr>
            <w:r>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A421AA">
            <w:pPr>
              <w:ind w:firstLine="284"/>
              <w:rPr>
                <w:rFonts w:ascii="仿宋_GB2312" w:eastAsia="仿宋_GB2312"/>
                <w:b/>
                <w:color w:val="000000"/>
                <w:szCs w:val="21"/>
              </w:rPr>
            </w:pPr>
            <w:r>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ascii="楷体_GB2312" w:eastAsia="仿宋_GB2312" w:hint="eastAsia"/>
                <w:color w:val="000000"/>
                <w:szCs w:val="21"/>
              </w:rPr>
              <w:t>年月日</w:t>
            </w:r>
          </w:p>
        </w:tc>
      </w:tr>
    </w:tbl>
    <w:p w:rsidR="004B4385" w:rsidRDefault="004B4385">
      <w:pPr>
        <w:rPr>
          <w:rFonts w:ascii="宋体" w:eastAsia="仿宋_GB2312" w:hAnsi="宋体"/>
          <w:b/>
          <w:kern w:val="0"/>
          <w:szCs w:val="21"/>
        </w:rPr>
      </w:pPr>
    </w:p>
    <w:p w:rsidR="004B4385" w:rsidRDefault="004B4385"/>
    <w:sectPr w:rsidR="004B4385" w:rsidSect="004B4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1AA" w:rsidRDefault="00A421AA" w:rsidP="00A421AA">
      <w:r>
        <w:separator/>
      </w:r>
    </w:p>
  </w:endnote>
  <w:endnote w:type="continuationSeparator" w:id="1">
    <w:p w:rsidR="00A421AA" w:rsidRDefault="00A421AA" w:rsidP="00A4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1AA" w:rsidRDefault="00A421AA" w:rsidP="00A421AA">
      <w:r>
        <w:separator/>
      </w:r>
    </w:p>
  </w:footnote>
  <w:footnote w:type="continuationSeparator" w:id="1">
    <w:p w:rsidR="00A421AA" w:rsidRDefault="00A421AA" w:rsidP="00A4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4385"/>
    <w:rsid w:val="004B76F2"/>
    <w:rsid w:val="004E5D3F"/>
    <w:rsid w:val="005077AD"/>
    <w:rsid w:val="00531840"/>
    <w:rsid w:val="0062620E"/>
    <w:rsid w:val="00672D38"/>
    <w:rsid w:val="0068535A"/>
    <w:rsid w:val="006B3026"/>
    <w:rsid w:val="006C5490"/>
    <w:rsid w:val="006D44E4"/>
    <w:rsid w:val="00795FB5"/>
    <w:rsid w:val="007C2D09"/>
    <w:rsid w:val="007E5803"/>
    <w:rsid w:val="00805D1B"/>
    <w:rsid w:val="00841A3E"/>
    <w:rsid w:val="00891D66"/>
    <w:rsid w:val="008A0495"/>
    <w:rsid w:val="008B5DA3"/>
    <w:rsid w:val="009736A6"/>
    <w:rsid w:val="0099767C"/>
    <w:rsid w:val="009F3127"/>
    <w:rsid w:val="009F54DA"/>
    <w:rsid w:val="00A421AA"/>
    <w:rsid w:val="00A54B52"/>
    <w:rsid w:val="00A55C5C"/>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4F791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85"/>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4385"/>
    <w:rPr>
      <w:sz w:val="18"/>
      <w:szCs w:val="18"/>
    </w:rPr>
  </w:style>
  <w:style w:type="paragraph" w:styleId="a4">
    <w:name w:val="footer"/>
    <w:basedOn w:val="a"/>
    <w:link w:val="Char0"/>
    <w:uiPriority w:val="99"/>
    <w:semiHidden/>
    <w:unhideWhenUsed/>
    <w:rsid w:val="004B438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4B43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rsid w:val="004B4385"/>
    <w:pPr>
      <w:widowControl/>
      <w:spacing w:before="100" w:beforeAutospacing="1" w:after="100" w:afterAutospacing="1"/>
      <w:jc w:val="left"/>
    </w:pPr>
    <w:rPr>
      <w:rFonts w:ascii="宋体" w:hAnsi="宋体" w:cs="宋体"/>
      <w:kern w:val="0"/>
      <w:sz w:val="24"/>
      <w:szCs w:val="24"/>
    </w:rPr>
  </w:style>
  <w:style w:type="character" w:customStyle="1" w:styleId="Char1">
    <w:name w:val="页眉 Char"/>
    <w:basedOn w:val="a0"/>
    <w:link w:val="a5"/>
    <w:uiPriority w:val="99"/>
    <w:semiHidden/>
    <w:rsid w:val="004B4385"/>
    <w:rPr>
      <w:sz w:val="18"/>
      <w:szCs w:val="18"/>
    </w:rPr>
  </w:style>
  <w:style w:type="character" w:customStyle="1" w:styleId="Char0">
    <w:name w:val="页脚 Char"/>
    <w:basedOn w:val="a0"/>
    <w:link w:val="a4"/>
    <w:uiPriority w:val="99"/>
    <w:semiHidden/>
    <w:rsid w:val="004B4385"/>
    <w:rPr>
      <w:sz w:val="18"/>
      <w:szCs w:val="18"/>
    </w:rPr>
  </w:style>
  <w:style w:type="character" w:customStyle="1" w:styleId="Char">
    <w:name w:val="批注框文本 Char"/>
    <w:basedOn w:val="a0"/>
    <w:link w:val="a3"/>
    <w:uiPriority w:val="99"/>
    <w:semiHidden/>
    <w:rsid w:val="004B438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吴姗珊</cp:lastModifiedBy>
  <cp:revision>37</cp:revision>
  <dcterms:created xsi:type="dcterms:W3CDTF">2020-07-30T00:27:00Z</dcterms:created>
  <dcterms:modified xsi:type="dcterms:W3CDTF">2022-02-07T07:37:00Z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