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B43BC" w:rsidRDefault="001E4040">
      <w:pPr>
        <w:widowControl/>
        <w:spacing w:line="360" w:lineRule="auto"/>
        <w:jc w:val="center"/>
        <w:rPr>
          <w:rFonts w:ascii="黑体" w:eastAsia="黑体" w:hAnsi="黑体"/>
          <w:b/>
          <w:sz w:val="28"/>
          <w:szCs w:val="28"/>
        </w:rPr>
      </w:pPr>
      <w:r>
        <w:rPr>
          <w:rFonts w:ascii="黑体" w:eastAsia="黑体" w:hAnsi="黑体"/>
          <w:b/>
          <w:noProof/>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6B43BC" w:rsidRDefault="001E4040">
      <w:pPr>
        <w:widowControl/>
        <w:spacing w:line="360" w:lineRule="auto"/>
        <w:jc w:val="center"/>
        <w:rPr>
          <w:b/>
          <w:szCs w:val="21"/>
        </w:rPr>
      </w:pPr>
      <w:r>
        <w:rPr>
          <w:rFonts w:ascii="黑体" w:eastAsia="黑体" w:hAnsi="黑体" w:hint="eastAsia"/>
          <w:b/>
          <w:sz w:val="44"/>
          <w:szCs w:val="44"/>
        </w:rPr>
        <w:t>兴银理财天天万利</w:t>
      </w:r>
      <w:proofErr w:type="gramStart"/>
      <w:r>
        <w:rPr>
          <w:rFonts w:ascii="黑体" w:eastAsia="黑体" w:hAnsi="黑体" w:hint="eastAsia"/>
          <w:b/>
          <w:sz w:val="44"/>
          <w:szCs w:val="44"/>
        </w:rPr>
        <w:t>宝稳利</w:t>
      </w:r>
      <w:proofErr w:type="gramEnd"/>
      <w:r>
        <w:rPr>
          <w:rFonts w:ascii="黑体" w:eastAsia="黑体" w:hAnsi="黑体" w:hint="eastAsia"/>
          <w:b/>
          <w:sz w:val="44"/>
          <w:szCs w:val="44"/>
        </w:rPr>
        <w:t>净值型理财产品销售文件</w:t>
      </w:r>
    </w:p>
    <w:tbl>
      <w:tblPr>
        <w:tblStyle w:val="af4"/>
        <w:tblW w:w="89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0"/>
        <w:gridCol w:w="6008"/>
        <w:gridCol w:w="1924"/>
      </w:tblGrid>
      <w:tr w:rsidR="006B43BC">
        <w:trPr>
          <w:jc w:val="center"/>
        </w:trPr>
        <w:tc>
          <w:tcPr>
            <w:tcW w:w="990" w:type="dxa"/>
          </w:tcPr>
          <w:p w:rsidR="006B43BC" w:rsidRDefault="001E4040">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序号</w:t>
            </w:r>
          </w:p>
        </w:tc>
        <w:tc>
          <w:tcPr>
            <w:tcW w:w="6008" w:type="dxa"/>
          </w:tcPr>
          <w:p w:rsidR="006B43BC" w:rsidRDefault="001E4040">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理财产品销售文件中的具体文件名称</w:t>
            </w:r>
          </w:p>
        </w:tc>
        <w:tc>
          <w:tcPr>
            <w:tcW w:w="1924" w:type="dxa"/>
          </w:tcPr>
          <w:p w:rsidR="006B43BC" w:rsidRDefault="001E4040">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文件简称</w:t>
            </w:r>
          </w:p>
        </w:tc>
      </w:tr>
      <w:tr w:rsidR="006B43BC">
        <w:trPr>
          <w:jc w:val="center"/>
        </w:trPr>
        <w:tc>
          <w:tcPr>
            <w:tcW w:w="990" w:type="dxa"/>
          </w:tcPr>
          <w:p w:rsidR="006B43BC" w:rsidRDefault="001E4040">
            <w:pPr>
              <w:pStyle w:val="af7"/>
              <w:widowControl/>
              <w:spacing w:line="360" w:lineRule="auto"/>
              <w:ind w:firstLineChars="0" w:firstLine="0"/>
              <w:jc w:val="center"/>
              <w:rPr>
                <w:rFonts w:ascii="宋体" w:hAnsi="宋体"/>
                <w:kern w:val="0"/>
                <w:szCs w:val="21"/>
              </w:rPr>
            </w:pPr>
            <w:r>
              <w:rPr>
                <w:rFonts w:ascii="宋体" w:hAnsi="宋体"/>
                <w:kern w:val="0"/>
                <w:sz w:val="20"/>
                <w:szCs w:val="21"/>
              </w:rPr>
              <w:t>1</w:t>
            </w:r>
          </w:p>
        </w:tc>
        <w:tc>
          <w:tcPr>
            <w:tcW w:w="6008" w:type="dxa"/>
          </w:tcPr>
          <w:p w:rsidR="006B43BC" w:rsidRDefault="001E4040">
            <w:pPr>
              <w:widowControl/>
              <w:spacing w:line="360" w:lineRule="auto"/>
              <w:rPr>
                <w:rFonts w:ascii="宋体" w:hAnsi="宋体"/>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净值型理财产品投资协议书</w:t>
            </w:r>
            <w:r>
              <w:rPr>
                <w:rFonts w:ascii="宋体" w:hAnsi="宋体"/>
                <w:kern w:val="0"/>
                <w:sz w:val="20"/>
                <w:szCs w:val="21"/>
              </w:rPr>
              <w:t xml:space="preserve"> </w:t>
            </w:r>
          </w:p>
        </w:tc>
        <w:tc>
          <w:tcPr>
            <w:tcW w:w="1924" w:type="dxa"/>
          </w:tcPr>
          <w:p w:rsidR="006B43BC" w:rsidRDefault="001E4040">
            <w:pPr>
              <w:widowControl/>
              <w:spacing w:line="360" w:lineRule="auto"/>
              <w:jc w:val="center"/>
              <w:rPr>
                <w:rFonts w:ascii="宋体" w:hAnsi="宋体"/>
                <w:kern w:val="0"/>
                <w:szCs w:val="21"/>
              </w:rPr>
            </w:pPr>
            <w:r>
              <w:rPr>
                <w:rFonts w:ascii="宋体" w:hAnsi="宋体" w:hint="eastAsia"/>
                <w:kern w:val="0"/>
                <w:sz w:val="20"/>
                <w:szCs w:val="21"/>
              </w:rPr>
              <w:t>投资协议书</w:t>
            </w:r>
          </w:p>
        </w:tc>
      </w:tr>
      <w:tr w:rsidR="006B43BC">
        <w:trPr>
          <w:trHeight w:val="323"/>
          <w:jc w:val="center"/>
        </w:trPr>
        <w:tc>
          <w:tcPr>
            <w:tcW w:w="990" w:type="dxa"/>
          </w:tcPr>
          <w:p w:rsidR="006B43BC" w:rsidRDefault="001E4040">
            <w:pPr>
              <w:pStyle w:val="af7"/>
              <w:widowControl/>
              <w:spacing w:line="360" w:lineRule="auto"/>
              <w:ind w:firstLineChars="0" w:firstLine="0"/>
              <w:jc w:val="center"/>
              <w:rPr>
                <w:rFonts w:ascii="宋体" w:hAnsi="宋体"/>
                <w:kern w:val="0"/>
                <w:szCs w:val="21"/>
              </w:rPr>
            </w:pPr>
            <w:r>
              <w:rPr>
                <w:rFonts w:ascii="宋体" w:hAnsi="宋体"/>
                <w:kern w:val="0"/>
                <w:sz w:val="20"/>
                <w:szCs w:val="21"/>
              </w:rPr>
              <w:t>2</w:t>
            </w:r>
          </w:p>
        </w:tc>
        <w:tc>
          <w:tcPr>
            <w:tcW w:w="6008" w:type="dxa"/>
          </w:tcPr>
          <w:p w:rsidR="006B43BC" w:rsidRDefault="001E4040">
            <w:pPr>
              <w:widowControl/>
              <w:spacing w:line="360" w:lineRule="auto"/>
              <w:rPr>
                <w:rFonts w:ascii="宋体" w:hAnsi="宋体"/>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w:t>
            </w:r>
            <w:proofErr w:type="gramStart"/>
            <w:r>
              <w:rPr>
                <w:rFonts w:ascii="宋体" w:hAnsi="宋体" w:hint="eastAsia"/>
                <w:kern w:val="0"/>
                <w:sz w:val="20"/>
                <w:szCs w:val="21"/>
              </w:rPr>
              <w:t>产品产品</w:t>
            </w:r>
            <w:proofErr w:type="gramEnd"/>
            <w:r>
              <w:rPr>
                <w:rFonts w:ascii="宋体" w:hAnsi="宋体" w:hint="eastAsia"/>
                <w:kern w:val="0"/>
                <w:sz w:val="20"/>
                <w:szCs w:val="21"/>
              </w:rPr>
              <w:t>说明书</w:t>
            </w:r>
          </w:p>
        </w:tc>
        <w:tc>
          <w:tcPr>
            <w:tcW w:w="1924" w:type="dxa"/>
          </w:tcPr>
          <w:p w:rsidR="006B43BC" w:rsidRDefault="001E4040">
            <w:pPr>
              <w:pStyle w:val="af7"/>
              <w:widowControl/>
              <w:spacing w:line="360" w:lineRule="auto"/>
              <w:ind w:firstLineChars="0" w:firstLine="0"/>
              <w:jc w:val="center"/>
              <w:rPr>
                <w:rFonts w:ascii="宋体" w:hAnsi="宋体"/>
                <w:kern w:val="0"/>
                <w:szCs w:val="21"/>
              </w:rPr>
            </w:pPr>
            <w:r>
              <w:rPr>
                <w:rFonts w:ascii="宋体" w:hAnsi="宋体" w:hint="eastAsia"/>
                <w:kern w:val="0"/>
                <w:sz w:val="20"/>
                <w:szCs w:val="21"/>
              </w:rPr>
              <w:t>产品说明书</w:t>
            </w:r>
          </w:p>
        </w:tc>
      </w:tr>
      <w:tr w:rsidR="006B43BC">
        <w:trPr>
          <w:jc w:val="center"/>
        </w:trPr>
        <w:tc>
          <w:tcPr>
            <w:tcW w:w="990" w:type="dxa"/>
          </w:tcPr>
          <w:p w:rsidR="006B43BC" w:rsidRDefault="001E4040">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3</w:t>
            </w:r>
          </w:p>
        </w:tc>
        <w:tc>
          <w:tcPr>
            <w:tcW w:w="6008" w:type="dxa"/>
          </w:tcPr>
          <w:p w:rsidR="006B43BC" w:rsidRDefault="001E4040">
            <w:pPr>
              <w:widowControl/>
              <w:spacing w:line="360" w:lineRule="auto"/>
              <w:rPr>
                <w:rFonts w:ascii="宋体" w:hAnsi="宋体"/>
                <w:kern w:val="0"/>
                <w:sz w:val="20"/>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净值型理财产品（代理）销售协议书</w:t>
            </w:r>
          </w:p>
        </w:tc>
        <w:tc>
          <w:tcPr>
            <w:tcW w:w="1924" w:type="dxa"/>
          </w:tcPr>
          <w:p w:rsidR="006B43BC" w:rsidRDefault="001E4040">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（代理）销售</w:t>
            </w:r>
            <w:r>
              <w:rPr>
                <w:rFonts w:ascii="宋体" w:hAnsi="宋体"/>
                <w:kern w:val="0"/>
                <w:sz w:val="20"/>
                <w:szCs w:val="21"/>
              </w:rPr>
              <w:t>协议书</w:t>
            </w:r>
          </w:p>
        </w:tc>
      </w:tr>
      <w:tr w:rsidR="006B43BC">
        <w:trPr>
          <w:jc w:val="center"/>
        </w:trPr>
        <w:tc>
          <w:tcPr>
            <w:tcW w:w="990" w:type="dxa"/>
          </w:tcPr>
          <w:p w:rsidR="006B43BC" w:rsidRDefault="001E4040">
            <w:pPr>
              <w:pStyle w:val="af7"/>
              <w:widowControl/>
              <w:spacing w:line="360" w:lineRule="auto"/>
              <w:ind w:firstLineChars="0" w:firstLine="0"/>
              <w:jc w:val="center"/>
              <w:rPr>
                <w:rFonts w:ascii="宋体" w:hAnsi="宋体"/>
                <w:kern w:val="0"/>
                <w:szCs w:val="21"/>
              </w:rPr>
            </w:pPr>
            <w:r>
              <w:rPr>
                <w:rFonts w:ascii="宋体" w:hAnsi="宋体"/>
                <w:kern w:val="0"/>
                <w:sz w:val="20"/>
                <w:szCs w:val="21"/>
              </w:rPr>
              <w:t>4</w:t>
            </w:r>
          </w:p>
        </w:tc>
        <w:tc>
          <w:tcPr>
            <w:tcW w:w="6008" w:type="dxa"/>
          </w:tcPr>
          <w:p w:rsidR="006B43BC" w:rsidRDefault="001E4040">
            <w:pPr>
              <w:widowControl/>
              <w:spacing w:line="360" w:lineRule="auto"/>
              <w:rPr>
                <w:rFonts w:ascii="宋体" w:hAnsi="宋体"/>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净值型理财产品风险揭示书</w:t>
            </w:r>
          </w:p>
        </w:tc>
        <w:tc>
          <w:tcPr>
            <w:tcW w:w="1924" w:type="dxa"/>
          </w:tcPr>
          <w:p w:rsidR="006B43BC" w:rsidRDefault="001E4040">
            <w:pPr>
              <w:widowControl/>
              <w:spacing w:line="360" w:lineRule="auto"/>
              <w:jc w:val="center"/>
              <w:rPr>
                <w:rFonts w:ascii="宋体" w:hAnsi="宋体"/>
                <w:kern w:val="0"/>
                <w:szCs w:val="21"/>
              </w:rPr>
            </w:pPr>
            <w:r>
              <w:rPr>
                <w:rFonts w:ascii="宋体" w:hAnsi="宋体" w:hint="eastAsia"/>
                <w:kern w:val="0"/>
                <w:sz w:val="20"/>
                <w:szCs w:val="21"/>
              </w:rPr>
              <w:t>风险揭示书</w:t>
            </w:r>
          </w:p>
        </w:tc>
      </w:tr>
      <w:tr w:rsidR="006B43BC">
        <w:trPr>
          <w:trHeight w:val="431"/>
          <w:jc w:val="center"/>
        </w:trPr>
        <w:tc>
          <w:tcPr>
            <w:tcW w:w="990" w:type="dxa"/>
          </w:tcPr>
          <w:p w:rsidR="006B43BC" w:rsidRDefault="001E4040">
            <w:pPr>
              <w:pStyle w:val="af7"/>
              <w:widowControl/>
              <w:spacing w:line="360" w:lineRule="auto"/>
              <w:ind w:firstLineChars="0" w:firstLine="0"/>
              <w:jc w:val="center"/>
              <w:rPr>
                <w:rFonts w:ascii="宋体" w:hAnsi="宋体"/>
                <w:kern w:val="0"/>
                <w:szCs w:val="21"/>
              </w:rPr>
            </w:pPr>
            <w:r>
              <w:rPr>
                <w:rFonts w:ascii="宋体" w:hAnsi="宋体"/>
                <w:kern w:val="0"/>
                <w:sz w:val="20"/>
                <w:szCs w:val="21"/>
              </w:rPr>
              <w:t>5</w:t>
            </w:r>
          </w:p>
        </w:tc>
        <w:tc>
          <w:tcPr>
            <w:tcW w:w="6008" w:type="dxa"/>
          </w:tcPr>
          <w:p w:rsidR="006B43BC" w:rsidRDefault="001E4040">
            <w:pPr>
              <w:widowControl/>
              <w:spacing w:line="360" w:lineRule="auto"/>
              <w:rPr>
                <w:rFonts w:ascii="宋体" w:hAnsi="宋体"/>
                <w:kern w:val="0"/>
                <w:sz w:val="20"/>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净值型理财产品投资者权益须知</w:t>
            </w:r>
          </w:p>
        </w:tc>
        <w:tc>
          <w:tcPr>
            <w:tcW w:w="1924" w:type="dxa"/>
          </w:tcPr>
          <w:p w:rsidR="006B43BC" w:rsidRDefault="001E4040">
            <w:pPr>
              <w:widowControl/>
              <w:spacing w:line="360" w:lineRule="auto"/>
              <w:jc w:val="center"/>
              <w:rPr>
                <w:rFonts w:ascii="宋体" w:hAnsi="宋体"/>
                <w:kern w:val="0"/>
                <w:szCs w:val="21"/>
              </w:rPr>
            </w:pPr>
            <w:r>
              <w:rPr>
                <w:rFonts w:ascii="宋体" w:hAnsi="宋体" w:hint="eastAsia"/>
                <w:kern w:val="0"/>
                <w:sz w:val="20"/>
                <w:szCs w:val="21"/>
              </w:rPr>
              <w:t>投资者权益须知</w:t>
            </w:r>
          </w:p>
        </w:tc>
      </w:tr>
    </w:tbl>
    <w:p w:rsidR="006B43BC" w:rsidRDefault="001E4040">
      <w:pPr>
        <w:widowControl/>
        <w:spacing w:line="360" w:lineRule="auto"/>
        <w:jc w:val="left"/>
        <w:rPr>
          <w:rFonts w:ascii="黑体" w:eastAsia="黑体" w:hAnsi="黑体"/>
          <w:b/>
          <w:szCs w:val="21"/>
        </w:rPr>
      </w:pPr>
      <w:r>
        <w:rPr>
          <w:rFonts w:ascii="黑体" w:eastAsia="黑体" w:hAnsi="黑体" w:hint="eastAsia"/>
          <w:b/>
          <w:szCs w:val="21"/>
        </w:rPr>
        <w:t>郑重提示：</w:t>
      </w:r>
    </w:p>
    <w:p w:rsidR="006B43BC" w:rsidRDefault="001E4040">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1、销售文件的组成和编制的提示</w:t>
      </w:r>
    </w:p>
    <w:p w:rsidR="006B43BC" w:rsidRDefault="001E4040">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《投资协议书》、《产品说明书》、《（代理）销售协议</w:t>
      </w:r>
      <w:r>
        <w:rPr>
          <w:rFonts w:ascii="黑体" w:eastAsia="黑体" w:hAnsi="黑体"/>
          <w:kern w:val="0"/>
          <w:szCs w:val="21"/>
        </w:rPr>
        <w:t>书</w:t>
      </w:r>
      <w:r>
        <w:rPr>
          <w:rFonts w:ascii="黑体" w:eastAsia="黑体" w:hAnsi="黑体" w:hint="eastAsia"/>
          <w:kern w:val="0"/>
          <w:szCs w:val="21"/>
        </w:rPr>
        <w:t>》、《风险揭示书》、《投资者权益须知》等文件共同构成一份完整且不可分割的理财产品销售文件。</w:t>
      </w:r>
    </w:p>
    <w:p w:rsidR="006B43BC" w:rsidRDefault="001E4040">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根据《理财公司理财产品销售管理暂行办法》（</w:t>
      </w:r>
      <w:r>
        <w:rPr>
          <w:rFonts w:ascii="黑体" w:eastAsia="黑体" w:hAnsi="黑体"/>
          <w:kern w:val="0"/>
          <w:szCs w:val="21"/>
        </w:rPr>
        <w:t>银保监会令</w:t>
      </w:r>
      <w:r>
        <w:rPr>
          <w:rFonts w:ascii="黑体" w:eastAsia="黑体" w:hAnsi="黑体" w:hint="eastAsia"/>
          <w:kern w:val="0"/>
          <w:szCs w:val="21"/>
        </w:rPr>
        <w:t>2</w:t>
      </w:r>
      <w:r>
        <w:rPr>
          <w:rFonts w:ascii="黑体" w:eastAsia="黑体" w:hAnsi="黑体"/>
          <w:kern w:val="0"/>
          <w:szCs w:val="21"/>
        </w:rPr>
        <w:t>021年第</w:t>
      </w:r>
      <w:r>
        <w:rPr>
          <w:rFonts w:ascii="黑体" w:eastAsia="黑体" w:hAnsi="黑体" w:hint="eastAsia"/>
          <w:kern w:val="0"/>
          <w:szCs w:val="21"/>
        </w:rPr>
        <w:t>4号）第2</w:t>
      </w:r>
      <w:r>
        <w:rPr>
          <w:rFonts w:ascii="黑体" w:eastAsia="黑体" w:hAnsi="黑体"/>
          <w:kern w:val="0"/>
          <w:szCs w:val="21"/>
        </w:rPr>
        <w:t>9条规定</w:t>
      </w:r>
      <w:r>
        <w:rPr>
          <w:rFonts w:ascii="黑体" w:eastAsia="黑体" w:hAnsi="黑体" w:hint="eastAsia"/>
          <w:kern w:val="0"/>
          <w:szCs w:val="21"/>
        </w:rPr>
        <w:t>，</w:t>
      </w:r>
      <w:r>
        <w:rPr>
          <w:rFonts w:ascii="黑体" w:eastAsia="黑体" w:hAnsi="黑体"/>
          <w:kern w:val="0"/>
          <w:szCs w:val="21"/>
        </w:rPr>
        <w:t>产品管理人统一编制本公司理财产品投资协议书和理财产品说明书</w:t>
      </w:r>
      <w:r>
        <w:rPr>
          <w:rFonts w:ascii="黑体" w:eastAsia="黑体" w:hAnsi="黑体" w:hint="eastAsia"/>
          <w:kern w:val="0"/>
          <w:szCs w:val="21"/>
        </w:rPr>
        <w:t>。代理销售机构可以接受理财公司委托编制代理销售协议书、风险揭示书、投资者权益须知等销售文件，并应当对其编制的销售文件进行合</w:t>
      </w:r>
      <w:proofErr w:type="gramStart"/>
      <w:r>
        <w:rPr>
          <w:rFonts w:ascii="黑体" w:eastAsia="黑体" w:hAnsi="黑体" w:hint="eastAsia"/>
          <w:kern w:val="0"/>
          <w:szCs w:val="21"/>
        </w:rPr>
        <w:t>规</w:t>
      </w:r>
      <w:proofErr w:type="gramEnd"/>
      <w:r>
        <w:rPr>
          <w:rFonts w:ascii="黑体" w:eastAsia="黑体" w:hAnsi="黑体" w:hint="eastAsia"/>
          <w:kern w:val="0"/>
          <w:szCs w:val="21"/>
        </w:rPr>
        <w:t>性审核，使用前向理财公司备案。</w:t>
      </w:r>
    </w:p>
    <w:p w:rsidR="006B43BC" w:rsidRDefault="001E4040">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2、投资者适当性的提示</w:t>
      </w:r>
    </w:p>
    <w:p w:rsidR="006B43BC" w:rsidRDefault="001E4040">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w:t>
      </w:r>
      <w:proofErr w:type="gramStart"/>
      <w:r>
        <w:rPr>
          <w:rFonts w:ascii="黑体" w:eastAsia="黑体" w:hAnsi="黑体" w:hint="eastAsia"/>
          <w:kern w:val="0"/>
          <w:szCs w:val="21"/>
        </w:rPr>
        <w:t>您风险</w:t>
      </w:r>
      <w:proofErr w:type="gramEnd"/>
      <w:r>
        <w:rPr>
          <w:rFonts w:ascii="黑体" w:eastAsia="黑体" w:hAnsi="黑体" w:hint="eastAsia"/>
          <w:kern w:val="0"/>
          <w:szCs w:val="21"/>
        </w:rPr>
        <w:t>承受能力的因素发生变化，请及时重新完成风险承受能力评估。</w:t>
      </w:r>
    </w:p>
    <w:p w:rsidR="006B43BC" w:rsidRDefault="001E4040">
      <w:pPr>
        <w:pStyle w:val="af7"/>
        <w:widowControl/>
        <w:snapToGrid w:val="0"/>
        <w:spacing w:line="360" w:lineRule="auto"/>
        <w:rPr>
          <w:rFonts w:ascii="黑体" w:eastAsia="黑体" w:hAnsi="黑体"/>
          <w:kern w:val="0"/>
          <w:szCs w:val="21"/>
        </w:rPr>
      </w:pPr>
      <w:r>
        <w:rPr>
          <w:rFonts w:ascii="黑体" w:eastAsia="黑体" w:hAnsi="黑体"/>
          <w:kern w:val="0"/>
          <w:szCs w:val="21"/>
        </w:rPr>
        <w:t>3</w:t>
      </w:r>
      <w:r>
        <w:rPr>
          <w:rFonts w:ascii="黑体" w:eastAsia="黑体" w:hAnsi="黑体" w:hint="eastAsia"/>
          <w:kern w:val="0"/>
          <w:szCs w:val="21"/>
        </w:rPr>
        <w:t>、</w:t>
      </w:r>
      <w:r>
        <w:rPr>
          <w:rFonts w:ascii="黑体" w:eastAsia="黑体" w:hAnsi="黑体"/>
          <w:kern w:val="0"/>
          <w:szCs w:val="21"/>
        </w:rPr>
        <w:t>签署合同</w:t>
      </w:r>
      <w:r>
        <w:rPr>
          <w:rFonts w:ascii="黑体" w:eastAsia="黑体" w:hAnsi="黑体" w:hint="eastAsia"/>
          <w:kern w:val="0"/>
          <w:szCs w:val="21"/>
        </w:rPr>
        <w:t>前</w:t>
      </w:r>
      <w:r>
        <w:rPr>
          <w:rFonts w:ascii="黑体" w:eastAsia="黑体" w:hAnsi="黑体"/>
          <w:kern w:val="0"/>
          <w:szCs w:val="21"/>
        </w:rPr>
        <w:t>阅读全部条款的提示</w:t>
      </w:r>
    </w:p>
    <w:p w:rsidR="006B43BC" w:rsidRDefault="001E4040">
      <w:pPr>
        <w:pStyle w:val="af7"/>
        <w:widowControl/>
        <w:snapToGrid w:val="0"/>
        <w:spacing w:line="360" w:lineRule="auto"/>
      </w:pPr>
      <w:r>
        <w:rPr>
          <w:rFonts w:ascii="黑体" w:eastAsia="黑体" w:hAnsi="黑体" w:hint="eastAsia"/>
          <w:kern w:val="0"/>
          <w:szCs w:val="21"/>
        </w:rPr>
        <w:t>为了维护您的权益，请在签署有关理财产品销售文件前，仔细阅读理财产品销售文件各条款（特别是</w:t>
      </w:r>
      <w:r>
        <w:rPr>
          <w:rFonts w:ascii="黑体" w:eastAsia="黑体" w:hAnsi="黑体"/>
          <w:kern w:val="0"/>
          <w:szCs w:val="21"/>
        </w:rPr>
        <w:t xml:space="preserve"> “</w:t>
      </w:r>
      <w:r>
        <w:rPr>
          <w:rFonts w:ascii="黑体" w:eastAsia="黑体" w:hAnsi="黑体" w:hint="eastAsia"/>
          <w:kern w:val="0"/>
          <w:szCs w:val="21"/>
        </w:rPr>
        <w:t>黑体字</w:t>
      </w:r>
      <w:r>
        <w:rPr>
          <w:rFonts w:ascii="黑体" w:eastAsia="黑体" w:hAnsi="黑体"/>
          <w:kern w:val="0"/>
          <w:szCs w:val="21"/>
        </w:rPr>
        <w:t>”</w:t>
      </w:r>
      <w:r>
        <w:rPr>
          <w:rFonts w:ascii="黑体" w:eastAsia="黑体" w:hAnsi="黑体" w:hint="eastAsia"/>
          <w:kern w:val="0"/>
          <w:szCs w:val="21"/>
        </w:rPr>
        <w:t>条款以及“★”标识以及“</w:t>
      </w:r>
      <w:r>
        <w:rPr>
          <w:rFonts w:asciiTheme="majorEastAsia" w:eastAsiaTheme="majorEastAsia" w:hAnsiTheme="majorEastAsia"/>
          <w:bCs/>
          <w:sz w:val="18"/>
          <w:szCs w:val="18"/>
        </w:rPr>
        <w:t>■</w:t>
      </w:r>
      <w:r>
        <w:rPr>
          <w:rFonts w:ascii="黑体" w:eastAsia="黑体" w:hAnsi="黑体" w:hint="eastAsia"/>
          <w:kern w:val="0"/>
          <w:szCs w:val="21"/>
        </w:rPr>
        <w:t>”标识，其中“黑体字”条款以及“★”标识表示强调，“</w:t>
      </w:r>
      <w:r>
        <w:rPr>
          <w:rFonts w:asciiTheme="majorEastAsia" w:eastAsiaTheme="majorEastAsia" w:hAnsiTheme="majorEastAsia"/>
          <w:bCs/>
          <w:sz w:val="18"/>
          <w:szCs w:val="18"/>
        </w:rPr>
        <w:t>■</w:t>
      </w:r>
      <w:r>
        <w:rPr>
          <w:rFonts w:ascii="黑体" w:eastAsia="黑体" w:hAnsi="黑体" w:hint="eastAsia"/>
          <w:kern w:val="0"/>
          <w:szCs w:val="21"/>
        </w:rPr>
        <w:t>”标识表示选择适用条款时适用的具体选项），充分了解理财业务的运作细则，各方的权利、义务和责任。如有疑问，可向理财产品管理人或销售机构咨询。</w:t>
      </w:r>
      <w:r>
        <w:br w:type="page"/>
      </w:r>
    </w:p>
    <w:p w:rsidR="006B43BC" w:rsidRPr="00C72E7B" w:rsidRDefault="006B43BC">
      <w:pPr>
        <w:tabs>
          <w:tab w:val="left" w:pos="6660"/>
        </w:tabs>
        <w:spacing w:line="360" w:lineRule="auto"/>
        <w:jc w:val="center"/>
        <w:rPr>
          <w:bCs/>
          <w:sz w:val="44"/>
        </w:rPr>
      </w:pPr>
    </w:p>
    <w:p w:rsidR="006B43BC" w:rsidRDefault="001E4040">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6B43BC" w:rsidRDefault="006B43BC">
      <w:pPr>
        <w:tabs>
          <w:tab w:val="left" w:pos="6660"/>
        </w:tabs>
        <w:spacing w:line="360" w:lineRule="auto"/>
        <w:jc w:val="center"/>
        <w:rPr>
          <w:bCs/>
          <w:sz w:val="44"/>
        </w:rPr>
      </w:pPr>
    </w:p>
    <w:p w:rsidR="006B43BC" w:rsidRDefault="006B43BC">
      <w:pPr>
        <w:spacing w:line="360" w:lineRule="auto"/>
        <w:jc w:val="center"/>
        <w:rPr>
          <w:b/>
          <w:sz w:val="52"/>
        </w:rPr>
      </w:pPr>
    </w:p>
    <w:p w:rsidR="006B43BC" w:rsidRDefault="001E4040">
      <w:pPr>
        <w:spacing w:line="360" w:lineRule="auto"/>
        <w:jc w:val="center"/>
        <w:rPr>
          <w:b/>
        </w:rPr>
      </w:pPr>
      <w:r>
        <w:rPr>
          <w:rFonts w:ascii="黑体" w:eastAsia="黑体" w:hAnsi="黑体"/>
          <w:b/>
          <w:noProof/>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6B43BC" w:rsidRDefault="006B43BC">
      <w:pPr>
        <w:spacing w:line="360" w:lineRule="auto"/>
        <w:jc w:val="center"/>
        <w:rPr>
          <w:b/>
          <w:sz w:val="52"/>
        </w:rPr>
      </w:pPr>
    </w:p>
    <w:p w:rsidR="006B43BC" w:rsidRDefault="001E4040">
      <w:pPr>
        <w:adjustRightInd w:val="0"/>
        <w:spacing w:line="360" w:lineRule="auto"/>
        <w:jc w:val="center"/>
        <w:rPr>
          <w:rStyle w:val="af"/>
          <w:rFonts w:ascii="黑体" w:eastAsia="黑体" w:hAnsi="黑体" w:cs="宋体"/>
          <w:sz w:val="44"/>
          <w:szCs w:val="44"/>
        </w:rPr>
      </w:pPr>
      <w:r>
        <w:rPr>
          <w:rStyle w:val="af"/>
          <w:rFonts w:ascii="黑体" w:eastAsia="黑体" w:hAnsi="黑体" w:cs="宋体" w:hint="eastAsia"/>
          <w:sz w:val="44"/>
          <w:szCs w:val="44"/>
        </w:rPr>
        <w:t>兴银理财天天万利</w:t>
      </w:r>
      <w:proofErr w:type="gramStart"/>
      <w:r>
        <w:rPr>
          <w:rStyle w:val="af"/>
          <w:rFonts w:ascii="黑体" w:eastAsia="黑体" w:hAnsi="黑体" w:cs="宋体" w:hint="eastAsia"/>
          <w:sz w:val="44"/>
          <w:szCs w:val="44"/>
        </w:rPr>
        <w:t>宝稳利</w:t>
      </w:r>
      <w:proofErr w:type="gramEnd"/>
      <w:r>
        <w:rPr>
          <w:rStyle w:val="af"/>
          <w:rFonts w:ascii="黑体" w:eastAsia="黑体" w:hAnsi="黑体" w:cs="宋体" w:hint="eastAsia"/>
          <w:sz w:val="44"/>
          <w:szCs w:val="44"/>
        </w:rPr>
        <w:t>净值型理财产品投资协议书</w:t>
      </w:r>
    </w:p>
    <w:p w:rsidR="006B43BC" w:rsidRDefault="006B43BC">
      <w:pPr>
        <w:spacing w:line="360" w:lineRule="auto"/>
        <w:jc w:val="center"/>
        <w:rPr>
          <w:b/>
          <w:sz w:val="28"/>
          <w:szCs w:val="28"/>
        </w:rPr>
      </w:pPr>
    </w:p>
    <w:p w:rsidR="006B43BC" w:rsidRDefault="001E4040">
      <w:pPr>
        <w:tabs>
          <w:tab w:val="left" w:pos="8070"/>
          <w:tab w:val="right" w:pos="8306"/>
        </w:tabs>
        <w:autoSpaceDE w:val="0"/>
        <w:autoSpaceDN w:val="0"/>
        <w:adjustRightInd w:val="0"/>
        <w:snapToGrid w:val="0"/>
        <w:spacing w:beforeLines="50" w:before="156" w:line="360" w:lineRule="auto"/>
        <w:jc w:val="center"/>
        <w:rPr>
          <w:rFonts w:ascii="黑体" w:eastAsia="黑体" w:hAnsi="黑体"/>
          <w:b/>
          <w:sz w:val="28"/>
          <w:szCs w:val="28"/>
          <w:u w:val="single"/>
        </w:rPr>
      </w:pPr>
      <w:r>
        <w:rPr>
          <w:rFonts w:ascii="黑体" w:eastAsia="黑体" w:hAnsi="黑体" w:hint="eastAsia"/>
          <w:b/>
          <w:sz w:val="28"/>
          <w:szCs w:val="28"/>
        </w:rPr>
        <w:t>协议编号：【</w:t>
      </w:r>
      <w:r>
        <w:rPr>
          <w:rFonts w:ascii="黑体" w:eastAsia="黑体" w:hAnsi="黑体"/>
          <w:b/>
          <w:sz w:val="28"/>
          <w:szCs w:val="28"/>
        </w:rPr>
        <w:t xml:space="preserve">                 </w:t>
      </w:r>
      <w:r>
        <w:rPr>
          <w:rFonts w:ascii="黑体" w:eastAsia="黑体" w:hAnsi="黑体" w:hint="eastAsia"/>
          <w:b/>
          <w:sz w:val="28"/>
          <w:szCs w:val="28"/>
        </w:rPr>
        <w:t>】</w:t>
      </w:r>
    </w:p>
    <w:p w:rsidR="006B43BC" w:rsidRDefault="006B43BC">
      <w:pPr>
        <w:spacing w:line="360" w:lineRule="auto"/>
        <w:jc w:val="center"/>
        <w:rPr>
          <w:b/>
          <w:sz w:val="28"/>
          <w:szCs w:val="28"/>
        </w:rPr>
      </w:pPr>
    </w:p>
    <w:p w:rsidR="006B43BC" w:rsidRDefault="006B43BC">
      <w:pPr>
        <w:spacing w:line="360" w:lineRule="auto"/>
        <w:jc w:val="center"/>
        <w:rPr>
          <w:b/>
          <w:sz w:val="28"/>
          <w:szCs w:val="28"/>
        </w:rPr>
      </w:pPr>
    </w:p>
    <w:p w:rsidR="006B43BC" w:rsidRDefault="006B43BC">
      <w:pPr>
        <w:spacing w:line="360" w:lineRule="auto"/>
        <w:jc w:val="center"/>
        <w:rPr>
          <w:b/>
          <w:sz w:val="28"/>
          <w:szCs w:val="28"/>
        </w:rPr>
      </w:pPr>
    </w:p>
    <w:p w:rsidR="006B43BC" w:rsidRDefault="006B43BC">
      <w:pPr>
        <w:spacing w:line="360" w:lineRule="auto"/>
        <w:jc w:val="center"/>
        <w:rPr>
          <w:b/>
          <w:sz w:val="28"/>
          <w:szCs w:val="28"/>
        </w:rPr>
      </w:pPr>
    </w:p>
    <w:p w:rsidR="006B43BC" w:rsidRDefault="001E4040">
      <w:pPr>
        <w:adjustRightInd w:val="0"/>
        <w:spacing w:line="360" w:lineRule="auto"/>
        <w:jc w:val="center"/>
        <w:rPr>
          <w:rStyle w:val="af"/>
          <w:rFonts w:ascii="宋体" w:hAnsi="宋体"/>
          <w:sz w:val="28"/>
          <w:szCs w:val="28"/>
        </w:rPr>
      </w:pPr>
      <w:bookmarkStart w:id="0" w:name="_Toc139991726"/>
      <w:bookmarkStart w:id="1" w:name="_Toc123112263"/>
      <w:bookmarkStart w:id="2" w:name="_Toc139992301"/>
      <w:bookmarkStart w:id="3" w:name="_Toc123701383"/>
      <w:bookmarkStart w:id="4" w:name="_Toc123112224"/>
      <w:r>
        <w:rPr>
          <w:rStyle w:val="af"/>
          <w:rFonts w:ascii="宋体" w:hAnsi="宋体" w:hint="eastAsia"/>
          <w:sz w:val="28"/>
          <w:szCs w:val="28"/>
        </w:rPr>
        <w:t>理财产品管理人：</w:t>
      </w:r>
      <w:bookmarkEnd w:id="0"/>
      <w:bookmarkEnd w:id="1"/>
      <w:bookmarkEnd w:id="2"/>
      <w:bookmarkEnd w:id="3"/>
      <w:bookmarkEnd w:id="4"/>
      <w:r>
        <w:rPr>
          <w:rStyle w:val="af"/>
          <w:rFonts w:ascii="宋体" w:hAnsi="宋体" w:hint="eastAsia"/>
          <w:sz w:val="28"/>
          <w:szCs w:val="28"/>
        </w:rPr>
        <w:t>兴银理财有限责任公司</w:t>
      </w:r>
    </w:p>
    <w:p w:rsidR="006B43BC" w:rsidRDefault="006B43BC">
      <w:pPr>
        <w:adjustRightInd w:val="0"/>
        <w:spacing w:line="360" w:lineRule="auto"/>
        <w:jc w:val="center"/>
        <w:rPr>
          <w:rStyle w:val="af"/>
          <w:rFonts w:ascii="黑体" w:eastAsia="黑体" w:hAnsi="黑体" w:cs="宋体"/>
          <w:sz w:val="28"/>
          <w:szCs w:val="28"/>
        </w:rPr>
      </w:pPr>
      <w:bookmarkStart w:id="5" w:name="_Toc139992302"/>
      <w:bookmarkStart w:id="6" w:name="_Toc123701384"/>
      <w:bookmarkStart w:id="7" w:name="_Toc123112225"/>
      <w:bookmarkStart w:id="8" w:name="_Toc139991727"/>
      <w:bookmarkStart w:id="9" w:name="_Toc123112264"/>
    </w:p>
    <w:bookmarkEnd w:id="5"/>
    <w:bookmarkEnd w:id="6"/>
    <w:bookmarkEnd w:id="7"/>
    <w:bookmarkEnd w:id="8"/>
    <w:bookmarkEnd w:id="9"/>
    <w:p w:rsidR="006B43BC" w:rsidRDefault="006B43BC">
      <w:pPr>
        <w:adjustRightInd w:val="0"/>
        <w:spacing w:line="360" w:lineRule="auto"/>
        <w:jc w:val="center"/>
        <w:rPr>
          <w:rStyle w:val="af"/>
          <w:rFonts w:ascii="黑体" w:eastAsia="黑体" w:hAnsi="黑体" w:cs="宋体"/>
          <w:sz w:val="28"/>
          <w:szCs w:val="28"/>
        </w:rPr>
      </w:pPr>
    </w:p>
    <w:p w:rsidR="006B43BC" w:rsidRDefault="001E4040">
      <w:pPr>
        <w:adjustRightInd w:val="0"/>
        <w:spacing w:line="360" w:lineRule="auto"/>
        <w:jc w:val="center"/>
        <w:rPr>
          <w:rStyle w:val="af"/>
          <w:rFonts w:ascii="宋体" w:hAnsi="宋体"/>
          <w:sz w:val="28"/>
          <w:szCs w:val="28"/>
        </w:rPr>
      </w:pPr>
      <w:r>
        <w:rPr>
          <w:rStyle w:val="af"/>
          <w:rFonts w:ascii="宋体" w:hAnsi="宋体" w:hint="eastAsia"/>
          <w:sz w:val="28"/>
          <w:szCs w:val="28"/>
        </w:rPr>
        <w:t>日期</w:t>
      </w:r>
      <w:r>
        <w:rPr>
          <w:rStyle w:val="af"/>
          <w:rFonts w:ascii="宋体" w:hAnsi="宋体"/>
          <w:sz w:val="28"/>
          <w:szCs w:val="28"/>
        </w:rPr>
        <w:t>：</w:t>
      </w:r>
      <w:r>
        <w:rPr>
          <w:rStyle w:val="af"/>
          <w:rFonts w:ascii="宋体" w:hAnsi="宋体" w:hint="eastAsia"/>
          <w:sz w:val="28"/>
          <w:szCs w:val="28"/>
        </w:rPr>
        <w:t>【2022】年【</w:t>
      </w:r>
      <w:r w:rsidR="00B41BD4">
        <w:rPr>
          <w:rStyle w:val="af"/>
          <w:rFonts w:ascii="宋体" w:hAnsi="宋体"/>
          <w:sz w:val="28"/>
          <w:szCs w:val="28"/>
        </w:rPr>
        <w:t>9</w:t>
      </w:r>
      <w:r>
        <w:rPr>
          <w:rStyle w:val="af"/>
          <w:rFonts w:ascii="宋体" w:hAnsi="宋体" w:hint="eastAsia"/>
          <w:sz w:val="28"/>
          <w:szCs w:val="28"/>
        </w:rPr>
        <w:t>】月</w:t>
      </w:r>
    </w:p>
    <w:p w:rsidR="006B43BC" w:rsidRDefault="001E4040">
      <w:pPr>
        <w:tabs>
          <w:tab w:val="left" w:pos="8070"/>
          <w:tab w:val="right" w:pos="8306"/>
        </w:tabs>
        <w:autoSpaceDE w:val="0"/>
        <w:autoSpaceDN w:val="0"/>
        <w:adjustRightInd w:val="0"/>
        <w:snapToGrid w:val="0"/>
        <w:spacing w:beforeLines="50" w:before="156" w:line="360" w:lineRule="auto"/>
        <w:jc w:val="center"/>
        <w:rPr>
          <w:bCs/>
          <w:sz w:val="32"/>
        </w:rPr>
      </w:pPr>
      <w:r>
        <w:rPr>
          <w:bCs/>
          <w:sz w:val="32"/>
        </w:rPr>
        <w:br w:type="page"/>
      </w:r>
    </w:p>
    <w:p w:rsidR="006B43BC" w:rsidRDefault="006B43BC">
      <w:pPr>
        <w:tabs>
          <w:tab w:val="left" w:pos="8070"/>
          <w:tab w:val="right" w:pos="8306"/>
        </w:tabs>
        <w:autoSpaceDE w:val="0"/>
        <w:autoSpaceDN w:val="0"/>
        <w:adjustRightInd w:val="0"/>
        <w:snapToGrid w:val="0"/>
        <w:spacing w:beforeLines="50" w:before="156" w:line="360" w:lineRule="auto"/>
        <w:rPr>
          <w:bCs/>
          <w:sz w:val="32"/>
        </w:rPr>
      </w:pPr>
    </w:p>
    <w:tbl>
      <w:tblPr>
        <w:tblStyle w:val="af4"/>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22"/>
      </w:tblGrid>
      <w:tr w:rsidR="006B43BC">
        <w:tc>
          <w:tcPr>
            <w:tcW w:w="8522" w:type="dxa"/>
          </w:tcPr>
          <w:p w:rsidR="006B43BC" w:rsidRDefault="001E4040">
            <w:pPr>
              <w:tabs>
                <w:tab w:val="left" w:pos="8070"/>
                <w:tab w:val="right" w:pos="8306"/>
              </w:tabs>
              <w:autoSpaceDE w:val="0"/>
              <w:autoSpaceDN w:val="0"/>
              <w:adjustRightInd w:val="0"/>
              <w:snapToGrid w:val="0"/>
              <w:spacing w:beforeLines="50" w:before="156" w:line="360" w:lineRule="auto"/>
              <w:jc w:val="center"/>
              <w:rPr>
                <w:rFonts w:ascii="黑体" w:eastAsia="黑体" w:hAnsi="黑体"/>
                <w:bCs/>
                <w:sz w:val="32"/>
                <w:szCs w:val="32"/>
              </w:rPr>
            </w:pPr>
            <w:r>
              <w:rPr>
                <w:rFonts w:ascii="黑体" w:eastAsia="黑体" w:hAnsi="黑体" w:hint="eastAsia"/>
                <w:b/>
                <w:kern w:val="0"/>
                <w:sz w:val="32"/>
                <w:szCs w:val="32"/>
              </w:rPr>
              <w:t>特别提示页</w:t>
            </w:r>
          </w:p>
        </w:tc>
      </w:tr>
      <w:tr w:rsidR="006B43BC">
        <w:tc>
          <w:tcPr>
            <w:tcW w:w="8522" w:type="dxa"/>
          </w:tcPr>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xml:space="preserve"> </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关于理财产品与存款产品的提示</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理财产品与存款存在明显区别，理财非存款、产品有风险、投资须谨慎。</w:t>
            </w:r>
          </w:p>
          <w:p w:rsidR="006B43BC" w:rsidRDefault="006B43BC">
            <w:pPr>
              <w:pStyle w:val="ad"/>
              <w:snapToGrid w:val="0"/>
              <w:spacing w:before="0" w:beforeAutospacing="0" w:after="0" w:afterAutospacing="0" w:line="360" w:lineRule="auto"/>
              <w:jc w:val="both"/>
              <w:rPr>
                <w:rFonts w:ascii="黑体" w:eastAsia="黑体" w:hAnsi="黑体"/>
                <w:bCs/>
                <w:sz w:val="18"/>
                <w:szCs w:val="18"/>
              </w:rPr>
            </w:pP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关于理财产品的过往业绩的提示</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理财产品过往业绩不代表其未来表现，不等于理财产品实际受益，投资</w:t>
            </w:r>
            <w:r>
              <w:rPr>
                <w:rFonts w:ascii="黑体" w:eastAsia="黑体" w:hAnsi="黑体"/>
                <w:bCs/>
                <w:sz w:val="18"/>
                <w:szCs w:val="18"/>
              </w:rPr>
              <w:t>须</w:t>
            </w:r>
            <w:r>
              <w:rPr>
                <w:rFonts w:ascii="黑体" w:eastAsia="黑体" w:hAnsi="黑体" w:hint="eastAsia"/>
                <w:bCs/>
                <w:sz w:val="18"/>
                <w:szCs w:val="18"/>
              </w:rPr>
              <w:t>谨慎。</w:t>
            </w:r>
          </w:p>
          <w:p w:rsidR="006B43BC" w:rsidRDefault="006B43BC">
            <w:pPr>
              <w:pStyle w:val="ad"/>
              <w:snapToGrid w:val="0"/>
              <w:spacing w:before="0" w:beforeAutospacing="0" w:after="0" w:afterAutospacing="0" w:line="360" w:lineRule="auto"/>
              <w:jc w:val="both"/>
              <w:rPr>
                <w:rFonts w:ascii="黑体" w:eastAsia="黑体" w:hAnsi="黑体"/>
                <w:bCs/>
                <w:sz w:val="18"/>
                <w:szCs w:val="18"/>
              </w:rPr>
            </w:pPr>
          </w:p>
          <w:p w:rsidR="006B43BC" w:rsidRDefault="001E4040">
            <w:pPr>
              <w:pStyle w:val="ad"/>
              <w:snapToGrid w:val="0"/>
              <w:spacing w:before="0" w:beforeAutospacing="0" w:after="0" w:afterAutospacing="0" w:line="360" w:lineRule="auto"/>
              <w:ind w:left="271" w:hanging="271"/>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关于理财产品的业绩比较基准和业绩报酬计提基准的提示</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本产品的业绩比较基准或业绩</w:t>
            </w:r>
            <w:r>
              <w:rPr>
                <w:rFonts w:ascii="黑体" w:eastAsia="黑体" w:hAnsi="黑体"/>
                <w:bCs/>
                <w:sz w:val="18"/>
                <w:szCs w:val="18"/>
              </w:rPr>
              <w:t>报酬计提基准</w:t>
            </w:r>
            <w:r>
              <w:rPr>
                <w:rFonts w:ascii="黑体" w:eastAsia="黑体" w:hAnsi="黑体" w:hint="eastAsia"/>
                <w:bCs/>
                <w:sz w:val="18"/>
                <w:szCs w:val="18"/>
              </w:rPr>
              <w:t>等类似表述不代表投资者可能获得的实际收益，亦不构成产品管理人对本产品的任何收益承诺，仅供投资者进行投资决定时参考。</w:t>
            </w:r>
          </w:p>
          <w:p w:rsidR="006B43BC" w:rsidRDefault="006B43BC">
            <w:pPr>
              <w:pStyle w:val="ad"/>
              <w:snapToGrid w:val="0"/>
              <w:spacing w:before="0" w:beforeAutospacing="0" w:after="0" w:afterAutospacing="0" w:line="360" w:lineRule="auto"/>
              <w:jc w:val="both"/>
              <w:rPr>
                <w:rFonts w:ascii="黑体" w:eastAsia="黑体" w:hAnsi="黑体"/>
                <w:bCs/>
                <w:sz w:val="18"/>
                <w:szCs w:val="18"/>
              </w:rPr>
            </w:pP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关于理财产品不保证本金和收益的提示</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rsidR="006B43BC" w:rsidRDefault="006B43BC">
            <w:pPr>
              <w:pStyle w:val="ad"/>
              <w:snapToGrid w:val="0"/>
              <w:spacing w:before="0" w:beforeAutospacing="0" w:after="0" w:afterAutospacing="0" w:line="360" w:lineRule="auto"/>
              <w:jc w:val="both"/>
              <w:rPr>
                <w:rFonts w:ascii="黑体" w:eastAsia="黑体" w:hAnsi="黑体"/>
                <w:bCs/>
                <w:sz w:val="18"/>
                <w:szCs w:val="18"/>
              </w:rPr>
            </w:pP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关于销售文件的组成和编制的提示</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1、销售文件的组成</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《投资协议书》、《产品说明书》、《（代理）销售协议</w:t>
            </w:r>
            <w:r>
              <w:rPr>
                <w:rFonts w:ascii="黑体" w:eastAsia="黑体" w:hAnsi="黑体"/>
                <w:bCs/>
                <w:sz w:val="18"/>
                <w:szCs w:val="18"/>
              </w:rPr>
              <w:t>书</w:t>
            </w:r>
            <w:r>
              <w:rPr>
                <w:rFonts w:ascii="黑体" w:eastAsia="黑体" w:hAnsi="黑体" w:hint="eastAsia"/>
                <w:bCs/>
                <w:sz w:val="18"/>
                <w:szCs w:val="18"/>
              </w:rPr>
              <w:t>》、《风险揭示书》、《投资者权益须知》等文件共同构成一份完整且不可分割的理财产品销售文件。</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2、销售文件的编制</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根据《理财公司理财产品销售管理暂行办法》（</w:t>
            </w:r>
            <w:r>
              <w:rPr>
                <w:rFonts w:ascii="黑体" w:eastAsia="黑体" w:hAnsi="黑体"/>
                <w:bCs/>
                <w:sz w:val="18"/>
                <w:szCs w:val="18"/>
              </w:rPr>
              <w:t>银保监会令</w:t>
            </w:r>
            <w:r>
              <w:rPr>
                <w:rFonts w:ascii="黑体" w:eastAsia="黑体" w:hAnsi="黑体" w:hint="eastAsia"/>
                <w:bCs/>
                <w:sz w:val="18"/>
                <w:szCs w:val="18"/>
              </w:rPr>
              <w:t>2</w:t>
            </w:r>
            <w:r>
              <w:rPr>
                <w:rFonts w:ascii="黑体" w:eastAsia="黑体" w:hAnsi="黑体"/>
                <w:bCs/>
                <w:sz w:val="18"/>
                <w:szCs w:val="18"/>
              </w:rPr>
              <w:t>021年第</w:t>
            </w:r>
            <w:r>
              <w:rPr>
                <w:rFonts w:ascii="黑体" w:eastAsia="黑体" w:hAnsi="黑体" w:hint="eastAsia"/>
                <w:bCs/>
                <w:sz w:val="18"/>
                <w:szCs w:val="18"/>
              </w:rPr>
              <w:t>4号）第2</w:t>
            </w:r>
            <w:r>
              <w:rPr>
                <w:rFonts w:ascii="黑体" w:eastAsia="黑体" w:hAnsi="黑体"/>
                <w:bCs/>
                <w:sz w:val="18"/>
                <w:szCs w:val="18"/>
              </w:rPr>
              <w:t>9条规定</w:t>
            </w:r>
            <w:r>
              <w:rPr>
                <w:rFonts w:ascii="黑体" w:eastAsia="黑体" w:hAnsi="黑体" w:hint="eastAsia"/>
                <w:bCs/>
                <w:sz w:val="18"/>
                <w:szCs w:val="18"/>
              </w:rPr>
              <w:t>，本款产品销售文件在编制时，可能存在以下两种情形：</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（1）情形1：所有销售文件都由产品管理人统一编制。其中，《投资协议书》、《产品说明书》、《（代理）销售协议书》、《风险揭示书》、《投资者权益须知》等销售文件均由产品管理人统一编制。</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请投资者根据理财产品销售时的实际情况，认真阅读相关理财产品销售文件的内容。</w:t>
            </w:r>
          </w:p>
          <w:p w:rsidR="006B43BC" w:rsidRDefault="006B43BC">
            <w:pPr>
              <w:pStyle w:val="ad"/>
              <w:snapToGrid w:val="0"/>
              <w:spacing w:before="0" w:beforeAutospacing="0" w:after="0" w:afterAutospacing="0" w:line="360" w:lineRule="auto"/>
              <w:jc w:val="both"/>
              <w:rPr>
                <w:rFonts w:ascii="黑体" w:eastAsia="黑体" w:hAnsi="黑体"/>
                <w:bCs/>
                <w:sz w:val="18"/>
                <w:szCs w:val="18"/>
              </w:rPr>
            </w:pP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关于投资者适当性的提示</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w:t>
            </w:r>
            <w:proofErr w:type="gramStart"/>
            <w:r>
              <w:rPr>
                <w:rFonts w:ascii="黑体" w:eastAsia="黑体" w:hAnsi="黑体" w:hint="eastAsia"/>
                <w:bCs/>
                <w:sz w:val="18"/>
                <w:szCs w:val="18"/>
              </w:rPr>
              <w:t>您风险</w:t>
            </w:r>
            <w:proofErr w:type="gramEnd"/>
            <w:r>
              <w:rPr>
                <w:rFonts w:ascii="黑体" w:eastAsia="黑体" w:hAnsi="黑体" w:hint="eastAsia"/>
                <w:bCs/>
                <w:sz w:val="18"/>
                <w:szCs w:val="18"/>
              </w:rPr>
              <w:t>承受能力的因素发生变化，请及时重新完成风险承受能力评估。</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lastRenderedPageBreak/>
              <w:t xml:space="preserve"> </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关于投资者信息的提示</w:t>
            </w: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投资者在此同意并授权，产品管理人可根据监管要求和合同约定，为理财产品登记、反洗</w:t>
            </w:r>
            <w:proofErr w:type="gramStart"/>
            <w:r>
              <w:rPr>
                <w:rFonts w:ascii="黑体" w:eastAsia="黑体" w:hAnsi="黑体" w:hint="eastAsia"/>
                <w:bCs/>
                <w:sz w:val="18"/>
                <w:szCs w:val="18"/>
              </w:rPr>
              <w:t>钱</w:t>
            </w:r>
            <w:r>
              <w:rPr>
                <w:rFonts w:ascii="黑体" w:eastAsia="黑体" w:hAnsi="黑体"/>
                <w:bCs/>
                <w:sz w:val="18"/>
                <w:szCs w:val="18"/>
              </w:rPr>
              <w:t>工作</w:t>
            </w:r>
            <w:proofErr w:type="gramEnd"/>
            <w:r>
              <w:rPr>
                <w:rFonts w:ascii="黑体" w:eastAsia="黑体" w:hAnsi="黑体" w:hint="eastAsia"/>
                <w:bCs/>
                <w:sz w:val="18"/>
                <w:szCs w:val="18"/>
              </w:rPr>
              <w:t>等需要，向登记部门或监管机构及相关方提供投资者相关信息。</w:t>
            </w:r>
          </w:p>
          <w:p w:rsidR="006B43BC" w:rsidRDefault="006B43BC">
            <w:pPr>
              <w:pStyle w:val="ad"/>
              <w:snapToGrid w:val="0"/>
              <w:spacing w:before="0" w:beforeAutospacing="0" w:after="0" w:afterAutospacing="0" w:line="360" w:lineRule="auto"/>
              <w:jc w:val="both"/>
              <w:rPr>
                <w:rFonts w:ascii="黑体" w:eastAsia="黑体" w:hAnsi="黑体"/>
                <w:bCs/>
                <w:sz w:val="18"/>
                <w:szCs w:val="18"/>
              </w:rPr>
            </w:pPr>
          </w:p>
          <w:p w:rsidR="006B43BC" w:rsidRDefault="001E4040">
            <w:pPr>
              <w:spacing w:line="360" w:lineRule="auto"/>
              <w:rPr>
                <w:rFonts w:ascii="黑体" w:eastAsia="黑体" w:hAnsi="黑体"/>
                <w:bCs/>
                <w:kern w:val="0"/>
                <w:sz w:val="18"/>
                <w:szCs w:val="18"/>
              </w:rPr>
            </w:pPr>
            <w:r>
              <w:rPr>
                <w:rFonts w:ascii="黑体" w:eastAsia="黑体" w:hAnsi="黑体" w:hint="eastAsia"/>
                <w:bCs/>
                <w:kern w:val="0"/>
                <w:sz w:val="18"/>
                <w:szCs w:val="18"/>
              </w:rPr>
              <w:t>★</w:t>
            </w:r>
            <w:r>
              <w:rPr>
                <w:rFonts w:ascii="黑体" w:eastAsia="黑体" w:hAnsi="黑体"/>
                <w:bCs/>
                <w:kern w:val="0"/>
                <w:sz w:val="18"/>
                <w:szCs w:val="18"/>
              </w:rPr>
              <w:t xml:space="preserve"> </w:t>
            </w:r>
            <w:r>
              <w:rPr>
                <w:rFonts w:ascii="黑体" w:eastAsia="黑体" w:hAnsi="黑体" w:hint="eastAsia"/>
                <w:bCs/>
                <w:kern w:val="0"/>
                <w:sz w:val="18"/>
                <w:szCs w:val="18"/>
              </w:rPr>
              <w:t>关于理财产品信息披露的提示</w:t>
            </w:r>
          </w:p>
          <w:p w:rsidR="006B43BC" w:rsidRDefault="001E4040">
            <w:pPr>
              <w:spacing w:line="360" w:lineRule="auto"/>
              <w:rPr>
                <w:rFonts w:ascii="黑体" w:eastAsia="黑体" w:hAnsi="黑体"/>
                <w:bCs/>
                <w:sz w:val="18"/>
                <w:szCs w:val="18"/>
              </w:rPr>
            </w:pPr>
            <w:r>
              <w:rPr>
                <w:rFonts w:ascii="黑体" w:eastAsia="黑体" w:hAnsi="黑体" w:hint="eastAsia"/>
                <w:bCs/>
                <w:kern w:val="0"/>
                <w:sz w:val="18"/>
                <w:szCs w:val="18"/>
              </w:rPr>
              <w:t>在购买本产品后，投资者应随时关注该理财产品的信息披露情况，及时获取相关信息。</w:t>
            </w:r>
          </w:p>
          <w:p w:rsidR="006B43BC" w:rsidRDefault="006B43BC">
            <w:pPr>
              <w:pStyle w:val="ad"/>
              <w:snapToGrid w:val="0"/>
              <w:spacing w:before="0" w:beforeAutospacing="0" w:after="0" w:afterAutospacing="0" w:line="360" w:lineRule="auto"/>
              <w:jc w:val="both"/>
              <w:rPr>
                <w:rFonts w:ascii="黑体" w:eastAsia="黑体" w:hAnsi="黑体"/>
                <w:bCs/>
                <w:sz w:val="18"/>
                <w:szCs w:val="18"/>
              </w:rPr>
            </w:pPr>
          </w:p>
          <w:p w:rsidR="006B43BC" w:rsidRDefault="001E4040">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关于理财产品咨询的提示</w:t>
            </w:r>
          </w:p>
          <w:p w:rsidR="006B43BC" w:rsidRDefault="001E4040">
            <w:pPr>
              <w:tabs>
                <w:tab w:val="left" w:pos="8070"/>
                <w:tab w:val="right" w:pos="8306"/>
              </w:tabs>
              <w:autoSpaceDE w:val="0"/>
              <w:autoSpaceDN w:val="0"/>
              <w:adjustRightInd w:val="0"/>
              <w:snapToGrid w:val="0"/>
              <w:spacing w:beforeLines="50" w:before="156" w:line="360" w:lineRule="auto"/>
              <w:rPr>
                <w:bCs/>
                <w:sz w:val="32"/>
              </w:rPr>
            </w:pPr>
            <w:r>
              <w:rPr>
                <w:rFonts w:ascii="黑体" w:eastAsia="黑体" w:hAnsi="黑体" w:hint="eastAsia"/>
                <w:bCs/>
                <w:kern w:val="0"/>
                <w:sz w:val="18"/>
                <w:szCs w:val="18"/>
              </w:rPr>
              <w:t>投资者对本理财产品及销售文件的内容有任何疑问，</w:t>
            </w:r>
            <w:r>
              <w:rPr>
                <w:rFonts w:ascii="黑体" w:eastAsia="黑体" w:hAnsi="黑体" w:hint="eastAsia"/>
                <w:color w:val="000000"/>
                <w:kern w:val="0"/>
                <w:sz w:val="18"/>
                <w:szCs w:val="18"/>
              </w:rPr>
              <w:t>请向产品管理人或销售机构咨询。</w:t>
            </w:r>
          </w:p>
        </w:tc>
      </w:tr>
    </w:tbl>
    <w:p w:rsidR="006B43BC" w:rsidRDefault="006B43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39991729"/>
      <w:bookmarkStart w:id="11" w:name="_Toc123112266"/>
      <w:bookmarkStart w:id="12" w:name="_Toc123112227"/>
      <w:bookmarkStart w:id="13" w:name="_Toc123701386"/>
    </w:p>
    <w:p w:rsidR="006B43BC" w:rsidRDefault="006B43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6B43BC" w:rsidRDefault="006B43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6B43BC" w:rsidRDefault="001E4040">
      <w:pPr>
        <w:widowControl/>
        <w:jc w:val="left"/>
        <w:rPr>
          <w:rFonts w:ascii="宋体" w:hAnsi="宋体" w:cs="仿宋_GB2312"/>
          <w:b/>
          <w:kern w:val="0"/>
          <w:sz w:val="18"/>
          <w:szCs w:val="18"/>
        </w:rPr>
      </w:pPr>
      <w:r>
        <w:rPr>
          <w:rFonts w:ascii="宋体" w:hAnsi="宋体" w:cs="仿宋_GB2312"/>
          <w:b/>
          <w:kern w:val="0"/>
          <w:sz w:val="18"/>
          <w:szCs w:val="18"/>
        </w:rPr>
        <w:br w:type="page"/>
      </w:r>
    </w:p>
    <w:p w:rsidR="006B43BC" w:rsidRDefault="006B43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W w:w="92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142"/>
        <w:gridCol w:w="708"/>
        <w:gridCol w:w="982"/>
        <w:gridCol w:w="1854"/>
        <w:gridCol w:w="1417"/>
        <w:gridCol w:w="3118"/>
      </w:tblGrid>
      <w:tr w:rsidR="006B43BC">
        <w:trPr>
          <w:cantSplit/>
          <w:trHeight w:hRule="exact" w:val="449"/>
          <w:jc w:val="center"/>
        </w:trPr>
        <w:tc>
          <w:tcPr>
            <w:tcW w:w="9221" w:type="dxa"/>
            <w:gridSpan w:val="6"/>
            <w:tcBorders>
              <w:bottom w:val="single" w:sz="12" w:space="0" w:color="auto"/>
            </w:tcBorders>
            <w:shd w:val="pct10" w:color="FFFFFF" w:fill="D9D9D9" w:themeFill="background1" w:themeFillShade="D9"/>
            <w:vAlign w:val="center"/>
          </w:tcPr>
          <w:p w:rsidR="006B43BC" w:rsidRDefault="001E4040">
            <w:pPr>
              <w:pBdr>
                <w:bottom w:val="single" w:sz="6" w:space="1" w:color="auto"/>
              </w:pBdr>
              <w:snapToGrid w:val="0"/>
              <w:spacing w:line="360" w:lineRule="auto"/>
              <w:jc w:val="center"/>
              <w:rPr>
                <w:rFonts w:ascii="宋体" w:hAnsi="宋体"/>
                <w:b/>
                <w:bCs/>
                <w:sz w:val="28"/>
                <w:szCs w:val="28"/>
              </w:rPr>
            </w:pPr>
            <w:r>
              <w:rPr>
                <w:rFonts w:ascii="宋体" w:hAnsi="宋体" w:hint="eastAsia"/>
                <w:b/>
                <w:bCs/>
                <w:sz w:val="28"/>
                <w:szCs w:val="28"/>
              </w:rPr>
              <w:t>信息栏</w:t>
            </w:r>
          </w:p>
          <w:p w:rsidR="006B43BC" w:rsidRDefault="006B43BC">
            <w:pPr>
              <w:pStyle w:val="ab"/>
              <w:spacing w:line="360" w:lineRule="auto"/>
              <w:rPr>
                <w:rFonts w:ascii="宋体" w:hAnsi="宋体"/>
                <w:b/>
                <w:bCs/>
                <w:sz w:val="28"/>
                <w:szCs w:val="28"/>
              </w:rPr>
            </w:pPr>
          </w:p>
        </w:tc>
      </w:tr>
      <w:tr w:rsidR="006B43BC">
        <w:trPr>
          <w:cantSplit/>
          <w:trHeight w:hRule="exact" w:val="170"/>
          <w:jc w:val="center"/>
        </w:trPr>
        <w:tc>
          <w:tcPr>
            <w:tcW w:w="9221" w:type="dxa"/>
            <w:gridSpan w:val="6"/>
            <w:shd w:val="pct10" w:color="A6A6A6" w:themeColor="background1" w:themeShade="A6" w:fill="A6A6A6" w:themeFill="background1" w:themeFillShade="A6"/>
            <w:vAlign w:val="center"/>
          </w:tcPr>
          <w:p w:rsidR="006B43BC" w:rsidRDefault="006B43BC">
            <w:pPr>
              <w:pStyle w:val="ab"/>
              <w:spacing w:line="360" w:lineRule="auto"/>
              <w:rPr>
                <w:rFonts w:ascii="宋体" w:hAnsi="宋体"/>
                <w:b/>
                <w:bCs/>
                <w:sz w:val="28"/>
                <w:szCs w:val="28"/>
              </w:rPr>
            </w:pPr>
          </w:p>
        </w:tc>
      </w:tr>
      <w:tr w:rsidR="006B43BC">
        <w:trPr>
          <w:trHeight w:hRule="exact" w:val="340"/>
          <w:jc w:val="center"/>
        </w:trPr>
        <w:tc>
          <w:tcPr>
            <w:tcW w:w="1142" w:type="dxa"/>
            <w:vMerge w:val="restart"/>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投资者信息</w:t>
            </w:r>
          </w:p>
        </w:tc>
        <w:tc>
          <w:tcPr>
            <w:tcW w:w="708" w:type="dxa"/>
            <w:vMerge w:val="restart"/>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个人投资者适用</w:t>
            </w:r>
          </w:p>
        </w:tc>
        <w:tc>
          <w:tcPr>
            <w:tcW w:w="982" w:type="dxa"/>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姓名</w:t>
            </w:r>
          </w:p>
        </w:tc>
        <w:tc>
          <w:tcPr>
            <w:tcW w:w="6389" w:type="dxa"/>
            <w:gridSpan w:val="3"/>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shd w:val="solid" w:color="FFFFFF" w:fill="FFFFFF"/>
            <w:vAlign w:val="center"/>
          </w:tcPr>
          <w:p w:rsidR="006B43BC" w:rsidRDefault="006B43BC">
            <w:pPr>
              <w:spacing w:line="360" w:lineRule="auto"/>
              <w:jc w:val="left"/>
              <w:rPr>
                <w:rFonts w:ascii="宋体" w:hAnsi="宋体"/>
                <w:b/>
                <w:bCs/>
                <w:sz w:val="18"/>
                <w:szCs w:val="18"/>
              </w:rPr>
            </w:pPr>
          </w:p>
        </w:tc>
        <w:tc>
          <w:tcPr>
            <w:tcW w:w="982" w:type="dxa"/>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shd w:val="solid" w:color="FFFFFF" w:fill="FFFFFF"/>
            <w:vAlign w:val="center"/>
          </w:tcPr>
          <w:p w:rsidR="006B43BC" w:rsidRDefault="006B43BC">
            <w:pPr>
              <w:spacing w:line="360" w:lineRule="auto"/>
              <w:jc w:val="left"/>
              <w:rPr>
                <w:rFonts w:ascii="宋体" w:hAnsi="宋体"/>
                <w:b/>
                <w:bCs/>
                <w:sz w:val="18"/>
                <w:szCs w:val="18"/>
              </w:rPr>
            </w:pPr>
          </w:p>
        </w:tc>
        <w:tc>
          <w:tcPr>
            <w:tcW w:w="1417" w:type="dxa"/>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shd w:val="solid" w:color="FFFFFF" w:fill="FFFFFF"/>
            <w:vAlign w:val="center"/>
          </w:tcPr>
          <w:p w:rsidR="006B43BC" w:rsidRDefault="006B43BC">
            <w:pPr>
              <w:spacing w:line="360" w:lineRule="auto"/>
              <w:jc w:val="left"/>
              <w:rPr>
                <w:rFonts w:ascii="宋体" w:hAnsi="宋体"/>
                <w:b/>
                <w:bCs/>
                <w:sz w:val="18"/>
                <w:szCs w:val="18"/>
              </w:rPr>
            </w:pPr>
          </w:p>
        </w:tc>
        <w:tc>
          <w:tcPr>
            <w:tcW w:w="982" w:type="dxa"/>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shd w:val="solid" w:color="FFFFFF" w:fill="FFFFFF"/>
            <w:vAlign w:val="center"/>
          </w:tcPr>
          <w:p w:rsidR="006B43BC" w:rsidRDefault="006B43BC">
            <w:pPr>
              <w:spacing w:line="360" w:lineRule="auto"/>
              <w:jc w:val="left"/>
              <w:rPr>
                <w:rFonts w:ascii="宋体" w:hAnsi="宋体"/>
                <w:b/>
                <w:bCs/>
                <w:sz w:val="18"/>
                <w:szCs w:val="18"/>
              </w:rPr>
            </w:pPr>
          </w:p>
        </w:tc>
        <w:tc>
          <w:tcPr>
            <w:tcW w:w="1417" w:type="dxa"/>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shd w:val="solid" w:color="FFFFFF" w:fill="FFFFFF"/>
            <w:vAlign w:val="center"/>
          </w:tcPr>
          <w:p w:rsidR="006B43BC" w:rsidRDefault="006B43BC">
            <w:pPr>
              <w:spacing w:line="360" w:lineRule="auto"/>
              <w:jc w:val="left"/>
              <w:rPr>
                <w:rFonts w:ascii="宋体" w:hAnsi="宋体"/>
                <w:b/>
                <w:bCs/>
                <w:sz w:val="18"/>
                <w:szCs w:val="18"/>
              </w:rPr>
            </w:pPr>
          </w:p>
        </w:tc>
        <w:tc>
          <w:tcPr>
            <w:tcW w:w="982" w:type="dxa"/>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shd w:val="solid" w:color="FFFFFF" w:fill="FFFFFF"/>
            <w:vAlign w:val="center"/>
          </w:tcPr>
          <w:p w:rsidR="006B43BC" w:rsidRDefault="006B43BC">
            <w:pPr>
              <w:spacing w:line="360" w:lineRule="auto"/>
              <w:jc w:val="left"/>
              <w:rPr>
                <w:rFonts w:ascii="宋体" w:hAnsi="宋体"/>
                <w:b/>
                <w:bCs/>
                <w:sz w:val="18"/>
                <w:szCs w:val="18"/>
              </w:rPr>
            </w:pPr>
          </w:p>
        </w:tc>
        <w:tc>
          <w:tcPr>
            <w:tcW w:w="982" w:type="dxa"/>
            <w:tcBorders>
              <w:bottom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bottom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val="restart"/>
            <w:tcBorders>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机构投资者适用</w:t>
            </w: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法定代表人或授权代表</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340"/>
          <w:jc w:val="center"/>
        </w:trPr>
        <w:tc>
          <w:tcPr>
            <w:tcW w:w="1142" w:type="dxa"/>
            <w:vMerge/>
            <w:tcBorders>
              <w:bottom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708" w:type="dxa"/>
            <w:vMerge/>
            <w:tcBorders>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r>
      <w:tr w:rsidR="006B43BC">
        <w:trPr>
          <w:trHeight w:hRule="exact" w:val="170"/>
          <w:jc w:val="center"/>
        </w:trPr>
        <w:tc>
          <w:tcPr>
            <w:tcW w:w="9221" w:type="dxa"/>
            <w:gridSpan w:val="6"/>
            <w:shd w:val="pct10" w:color="FFFFFF" w:fill="A6A6A6" w:themeFill="background1" w:themeFillShade="A6"/>
            <w:vAlign w:val="center"/>
          </w:tcPr>
          <w:p w:rsidR="006B43BC" w:rsidRDefault="006B43BC">
            <w:pPr>
              <w:pStyle w:val="ab"/>
              <w:pBdr>
                <w:bottom w:val="none" w:sz="0" w:space="0" w:color="auto"/>
              </w:pBdr>
              <w:spacing w:line="360" w:lineRule="auto"/>
              <w:rPr>
                <w:rFonts w:ascii="宋体" w:hAnsi="宋体"/>
                <w:b/>
                <w:bCs/>
                <w:szCs w:val="18"/>
              </w:rPr>
            </w:pPr>
          </w:p>
        </w:tc>
      </w:tr>
      <w:tr w:rsidR="006B43BC">
        <w:trPr>
          <w:trHeight w:val="402"/>
          <w:jc w:val="center"/>
        </w:trPr>
        <w:tc>
          <w:tcPr>
            <w:tcW w:w="1142" w:type="dxa"/>
            <w:vMerge w:val="restart"/>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理财产品管理人信息</w:t>
            </w:r>
          </w:p>
        </w:tc>
        <w:tc>
          <w:tcPr>
            <w:tcW w:w="1690" w:type="dxa"/>
            <w:gridSpan w:val="2"/>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机构名称</w:t>
            </w:r>
          </w:p>
        </w:tc>
        <w:tc>
          <w:tcPr>
            <w:tcW w:w="6389" w:type="dxa"/>
            <w:gridSpan w:val="3"/>
            <w:shd w:val="solid" w:color="FFFFFF" w:fill="FFFFFF"/>
            <w:vAlign w:val="center"/>
          </w:tcPr>
          <w:p w:rsidR="006B43BC" w:rsidRDefault="001E4040">
            <w:pPr>
              <w:spacing w:line="360" w:lineRule="auto"/>
              <w:jc w:val="left"/>
              <w:rPr>
                <w:rFonts w:ascii="宋体" w:hAnsi="宋体"/>
                <w:bCs/>
                <w:sz w:val="18"/>
                <w:szCs w:val="18"/>
              </w:rPr>
            </w:pPr>
            <w:r>
              <w:rPr>
                <w:rFonts w:ascii="宋体" w:hAnsi="宋体" w:hint="eastAsia"/>
                <w:bCs/>
                <w:sz w:val="18"/>
                <w:szCs w:val="18"/>
              </w:rPr>
              <w:t>兴银理财有限责任公司</w:t>
            </w:r>
          </w:p>
        </w:tc>
      </w:tr>
      <w:tr w:rsidR="006B43BC">
        <w:trPr>
          <w:trHeight w:val="375"/>
          <w:jc w:val="center"/>
        </w:trPr>
        <w:tc>
          <w:tcPr>
            <w:tcW w:w="1142" w:type="dxa"/>
            <w:vMerge/>
            <w:tcBorders>
              <w:bottom w:val="single" w:sz="12" w:space="0" w:color="auto"/>
            </w:tcBorders>
            <w:shd w:val="solid" w:color="FFFFFF" w:fill="FFFFFF"/>
            <w:vAlign w:val="center"/>
          </w:tcPr>
          <w:p w:rsidR="006B43BC" w:rsidRDefault="006B43BC">
            <w:pPr>
              <w:spacing w:line="360" w:lineRule="auto"/>
              <w:jc w:val="left"/>
              <w:rPr>
                <w:rFonts w:ascii="宋体" w:hAnsi="宋体"/>
                <w:b/>
                <w:bCs/>
                <w:sz w:val="18"/>
                <w:szCs w:val="18"/>
              </w:rPr>
            </w:pPr>
          </w:p>
        </w:tc>
        <w:tc>
          <w:tcPr>
            <w:tcW w:w="1690" w:type="dxa"/>
            <w:gridSpan w:val="2"/>
            <w:tcBorders>
              <w:bottom w:val="single" w:sz="12" w:space="0" w:color="auto"/>
            </w:tcBorders>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机构简介</w:t>
            </w:r>
          </w:p>
        </w:tc>
        <w:tc>
          <w:tcPr>
            <w:tcW w:w="6389" w:type="dxa"/>
            <w:gridSpan w:val="3"/>
            <w:tcBorders>
              <w:bottom w:val="single" w:sz="12" w:space="0" w:color="auto"/>
            </w:tcBorders>
            <w:shd w:val="solid" w:color="FFFFFF" w:fill="FFFFFF"/>
            <w:vAlign w:val="center"/>
          </w:tcPr>
          <w:p w:rsidR="006B43BC" w:rsidRDefault="001E4040">
            <w:pPr>
              <w:spacing w:line="360" w:lineRule="auto"/>
              <w:jc w:val="left"/>
              <w:rPr>
                <w:rFonts w:ascii="宋体" w:hAnsi="宋体"/>
                <w:sz w:val="18"/>
                <w:szCs w:val="18"/>
              </w:rPr>
            </w:pPr>
            <w:r>
              <w:rPr>
                <w:rFonts w:ascii="宋体" w:hAnsi="宋体" w:hint="eastAsia"/>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 xml:space="preserve">CIB Wealth Management </w:t>
            </w:r>
            <w:proofErr w:type="spellStart"/>
            <w:r>
              <w:rPr>
                <w:rFonts w:ascii="宋体" w:hAnsi="宋体"/>
                <w:bCs/>
                <w:sz w:val="18"/>
                <w:szCs w:val="18"/>
              </w:rPr>
              <w:t>Co.,Ltd</w:t>
            </w:r>
            <w:proofErr w:type="spellEnd"/>
            <w:r>
              <w:rPr>
                <w:rFonts w:ascii="宋体" w:hAnsi="宋体"/>
                <w:bCs/>
                <w:sz w:val="18"/>
                <w:szCs w:val="18"/>
              </w:rPr>
              <w:t>. ”</w:t>
            </w:r>
            <w:r>
              <w:rPr>
                <w:rFonts w:ascii="宋体" w:hAnsi="宋体" w:hint="eastAsia"/>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ascii="宋体" w:hAnsi="宋体" w:hint="eastAsia"/>
                <w:bCs/>
                <w:sz w:val="18"/>
                <w:szCs w:val="18"/>
              </w:rPr>
              <w:t>业务范围为：面向不特定社会公众公开发行理财产品，对受托的投资和财产进行投资和管理；面向合格投资者非公开发行理财产品，对受托的投资和财产进行投资和管理；理财顾问和咨询服务；</w:t>
            </w:r>
            <w:proofErr w:type="gramStart"/>
            <w:r>
              <w:rPr>
                <w:rFonts w:ascii="宋体" w:hAnsi="宋体" w:hint="eastAsia"/>
                <w:bCs/>
                <w:sz w:val="18"/>
                <w:szCs w:val="18"/>
              </w:rPr>
              <w:t>经银保</w:t>
            </w:r>
            <w:proofErr w:type="gramEnd"/>
            <w:r>
              <w:rPr>
                <w:rFonts w:ascii="宋体" w:hAnsi="宋体" w:hint="eastAsia"/>
                <w:bCs/>
                <w:sz w:val="18"/>
                <w:szCs w:val="18"/>
              </w:rPr>
              <w:t>监会批准的其他业务等。</w:t>
            </w:r>
          </w:p>
        </w:tc>
      </w:tr>
      <w:tr w:rsidR="006B43BC">
        <w:trPr>
          <w:trHeight w:hRule="exact" w:val="170"/>
          <w:jc w:val="center"/>
        </w:trPr>
        <w:tc>
          <w:tcPr>
            <w:tcW w:w="9221" w:type="dxa"/>
            <w:gridSpan w:val="6"/>
            <w:shd w:val="pct10" w:color="FFFFFF" w:fill="A6A6A6" w:themeFill="background1" w:themeFillShade="A6"/>
            <w:vAlign w:val="center"/>
          </w:tcPr>
          <w:p w:rsidR="006B43BC" w:rsidRDefault="006B43BC">
            <w:pPr>
              <w:spacing w:line="360" w:lineRule="auto"/>
              <w:jc w:val="left"/>
              <w:rPr>
                <w:rFonts w:ascii="宋体" w:hAnsi="宋体"/>
                <w:bCs/>
                <w:sz w:val="18"/>
                <w:szCs w:val="18"/>
              </w:rPr>
            </w:pPr>
          </w:p>
        </w:tc>
      </w:tr>
      <w:tr w:rsidR="006B43BC">
        <w:trPr>
          <w:trHeight w:val="291"/>
          <w:jc w:val="center"/>
        </w:trPr>
        <w:tc>
          <w:tcPr>
            <w:tcW w:w="1142" w:type="dxa"/>
            <w:vMerge w:val="restart"/>
            <w:shd w:val="solid" w:color="FFFFFF" w:fill="FFFFFF"/>
            <w:vAlign w:val="center"/>
          </w:tcPr>
          <w:p w:rsidR="006B43BC" w:rsidRDefault="001E4040">
            <w:pPr>
              <w:spacing w:line="360" w:lineRule="auto"/>
              <w:jc w:val="left"/>
              <w:rPr>
                <w:rFonts w:ascii="宋体" w:hAnsi="宋体"/>
                <w:b/>
                <w:bCs/>
                <w:sz w:val="18"/>
                <w:szCs w:val="18"/>
              </w:rPr>
            </w:pPr>
            <w:r>
              <w:rPr>
                <w:rFonts w:ascii="宋体" w:hAnsi="宋体" w:hint="eastAsia"/>
                <w:b/>
                <w:bCs/>
                <w:sz w:val="18"/>
                <w:szCs w:val="18"/>
              </w:rPr>
              <w:t>理财产品信息</w:t>
            </w:r>
          </w:p>
        </w:tc>
        <w:tc>
          <w:tcPr>
            <w:tcW w:w="1690" w:type="dxa"/>
            <w:gridSpan w:val="2"/>
            <w:shd w:val="solid" w:color="FFFFFF" w:fill="FFFFFF"/>
          </w:tcPr>
          <w:p w:rsidR="006B43BC" w:rsidRDefault="001E4040">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6389" w:type="dxa"/>
            <w:gridSpan w:val="3"/>
            <w:shd w:val="solid" w:color="FFFFFF" w:fill="FFFFFF"/>
          </w:tcPr>
          <w:p w:rsidR="006B43BC" w:rsidRDefault="00B41BD4" w:rsidP="0054292F">
            <w:pPr>
              <w:spacing w:line="360" w:lineRule="auto"/>
              <w:jc w:val="left"/>
              <w:rPr>
                <w:rFonts w:ascii="宋体" w:hAnsi="宋体"/>
                <w:bCs/>
                <w:sz w:val="18"/>
                <w:szCs w:val="18"/>
              </w:rPr>
            </w:pPr>
            <w:r w:rsidRPr="00B41BD4">
              <w:rPr>
                <w:rFonts w:ascii="宋体" w:hAnsi="宋体" w:hint="eastAsia"/>
                <w:bCs/>
                <w:sz w:val="18"/>
                <w:szCs w:val="18"/>
              </w:rPr>
              <w:t>兴业银行天天万利</w:t>
            </w:r>
            <w:proofErr w:type="gramStart"/>
            <w:r w:rsidRPr="00B41BD4">
              <w:rPr>
                <w:rFonts w:ascii="宋体" w:hAnsi="宋体" w:hint="eastAsia"/>
                <w:bCs/>
                <w:sz w:val="18"/>
                <w:szCs w:val="18"/>
              </w:rPr>
              <w:t>宝稳利</w:t>
            </w:r>
            <w:proofErr w:type="gramEnd"/>
            <w:r w:rsidRPr="00B41BD4">
              <w:rPr>
                <w:rFonts w:ascii="宋体" w:hAnsi="宋体" w:hint="eastAsia"/>
                <w:bCs/>
                <w:sz w:val="18"/>
                <w:szCs w:val="18"/>
              </w:rPr>
              <w:t>2号净值型理财产品</w:t>
            </w:r>
            <w:r w:rsidR="00DF423F">
              <w:rPr>
                <w:rFonts w:ascii="宋体" w:hAnsi="宋体"/>
                <w:bCs/>
                <w:sz w:val="18"/>
                <w:szCs w:val="18"/>
              </w:rPr>
              <w:t>F</w:t>
            </w:r>
            <w:r w:rsidRPr="00B41BD4">
              <w:rPr>
                <w:rFonts w:ascii="宋体" w:hAnsi="宋体" w:hint="eastAsia"/>
                <w:bCs/>
                <w:sz w:val="18"/>
                <w:szCs w:val="18"/>
              </w:rPr>
              <w:t>款</w:t>
            </w:r>
          </w:p>
        </w:tc>
      </w:tr>
      <w:tr w:rsidR="006B43BC">
        <w:trPr>
          <w:trHeight w:val="291"/>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1690" w:type="dxa"/>
            <w:gridSpan w:val="2"/>
            <w:shd w:val="solid" w:color="FFFFFF" w:fill="FFFFFF"/>
            <w:vAlign w:val="center"/>
          </w:tcPr>
          <w:p w:rsidR="006B43BC" w:rsidRDefault="001E4040">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6389" w:type="dxa"/>
            <w:gridSpan w:val="3"/>
            <w:shd w:val="solid" w:color="FFFFFF" w:fill="FFFFFF"/>
            <w:vAlign w:val="center"/>
          </w:tcPr>
          <w:p w:rsidR="006B43BC" w:rsidRDefault="001E4040">
            <w:pPr>
              <w:spacing w:line="360" w:lineRule="auto"/>
              <w:jc w:val="left"/>
              <w:rPr>
                <w:rFonts w:ascii="宋体" w:hAnsi="宋体"/>
                <w:bCs/>
                <w:sz w:val="18"/>
                <w:szCs w:val="18"/>
              </w:rPr>
            </w:pPr>
            <w:r>
              <w:rPr>
                <w:rFonts w:ascii="宋体" w:hAnsi="宋体" w:hint="eastAsia"/>
                <w:bCs/>
                <w:sz w:val="18"/>
                <w:szCs w:val="18"/>
              </w:rPr>
              <w:t>【</w:t>
            </w:r>
            <w:r w:rsidR="008314B3" w:rsidRPr="008314B3">
              <w:rPr>
                <w:rFonts w:ascii="宋体" w:hAnsi="宋体" w:hint="eastAsia"/>
                <w:bCs/>
                <w:sz w:val="18"/>
                <w:szCs w:val="18"/>
              </w:rPr>
              <w:t>稳利恒盈</w:t>
            </w:r>
            <w:r w:rsidR="00DF423F">
              <w:rPr>
                <w:rFonts w:ascii="宋体" w:hAnsi="宋体"/>
                <w:bCs/>
                <w:sz w:val="18"/>
                <w:szCs w:val="18"/>
              </w:rPr>
              <w:t>F</w:t>
            </w:r>
            <w:r w:rsidR="008314B3" w:rsidRPr="008314B3">
              <w:rPr>
                <w:rFonts w:ascii="宋体" w:hAnsi="宋体" w:hint="eastAsia"/>
                <w:bCs/>
                <w:sz w:val="18"/>
                <w:szCs w:val="18"/>
              </w:rPr>
              <w:t xml:space="preserve"> 6个月</w:t>
            </w:r>
            <w:r>
              <w:rPr>
                <w:rFonts w:ascii="宋体" w:hAnsi="宋体" w:hint="eastAsia"/>
                <w:bCs/>
                <w:sz w:val="18"/>
                <w:szCs w:val="18"/>
              </w:rPr>
              <w:t>】</w:t>
            </w:r>
          </w:p>
        </w:tc>
      </w:tr>
      <w:tr w:rsidR="006B43BC">
        <w:trPr>
          <w:trHeight w:val="291"/>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1690" w:type="dxa"/>
            <w:gridSpan w:val="2"/>
            <w:shd w:val="solid" w:color="FFFFFF" w:fill="FFFFFF"/>
          </w:tcPr>
          <w:p w:rsidR="006B43BC" w:rsidRDefault="001E4040">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6389" w:type="dxa"/>
            <w:gridSpan w:val="3"/>
            <w:shd w:val="solid" w:color="FFFFFF" w:fill="FFFFFF"/>
          </w:tcPr>
          <w:p w:rsidR="006B43BC" w:rsidRDefault="001E4040">
            <w:pPr>
              <w:spacing w:line="360" w:lineRule="auto"/>
              <w:jc w:val="left"/>
              <w:rPr>
                <w:rFonts w:ascii="宋体" w:hAnsi="宋体"/>
                <w:bCs/>
                <w:sz w:val="18"/>
                <w:szCs w:val="18"/>
              </w:rPr>
            </w:pPr>
            <w:r>
              <w:rPr>
                <w:rFonts w:ascii="宋体" w:hAnsi="宋体" w:hint="eastAsia"/>
                <w:bCs/>
                <w:sz w:val="18"/>
                <w:szCs w:val="18"/>
              </w:rPr>
              <w:t>【</w:t>
            </w:r>
            <w:r w:rsidR="00DF423F" w:rsidRPr="00DF423F">
              <w:rPr>
                <w:rFonts w:ascii="宋体" w:hAnsi="宋体"/>
                <w:bCs/>
                <w:sz w:val="18"/>
                <w:szCs w:val="18"/>
              </w:rPr>
              <w:t>Z7002020000023</w:t>
            </w:r>
            <w:r>
              <w:rPr>
                <w:rFonts w:ascii="宋体" w:hAnsi="宋体" w:hint="eastAsia"/>
                <w:bCs/>
                <w:sz w:val="18"/>
                <w:szCs w:val="18"/>
              </w:rPr>
              <w:t>】注：投资者可依据理财产品登记编码在中国</w:t>
            </w:r>
            <w:proofErr w:type="gramStart"/>
            <w:r>
              <w:rPr>
                <w:rFonts w:ascii="宋体" w:hAnsi="宋体" w:hint="eastAsia"/>
                <w:bCs/>
                <w:sz w:val="18"/>
                <w:szCs w:val="18"/>
              </w:rPr>
              <w:t>理财网</w:t>
            </w:r>
            <w:proofErr w:type="gramEnd"/>
            <w:r>
              <w:rPr>
                <w:rFonts w:ascii="宋体" w:hAnsi="宋体" w:hint="eastAsia"/>
                <w:bCs/>
                <w:sz w:val="18"/>
                <w:szCs w:val="18"/>
              </w:rPr>
              <w:t>查询产品信息</w:t>
            </w:r>
            <w:hyperlink r:id="rId10" w:history="1">
              <w:r>
                <w:rPr>
                  <w:rFonts w:ascii="宋体" w:hAnsi="宋体"/>
                  <w:bCs/>
                  <w:sz w:val="18"/>
                  <w:szCs w:val="18"/>
                </w:rPr>
                <w:t>www.chinawealth.com.cn</w:t>
              </w:r>
            </w:hyperlink>
          </w:p>
        </w:tc>
      </w:tr>
      <w:tr w:rsidR="006B43BC">
        <w:trPr>
          <w:trHeight w:val="9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1690" w:type="dxa"/>
            <w:gridSpan w:val="2"/>
            <w:shd w:val="solid" w:color="FFFFFF" w:fill="FFFFFF"/>
            <w:vAlign w:val="center"/>
          </w:tcPr>
          <w:p w:rsidR="006B43BC" w:rsidRDefault="001E4040">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w:t>
            </w:r>
            <w:r>
              <w:rPr>
                <w:rFonts w:ascii="宋体" w:hAnsi="宋体"/>
                <w:b/>
                <w:bCs/>
                <w:sz w:val="18"/>
                <w:szCs w:val="18"/>
              </w:rPr>
              <w:t>代码</w:t>
            </w:r>
          </w:p>
        </w:tc>
        <w:tc>
          <w:tcPr>
            <w:tcW w:w="6389" w:type="dxa"/>
            <w:gridSpan w:val="3"/>
            <w:shd w:val="solid" w:color="FFFFFF" w:fill="FFFFFF"/>
            <w:vAlign w:val="center"/>
          </w:tcPr>
          <w:p w:rsidR="006B43BC" w:rsidRDefault="001E4040">
            <w:pPr>
              <w:spacing w:line="360" w:lineRule="auto"/>
              <w:jc w:val="left"/>
              <w:rPr>
                <w:rFonts w:ascii="宋体" w:hAnsi="宋体"/>
                <w:bCs/>
                <w:sz w:val="18"/>
                <w:szCs w:val="18"/>
              </w:rPr>
            </w:pPr>
            <w:r>
              <w:rPr>
                <w:rFonts w:ascii="宋体" w:hAnsi="宋体"/>
                <w:bCs/>
                <w:color w:val="000000" w:themeColor="text1"/>
                <w:sz w:val="18"/>
                <w:szCs w:val="18"/>
              </w:rPr>
              <w:t>【</w:t>
            </w:r>
            <w:r w:rsidR="00DF423F" w:rsidRPr="00DF423F">
              <w:rPr>
                <w:rFonts w:ascii="宋体" w:hAnsi="宋体"/>
                <w:bCs/>
                <w:color w:val="000000" w:themeColor="text1"/>
                <w:sz w:val="18"/>
                <w:szCs w:val="18"/>
              </w:rPr>
              <w:t>9K218033</w:t>
            </w:r>
            <w:r>
              <w:rPr>
                <w:rFonts w:ascii="宋体" w:hAnsi="宋体"/>
                <w:bCs/>
                <w:color w:val="000000" w:themeColor="text1"/>
                <w:sz w:val="18"/>
                <w:szCs w:val="18"/>
              </w:rPr>
              <w:t>】</w:t>
            </w:r>
          </w:p>
        </w:tc>
      </w:tr>
      <w:tr w:rsidR="006B43BC">
        <w:trPr>
          <w:trHeight w:val="90"/>
          <w:jc w:val="center"/>
        </w:trPr>
        <w:tc>
          <w:tcPr>
            <w:tcW w:w="1142" w:type="dxa"/>
            <w:vMerge/>
            <w:shd w:val="solid" w:color="FFFFFF" w:fill="FFFFFF"/>
            <w:vAlign w:val="center"/>
          </w:tcPr>
          <w:p w:rsidR="006B43BC" w:rsidRDefault="006B43BC">
            <w:pPr>
              <w:spacing w:line="360" w:lineRule="auto"/>
              <w:jc w:val="left"/>
              <w:rPr>
                <w:rFonts w:ascii="宋体" w:hAnsi="宋体"/>
                <w:b/>
                <w:bCs/>
                <w:sz w:val="18"/>
                <w:szCs w:val="18"/>
              </w:rPr>
            </w:pPr>
          </w:p>
        </w:tc>
        <w:tc>
          <w:tcPr>
            <w:tcW w:w="1690" w:type="dxa"/>
            <w:gridSpan w:val="2"/>
            <w:shd w:val="solid" w:color="FFFFFF" w:fill="FFFFFF"/>
            <w:vAlign w:val="center"/>
          </w:tcPr>
          <w:p w:rsidR="006B43BC" w:rsidRDefault="001E4040">
            <w:pPr>
              <w:spacing w:line="320" w:lineRule="exact"/>
              <w:jc w:val="left"/>
              <w:rPr>
                <w:rFonts w:hAnsi="宋体"/>
                <w:sz w:val="18"/>
                <w:szCs w:val="18"/>
              </w:rPr>
            </w:pPr>
            <w:r>
              <w:rPr>
                <w:rFonts w:hAnsi="宋体" w:hint="eastAsia"/>
                <w:sz w:val="18"/>
                <w:szCs w:val="18"/>
              </w:rPr>
              <w:t>★</w:t>
            </w:r>
            <w:r>
              <w:rPr>
                <w:rFonts w:ascii="宋体" w:hAnsi="宋体" w:hint="eastAsia"/>
                <w:b/>
                <w:bCs/>
                <w:sz w:val="18"/>
                <w:szCs w:val="18"/>
              </w:rPr>
              <w:t>销售</w:t>
            </w:r>
            <w:r>
              <w:rPr>
                <w:rFonts w:ascii="宋体" w:hAnsi="宋体"/>
                <w:b/>
                <w:bCs/>
                <w:sz w:val="18"/>
                <w:szCs w:val="18"/>
              </w:rPr>
              <w:t>代码</w:t>
            </w:r>
          </w:p>
        </w:tc>
        <w:tc>
          <w:tcPr>
            <w:tcW w:w="6389" w:type="dxa"/>
            <w:gridSpan w:val="3"/>
            <w:shd w:val="solid" w:color="FFFFFF" w:fill="FFFFFF"/>
            <w:vAlign w:val="center"/>
          </w:tcPr>
          <w:p w:rsidR="006B43BC" w:rsidRDefault="001E4040">
            <w:pPr>
              <w:spacing w:line="320" w:lineRule="exact"/>
              <w:jc w:val="left"/>
              <w:rPr>
                <w:rFonts w:ascii="宋体" w:hAnsi="宋体"/>
                <w:bCs/>
                <w:color w:val="000000" w:themeColor="text1"/>
                <w:sz w:val="18"/>
                <w:szCs w:val="18"/>
              </w:rPr>
            </w:pPr>
            <w:r>
              <w:rPr>
                <w:rFonts w:ascii="宋体" w:hAnsi="宋体" w:hint="eastAsia"/>
                <w:bCs/>
                <w:color w:val="000000" w:themeColor="text1"/>
                <w:sz w:val="18"/>
                <w:szCs w:val="18"/>
              </w:rPr>
              <w:t>【</w:t>
            </w:r>
            <w:r w:rsidR="00DF423F" w:rsidRPr="00DF423F">
              <w:rPr>
                <w:rFonts w:ascii="宋体" w:hAnsi="宋体"/>
                <w:bCs/>
                <w:color w:val="000000" w:themeColor="text1"/>
                <w:sz w:val="18"/>
                <w:szCs w:val="18"/>
              </w:rPr>
              <w:t>9K218033</w:t>
            </w:r>
            <w:bookmarkStart w:id="14" w:name="_GoBack"/>
            <w:bookmarkEnd w:id="14"/>
            <w:r>
              <w:rPr>
                <w:rFonts w:ascii="宋体" w:hAnsi="宋体" w:hint="eastAsia"/>
                <w:bCs/>
                <w:color w:val="000000" w:themeColor="text1"/>
                <w:sz w:val="18"/>
                <w:szCs w:val="18"/>
              </w:rPr>
              <w:t>】</w:t>
            </w:r>
          </w:p>
        </w:tc>
      </w:tr>
      <w:tr w:rsidR="006B43BC">
        <w:trPr>
          <w:trHeight w:hRule="exact" w:val="170"/>
          <w:jc w:val="center"/>
        </w:trPr>
        <w:tc>
          <w:tcPr>
            <w:tcW w:w="9221" w:type="dxa"/>
            <w:gridSpan w:val="6"/>
            <w:shd w:val="pct10" w:color="FFFFFF" w:fill="A6A6A6" w:themeFill="background1" w:themeFillShade="A6"/>
            <w:vAlign w:val="center"/>
          </w:tcPr>
          <w:p w:rsidR="006B43BC" w:rsidRDefault="006B43BC">
            <w:pPr>
              <w:spacing w:line="360" w:lineRule="auto"/>
              <w:jc w:val="left"/>
              <w:rPr>
                <w:rFonts w:ascii="宋体" w:hAnsi="宋体"/>
                <w:b/>
                <w:bCs/>
                <w:sz w:val="18"/>
                <w:szCs w:val="18"/>
              </w:rPr>
            </w:pPr>
          </w:p>
        </w:tc>
      </w:tr>
      <w:tr w:rsidR="006B43BC">
        <w:trPr>
          <w:trHeight w:val="826"/>
          <w:jc w:val="center"/>
        </w:trPr>
        <w:tc>
          <w:tcPr>
            <w:tcW w:w="1142" w:type="dxa"/>
            <w:shd w:val="solid" w:color="FFFFFF" w:fill="FFFFFF"/>
            <w:vAlign w:val="center"/>
          </w:tcPr>
          <w:p w:rsidR="006B43BC" w:rsidRDefault="001E4040">
            <w:pPr>
              <w:pStyle w:val="ab"/>
              <w:pBdr>
                <w:bottom w:val="none" w:sz="0" w:space="0" w:color="auto"/>
              </w:pBdr>
              <w:tabs>
                <w:tab w:val="clear" w:pos="4153"/>
                <w:tab w:val="clear" w:pos="8306"/>
              </w:tabs>
              <w:snapToGrid/>
              <w:spacing w:line="360" w:lineRule="auto"/>
              <w:rPr>
                <w:rFonts w:ascii="宋体" w:hAnsi="宋体"/>
                <w:b/>
                <w:szCs w:val="18"/>
              </w:rPr>
            </w:pPr>
            <w:r>
              <w:rPr>
                <w:rFonts w:ascii="宋体" w:hAnsi="宋体" w:hint="eastAsia"/>
                <w:b/>
                <w:szCs w:val="18"/>
              </w:rPr>
              <w:t>理财产品指定账户信息</w:t>
            </w:r>
          </w:p>
        </w:tc>
        <w:tc>
          <w:tcPr>
            <w:tcW w:w="8079" w:type="dxa"/>
            <w:gridSpan w:val="5"/>
            <w:shd w:val="solid" w:color="FFFFFF" w:fill="FFFFFF"/>
            <w:vAlign w:val="center"/>
          </w:tcPr>
          <w:p w:rsidR="006B43BC" w:rsidRDefault="001E4040">
            <w:pPr>
              <w:pStyle w:val="ab"/>
              <w:pBdr>
                <w:bottom w:val="none" w:sz="0" w:space="0" w:color="auto"/>
              </w:pBdr>
              <w:tabs>
                <w:tab w:val="clear" w:pos="4153"/>
                <w:tab w:val="clear" w:pos="8306"/>
              </w:tabs>
              <w:snapToGrid/>
              <w:spacing w:line="360" w:lineRule="auto"/>
              <w:jc w:val="left"/>
              <w:rPr>
                <w:rFonts w:ascii="宋体" w:hAnsi="宋体"/>
                <w:b/>
                <w:szCs w:val="18"/>
              </w:rPr>
            </w:pPr>
            <w:r>
              <w:rPr>
                <w:rFonts w:ascii="宋体" w:hAnsi="宋体" w:hint="eastAsia"/>
                <w:szCs w:val="18"/>
              </w:rPr>
              <w:t>投资者</w:t>
            </w:r>
            <w:r>
              <w:rPr>
                <w:rFonts w:ascii="宋体" w:hAnsi="宋体"/>
                <w:szCs w:val="18"/>
              </w:rPr>
              <w:t>在销售机构开立</w:t>
            </w:r>
            <w:r>
              <w:rPr>
                <w:rFonts w:ascii="宋体" w:hAnsi="宋体" w:hint="eastAsia"/>
                <w:szCs w:val="18"/>
              </w:rPr>
              <w:t>理财卡结算账户</w:t>
            </w:r>
            <w:r>
              <w:rPr>
                <w:rFonts w:ascii="宋体" w:hAnsi="宋体" w:hint="eastAsia"/>
                <w:spacing w:val="-6"/>
                <w:szCs w:val="18"/>
              </w:rPr>
              <w:t>或存折结算账户（</w:t>
            </w:r>
            <w:r>
              <w:rPr>
                <w:rFonts w:ascii="宋体" w:hAnsi="宋体" w:hint="eastAsia"/>
                <w:szCs w:val="18"/>
              </w:rPr>
              <w:t>以下简称“指定账户”），</w:t>
            </w:r>
            <w:r>
              <w:rPr>
                <w:rFonts w:ascii="宋体" w:hAnsi="宋体"/>
                <w:szCs w:val="18"/>
              </w:rPr>
              <w:t>用于</w:t>
            </w:r>
            <w:r>
              <w:rPr>
                <w:rFonts w:ascii="宋体" w:hAnsi="宋体" w:hint="eastAsia"/>
                <w:szCs w:val="18"/>
              </w:rPr>
              <w:t>本产品的</w:t>
            </w:r>
            <w:r>
              <w:rPr>
                <w:rFonts w:ascii="宋体" w:hAnsi="宋体"/>
                <w:szCs w:val="18"/>
              </w:rPr>
              <w:t>资金划转及</w:t>
            </w:r>
            <w:r>
              <w:rPr>
                <w:rFonts w:ascii="宋体" w:hAnsi="宋体" w:hint="eastAsia"/>
                <w:szCs w:val="18"/>
              </w:rPr>
              <w:t>产品分配，账号：</w:t>
            </w:r>
            <w:r>
              <w:rPr>
                <w:rFonts w:ascii="宋体" w:hAnsi="宋体"/>
                <w:szCs w:val="18"/>
                <w:u w:val="single"/>
              </w:rPr>
              <w:t xml:space="preserve">　                     </w:t>
            </w:r>
            <w:r>
              <w:rPr>
                <w:rFonts w:ascii="宋体" w:hAnsi="宋体" w:hint="eastAsia"/>
                <w:szCs w:val="18"/>
              </w:rPr>
              <w:t>。</w:t>
            </w:r>
          </w:p>
        </w:tc>
      </w:tr>
    </w:tbl>
    <w:p w:rsidR="006B43BC" w:rsidRDefault="001E4040">
      <w:pPr>
        <w:widowControl/>
        <w:spacing w:line="360" w:lineRule="auto"/>
        <w:jc w:val="left"/>
        <w:rPr>
          <w:bCs/>
          <w:sz w:val="32"/>
        </w:rPr>
      </w:pPr>
      <w:r>
        <w:rPr>
          <w:rFonts w:hint="eastAsia"/>
          <w:bCs/>
          <w:sz w:val="32"/>
        </w:rPr>
        <w:t xml:space="preserve"> </w:t>
      </w:r>
    </w:p>
    <w:p w:rsidR="006B43BC" w:rsidRDefault="006B43BC">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rsidR="006B43BC">
          <w:headerReference w:type="default" r:id="rId11"/>
          <w:footerReference w:type="default" r:id="rId12"/>
          <w:pgSz w:w="11906" w:h="16838"/>
          <w:pgMar w:top="1440" w:right="1800" w:bottom="1440" w:left="1800" w:header="567" w:footer="992" w:gutter="0"/>
          <w:pgNumType w:start="0"/>
          <w:cols w:space="720"/>
          <w:titlePg/>
          <w:docGrid w:type="lines" w:linePitch="312"/>
        </w:sectPr>
      </w:pPr>
    </w:p>
    <w:sdt>
      <w:sdtPr>
        <w:rPr>
          <w:rFonts w:ascii="Times New Roman" w:eastAsia="宋体" w:hAnsi="Times New Roman" w:cs="Times New Roman"/>
          <w:color w:val="auto"/>
          <w:kern w:val="2"/>
          <w:sz w:val="21"/>
          <w:szCs w:val="20"/>
          <w:lang w:val="zh-CN"/>
        </w:rPr>
        <w:id w:val="-1631931583"/>
        <w:docPartObj>
          <w:docPartGallery w:val="Table of Contents"/>
          <w:docPartUnique/>
        </w:docPartObj>
      </w:sdtPr>
      <w:sdtEndPr>
        <w:rPr>
          <w:b/>
          <w:bCs/>
        </w:rPr>
      </w:sdtEndPr>
      <w:sdtContent>
        <w:p w:rsidR="006B43BC" w:rsidRDefault="001E4040">
          <w:pPr>
            <w:pStyle w:val="TOC1"/>
            <w:spacing w:line="360" w:lineRule="auto"/>
            <w:jc w:val="center"/>
          </w:pPr>
          <w:r>
            <w:rPr>
              <w:lang w:val="zh-CN"/>
            </w:rPr>
            <w:t>目录</w:t>
          </w:r>
        </w:p>
        <w:p w:rsidR="006B43BC" w:rsidRDefault="001E4040">
          <w:pPr>
            <w:pStyle w:val="10"/>
            <w:rPr>
              <w:rFonts w:asciiTheme="minorHAnsi" w:eastAsiaTheme="minorEastAsia" w:hAnsiTheme="minorHAnsi" w:cstheme="minorBidi"/>
              <w:szCs w:val="22"/>
            </w:rPr>
          </w:pPr>
          <w:r>
            <w:rPr>
              <w:b/>
              <w:bCs/>
              <w:lang w:val="zh-CN"/>
            </w:rPr>
            <w:fldChar w:fldCharType="begin"/>
          </w:r>
          <w:r>
            <w:rPr>
              <w:b/>
              <w:bCs/>
              <w:lang w:val="zh-CN"/>
            </w:rPr>
            <w:instrText xml:space="preserve"> TOC \o "1-3" \h \z \u </w:instrText>
          </w:r>
          <w:r>
            <w:rPr>
              <w:b/>
              <w:bCs/>
              <w:lang w:val="zh-CN"/>
            </w:rPr>
            <w:fldChar w:fldCharType="separate"/>
          </w:r>
          <w:hyperlink w:anchor="_Toc95897036" w:history="1">
            <w:r>
              <w:rPr>
                <w:rStyle w:val="af1"/>
                <w:rFonts w:hint="eastAsia"/>
              </w:rPr>
              <w:t>第一条</w:t>
            </w:r>
            <w:r>
              <w:rPr>
                <w:rStyle w:val="af1"/>
              </w:rPr>
              <w:t xml:space="preserve">  </w:t>
            </w:r>
            <w:r>
              <w:rPr>
                <w:rStyle w:val="af1"/>
                <w:rFonts w:hint="eastAsia"/>
              </w:rPr>
              <w:t>前言</w:t>
            </w:r>
            <w:r>
              <w:tab/>
            </w:r>
            <w:r>
              <w:fldChar w:fldCharType="begin"/>
            </w:r>
            <w:r>
              <w:instrText xml:space="preserve"> PAGEREF _Toc95897036 \h </w:instrText>
            </w:r>
            <w:r>
              <w:fldChar w:fldCharType="separate"/>
            </w:r>
            <w:r>
              <w:t>1</w:t>
            </w:r>
            <w:r>
              <w:fldChar w:fldCharType="end"/>
            </w:r>
          </w:hyperlink>
        </w:p>
        <w:p w:rsidR="006B43BC" w:rsidRDefault="00EC1832">
          <w:pPr>
            <w:pStyle w:val="10"/>
            <w:rPr>
              <w:rFonts w:asciiTheme="minorHAnsi" w:eastAsiaTheme="minorEastAsia" w:hAnsiTheme="minorHAnsi" w:cstheme="minorBidi"/>
              <w:szCs w:val="22"/>
            </w:rPr>
          </w:pPr>
          <w:hyperlink w:anchor="_Toc95897037" w:history="1">
            <w:r w:rsidR="001E4040">
              <w:rPr>
                <w:rStyle w:val="af1"/>
                <w:rFonts w:hint="eastAsia"/>
              </w:rPr>
              <w:t>第二条</w:t>
            </w:r>
            <w:r w:rsidR="001E4040">
              <w:rPr>
                <w:rStyle w:val="af1"/>
              </w:rPr>
              <w:t xml:space="preserve">  </w:t>
            </w:r>
            <w:r w:rsidR="001E4040">
              <w:rPr>
                <w:rStyle w:val="af1"/>
                <w:rFonts w:hint="eastAsia"/>
              </w:rPr>
              <w:t>双方权利义务</w:t>
            </w:r>
            <w:r w:rsidR="001E4040">
              <w:tab/>
            </w:r>
            <w:r w:rsidR="001E4040">
              <w:fldChar w:fldCharType="begin"/>
            </w:r>
            <w:r w:rsidR="001E4040">
              <w:instrText xml:space="preserve"> PAGEREF _Toc95897037 \h </w:instrText>
            </w:r>
            <w:r w:rsidR="001E4040">
              <w:fldChar w:fldCharType="separate"/>
            </w:r>
            <w:r w:rsidR="001E4040">
              <w:t>2</w:t>
            </w:r>
            <w:r w:rsidR="001E4040">
              <w:fldChar w:fldCharType="end"/>
            </w:r>
          </w:hyperlink>
        </w:p>
        <w:p w:rsidR="006B43BC" w:rsidRDefault="00EC1832">
          <w:pPr>
            <w:pStyle w:val="10"/>
            <w:rPr>
              <w:rFonts w:asciiTheme="minorHAnsi" w:eastAsiaTheme="minorEastAsia" w:hAnsiTheme="minorHAnsi" w:cstheme="minorBidi"/>
              <w:szCs w:val="22"/>
            </w:rPr>
          </w:pPr>
          <w:hyperlink w:anchor="_Toc95897038" w:history="1">
            <w:r w:rsidR="001E4040">
              <w:rPr>
                <w:rStyle w:val="af1"/>
                <w:rFonts w:hint="eastAsia"/>
              </w:rPr>
              <w:t>第三条</w:t>
            </w:r>
            <w:r w:rsidR="001E4040">
              <w:rPr>
                <w:rStyle w:val="af1"/>
              </w:rPr>
              <w:t xml:space="preserve">  </w:t>
            </w:r>
            <w:r w:rsidR="001E4040">
              <w:rPr>
                <w:rStyle w:val="af1"/>
                <w:rFonts w:hint="eastAsia"/>
              </w:rPr>
              <w:t>不可抗力</w:t>
            </w:r>
            <w:r w:rsidR="001E4040">
              <w:tab/>
            </w:r>
            <w:r w:rsidR="001E4040">
              <w:fldChar w:fldCharType="begin"/>
            </w:r>
            <w:r w:rsidR="001E4040">
              <w:instrText xml:space="preserve"> PAGEREF _Toc95897038 \h </w:instrText>
            </w:r>
            <w:r w:rsidR="001E4040">
              <w:fldChar w:fldCharType="separate"/>
            </w:r>
            <w:r w:rsidR="001E4040">
              <w:t>5</w:t>
            </w:r>
            <w:r w:rsidR="001E4040">
              <w:fldChar w:fldCharType="end"/>
            </w:r>
          </w:hyperlink>
        </w:p>
        <w:p w:rsidR="006B43BC" w:rsidRDefault="00EC1832">
          <w:pPr>
            <w:pStyle w:val="10"/>
            <w:rPr>
              <w:rFonts w:asciiTheme="minorHAnsi" w:eastAsiaTheme="minorEastAsia" w:hAnsiTheme="minorHAnsi" w:cstheme="minorBidi"/>
              <w:szCs w:val="22"/>
            </w:rPr>
          </w:pPr>
          <w:hyperlink w:anchor="_Toc95897039" w:history="1">
            <w:r w:rsidR="001E4040">
              <w:rPr>
                <w:rStyle w:val="af1"/>
                <w:rFonts w:hint="eastAsia"/>
              </w:rPr>
              <w:t>第四条</w:t>
            </w:r>
            <w:r w:rsidR="001E4040">
              <w:rPr>
                <w:rStyle w:val="af1"/>
              </w:rPr>
              <w:t xml:space="preserve">  </w:t>
            </w:r>
            <w:r w:rsidR="001E4040">
              <w:rPr>
                <w:rStyle w:val="af1"/>
                <w:rFonts w:hint="eastAsia"/>
              </w:rPr>
              <w:t>违约责任</w:t>
            </w:r>
            <w:r w:rsidR="001E4040">
              <w:tab/>
            </w:r>
            <w:r w:rsidR="001E4040">
              <w:fldChar w:fldCharType="begin"/>
            </w:r>
            <w:r w:rsidR="001E4040">
              <w:instrText xml:space="preserve"> PAGEREF _Toc95897039 \h </w:instrText>
            </w:r>
            <w:r w:rsidR="001E4040">
              <w:fldChar w:fldCharType="separate"/>
            </w:r>
            <w:r w:rsidR="001E4040">
              <w:t>6</w:t>
            </w:r>
            <w:r w:rsidR="001E4040">
              <w:fldChar w:fldCharType="end"/>
            </w:r>
          </w:hyperlink>
        </w:p>
        <w:p w:rsidR="006B43BC" w:rsidRDefault="00EC1832">
          <w:pPr>
            <w:pStyle w:val="10"/>
            <w:rPr>
              <w:rFonts w:asciiTheme="minorHAnsi" w:eastAsiaTheme="minorEastAsia" w:hAnsiTheme="minorHAnsi" w:cstheme="minorBidi"/>
              <w:szCs w:val="22"/>
            </w:rPr>
          </w:pPr>
          <w:hyperlink w:anchor="_Toc95897040" w:history="1">
            <w:r w:rsidR="001E4040">
              <w:rPr>
                <w:rStyle w:val="af1"/>
                <w:rFonts w:hint="eastAsia"/>
              </w:rPr>
              <w:t>第五条</w:t>
            </w:r>
            <w:r w:rsidR="001E4040">
              <w:rPr>
                <w:rStyle w:val="af1"/>
              </w:rPr>
              <w:t xml:space="preserve">  </w:t>
            </w:r>
            <w:r w:rsidR="001E4040">
              <w:rPr>
                <w:rStyle w:val="af1"/>
                <w:rFonts w:hint="eastAsia"/>
              </w:rPr>
              <w:t>法律适用和争议解决</w:t>
            </w:r>
            <w:r w:rsidR="001E4040">
              <w:tab/>
            </w:r>
            <w:r w:rsidR="001E4040">
              <w:fldChar w:fldCharType="begin"/>
            </w:r>
            <w:r w:rsidR="001E4040">
              <w:instrText xml:space="preserve"> PAGEREF _Toc95897040 \h </w:instrText>
            </w:r>
            <w:r w:rsidR="001E4040">
              <w:fldChar w:fldCharType="separate"/>
            </w:r>
            <w:r w:rsidR="001E4040">
              <w:t>7</w:t>
            </w:r>
            <w:r w:rsidR="001E4040">
              <w:fldChar w:fldCharType="end"/>
            </w:r>
          </w:hyperlink>
        </w:p>
        <w:p w:rsidR="006B43BC" w:rsidRDefault="00EC1832">
          <w:pPr>
            <w:pStyle w:val="10"/>
            <w:rPr>
              <w:rFonts w:asciiTheme="minorHAnsi" w:eastAsiaTheme="minorEastAsia" w:hAnsiTheme="minorHAnsi" w:cstheme="minorBidi"/>
              <w:szCs w:val="22"/>
            </w:rPr>
          </w:pPr>
          <w:hyperlink w:anchor="_Toc95897041" w:history="1">
            <w:r w:rsidR="001E4040">
              <w:rPr>
                <w:rStyle w:val="af1"/>
                <w:rFonts w:hint="eastAsia"/>
              </w:rPr>
              <w:t>第六条</w:t>
            </w:r>
            <w:r w:rsidR="001E4040">
              <w:rPr>
                <w:rStyle w:val="af1"/>
              </w:rPr>
              <w:t xml:space="preserve">  </w:t>
            </w:r>
            <w:r w:rsidR="001E4040">
              <w:rPr>
                <w:rStyle w:val="af1"/>
                <w:rFonts w:hint="eastAsia"/>
              </w:rPr>
              <w:t>协议的签署和效力</w:t>
            </w:r>
            <w:r w:rsidR="001E4040">
              <w:tab/>
            </w:r>
            <w:r w:rsidR="001E4040">
              <w:fldChar w:fldCharType="begin"/>
            </w:r>
            <w:r w:rsidR="001E4040">
              <w:instrText xml:space="preserve"> PAGEREF _Toc95897041 \h </w:instrText>
            </w:r>
            <w:r w:rsidR="001E4040">
              <w:fldChar w:fldCharType="separate"/>
            </w:r>
            <w:r w:rsidR="001E4040">
              <w:t>8</w:t>
            </w:r>
            <w:r w:rsidR="001E4040">
              <w:fldChar w:fldCharType="end"/>
            </w:r>
          </w:hyperlink>
        </w:p>
        <w:p w:rsidR="006B43BC" w:rsidRDefault="00EC1832">
          <w:pPr>
            <w:pStyle w:val="10"/>
            <w:rPr>
              <w:rFonts w:asciiTheme="minorHAnsi" w:eastAsiaTheme="minorEastAsia" w:hAnsiTheme="minorHAnsi" w:cstheme="minorBidi"/>
              <w:szCs w:val="22"/>
            </w:rPr>
          </w:pPr>
          <w:hyperlink w:anchor="_Toc95897042" w:history="1">
            <w:r w:rsidR="001E4040">
              <w:rPr>
                <w:rStyle w:val="af1"/>
                <w:rFonts w:hint="eastAsia"/>
              </w:rPr>
              <w:t>第七条</w:t>
            </w:r>
            <w:r w:rsidR="001E4040">
              <w:rPr>
                <w:rStyle w:val="af1"/>
              </w:rPr>
              <w:t xml:space="preserve">  </w:t>
            </w:r>
            <w:r w:rsidR="001E4040">
              <w:rPr>
                <w:rStyle w:val="af1"/>
                <w:rFonts w:hint="eastAsia"/>
              </w:rPr>
              <w:t>消费者权益保护</w:t>
            </w:r>
            <w:r w:rsidR="001E4040">
              <w:tab/>
            </w:r>
            <w:r w:rsidR="001E4040">
              <w:fldChar w:fldCharType="begin"/>
            </w:r>
            <w:r w:rsidR="001E4040">
              <w:instrText xml:space="preserve"> PAGEREF _Toc95897042 \h </w:instrText>
            </w:r>
            <w:r w:rsidR="001E4040">
              <w:fldChar w:fldCharType="separate"/>
            </w:r>
            <w:r w:rsidR="001E4040">
              <w:t>9</w:t>
            </w:r>
            <w:r w:rsidR="001E4040">
              <w:fldChar w:fldCharType="end"/>
            </w:r>
          </w:hyperlink>
        </w:p>
        <w:p w:rsidR="006B43BC" w:rsidRDefault="001E4040">
          <w:pPr>
            <w:spacing w:line="360" w:lineRule="auto"/>
          </w:pPr>
          <w:r>
            <w:rPr>
              <w:b/>
              <w:bCs/>
              <w:lang w:val="zh-CN"/>
            </w:rPr>
            <w:fldChar w:fldCharType="end"/>
          </w:r>
        </w:p>
      </w:sdtContent>
    </w:sdt>
    <w:p w:rsidR="006B43BC" w:rsidRDefault="006B43BC">
      <w:pPr>
        <w:widowControl/>
        <w:spacing w:line="360" w:lineRule="auto"/>
        <w:jc w:val="left"/>
        <w:rPr>
          <w:rFonts w:ascii="宋体" w:hAnsi="宋体" w:cs="仿宋_GB2312"/>
          <w:b/>
          <w:kern w:val="0"/>
          <w:sz w:val="18"/>
          <w:szCs w:val="18"/>
        </w:rPr>
      </w:pPr>
    </w:p>
    <w:p w:rsidR="006B43BC" w:rsidRDefault="006B43BC">
      <w:pPr>
        <w:widowControl/>
        <w:spacing w:line="360" w:lineRule="auto"/>
        <w:jc w:val="left"/>
        <w:rPr>
          <w:rFonts w:ascii="宋体" w:hAnsi="宋体" w:cs="仿宋_GB2312"/>
          <w:b/>
          <w:kern w:val="0"/>
          <w:sz w:val="18"/>
          <w:szCs w:val="18"/>
        </w:rPr>
      </w:pPr>
    </w:p>
    <w:p w:rsidR="006B43BC" w:rsidRDefault="006B43BC">
      <w:pPr>
        <w:widowControl/>
        <w:spacing w:line="360" w:lineRule="auto"/>
        <w:jc w:val="left"/>
        <w:rPr>
          <w:rFonts w:ascii="宋体" w:hAnsi="宋体" w:cs="仿宋_GB2312"/>
          <w:b/>
          <w:kern w:val="0"/>
          <w:sz w:val="18"/>
          <w:szCs w:val="18"/>
        </w:rPr>
        <w:sectPr w:rsidR="006B43BC">
          <w:pgSz w:w="11906" w:h="16838"/>
          <w:pgMar w:top="1440" w:right="1800" w:bottom="1440" w:left="1800" w:header="851" w:footer="992" w:gutter="0"/>
          <w:pgNumType w:start="0"/>
          <w:cols w:space="720"/>
          <w:docGrid w:type="lines" w:linePitch="312"/>
        </w:sectPr>
      </w:pPr>
    </w:p>
    <w:p w:rsidR="006B43BC" w:rsidRDefault="001E4040">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hint="eastAsia"/>
          <w:b/>
          <w:kern w:val="0"/>
          <w:sz w:val="18"/>
          <w:szCs w:val="18"/>
        </w:rPr>
        <w:lastRenderedPageBreak/>
        <w:t>尊敬的投资者：</w:t>
      </w:r>
    </w:p>
    <w:p w:rsidR="006B43BC" w:rsidRDefault="001E4040">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投资者自愿购买</w:t>
      </w:r>
      <w:r>
        <w:rPr>
          <w:rFonts w:ascii="宋体" w:hAnsi="宋体" w:cs="仿宋_GB2312"/>
          <w:kern w:val="0"/>
          <w:sz w:val="18"/>
          <w:szCs w:val="18"/>
        </w:rPr>
        <w:t>理财产品管理人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双方经友好协商，本着平等自愿、诚实信用的原则，达成协议如下：</w:t>
      </w:r>
    </w:p>
    <w:p w:rsidR="006B43BC" w:rsidRDefault="006B43BC">
      <w:pPr>
        <w:spacing w:line="360" w:lineRule="auto"/>
      </w:pPr>
    </w:p>
    <w:p w:rsidR="006B43BC" w:rsidRDefault="001E4040">
      <w:pPr>
        <w:pStyle w:val="1"/>
        <w:spacing w:before="0" w:after="0"/>
        <w:jc w:val="center"/>
        <w:rPr>
          <w:rFonts w:ascii="Times New Roman"/>
          <w:color w:val="auto"/>
          <w:sz w:val="30"/>
        </w:rPr>
      </w:pPr>
      <w:bookmarkStart w:id="15" w:name="_Toc26897"/>
      <w:bookmarkStart w:id="16" w:name="_Toc30935"/>
      <w:bookmarkStart w:id="17" w:name="_Toc123701389"/>
      <w:bookmarkStart w:id="18" w:name="_Toc4966"/>
      <w:bookmarkStart w:id="19" w:name="_Toc123112268"/>
      <w:bookmarkStart w:id="20" w:name="_Toc6306"/>
      <w:bookmarkStart w:id="21" w:name="_Toc29629"/>
      <w:bookmarkStart w:id="22" w:name="_Toc123112229"/>
      <w:bookmarkStart w:id="23" w:name="_Toc139991730"/>
      <w:bookmarkStart w:id="24" w:name="_Toc8727"/>
      <w:bookmarkStart w:id="25" w:name="_Toc32639"/>
      <w:bookmarkStart w:id="26" w:name="_Toc4867"/>
      <w:bookmarkStart w:id="27" w:name="_Toc141703880"/>
      <w:bookmarkStart w:id="28" w:name="_Toc23386"/>
      <w:bookmarkStart w:id="29" w:name="_Toc15517"/>
      <w:bookmarkStart w:id="30" w:name="_Toc88482730"/>
      <w:bookmarkStart w:id="31" w:name="_Toc95897036"/>
      <w:bookmarkStart w:id="32" w:name="_Toc74065738"/>
      <w:bookmarkStart w:id="33" w:name="_Toc233456271"/>
      <w:bookmarkEnd w:id="10"/>
      <w:bookmarkEnd w:id="11"/>
      <w:bookmarkEnd w:id="12"/>
      <w:bookmarkEnd w:id="13"/>
      <w:r>
        <w:rPr>
          <w:rFonts w:ascii="Times New Roman" w:hint="eastAsia"/>
          <w:color w:val="auto"/>
          <w:sz w:val="30"/>
        </w:rPr>
        <w:t>第一条</w:t>
      </w:r>
      <w:r>
        <w:rPr>
          <w:rFonts w:ascii="Times New Roman"/>
          <w:color w:val="auto"/>
          <w:sz w:val="30"/>
        </w:rPr>
        <w:t xml:space="preserve">  </w:t>
      </w:r>
      <w:bookmarkStart w:id="34" w:name="_Toc258829399"/>
      <w:bookmarkStart w:id="35" w:name="_Toc24860"/>
      <w:bookmarkStart w:id="36" w:name="_Toc3224"/>
      <w:bookmarkStart w:id="37" w:name="_Toc2465"/>
      <w:bookmarkStart w:id="38" w:name="_Toc22864"/>
      <w:bookmarkStart w:id="39" w:name="_Toc6617"/>
      <w:bookmarkStart w:id="40" w:name="_Toc819"/>
      <w:bookmarkStart w:id="41" w:name="_Toc15067"/>
      <w:bookmarkStart w:id="42" w:name="_Toc19592"/>
      <w:bookmarkStart w:id="43" w:name="_Toc21301"/>
      <w:bookmarkStart w:id="44" w:name="_Toc1302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int="eastAsia"/>
          <w:color w:val="auto"/>
          <w:sz w:val="30"/>
        </w:rPr>
        <w:t>前言</w:t>
      </w:r>
      <w:bookmarkEnd w:id="30"/>
      <w:bookmarkEnd w:id="31"/>
    </w:p>
    <w:p w:rsidR="006B43BC" w:rsidRDefault="001E4040">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hint="eastAsia"/>
          <w:b/>
          <w:bCs/>
          <w:color w:val="auto"/>
          <w:sz w:val="18"/>
          <w:szCs w:val="18"/>
        </w:rPr>
        <w:t>（一）订立本投资协议书的目的、依据和原则</w:t>
      </w:r>
    </w:p>
    <w:p w:rsidR="006B43BC" w:rsidRDefault="001E4040">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、订立本投资协议书的目的是保护投资人合法权益，明确投资协议书当事人的权利义务，规范理财产品运作。</w:t>
      </w:r>
    </w:p>
    <w:p w:rsidR="006B43BC" w:rsidRDefault="001E4040">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、订立本投资协议书的依据是《中华人民共和国民法典》等法律法规、《关于规范金融机构资产管理业务的指导意见》（银发</w:t>
      </w:r>
      <w:r>
        <w:rPr>
          <w:rFonts w:asciiTheme="majorEastAsia" w:eastAsiaTheme="majorEastAsia" w:hAnsiTheme="majorEastAsia"/>
          <w:bCs/>
          <w:color w:val="auto"/>
          <w:sz w:val="18"/>
          <w:szCs w:val="18"/>
        </w:rPr>
        <w:t>[2018]106</w:t>
      </w:r>
      <w:r>
        <w:rPr>
          <w:rFonts w:asciiTheme="majorEastAsia" w:eastAsiaTheme="majorEastAsia" w:hAnsiTheme="majorEastAsia" w:hint="eastAsia"/>
          <w:bCs/>
          <w:color w:val="auto"/>
          <w:sz w:val="18"/>
          <w:szCs w:val="18"/>
        </w:rPr>
        <w:t>号）、《商业银行理财业务监督管理办法》（银保监会令</w:t>
      </w:r>
      <w:r>
        <w:rPr>
          <w:rFonts w:asciiTheme="majorEastAsia" w:eastAsiaTheme="majorEastAsia" w:hAnsiTheme="majorEastAsia"/>
          <w:bCs/>
          <w:color w:val="auto"/>
          <w:sz w:val="18"/>
          <w:szCs w:val="18"/>
        </w:rPr>
        <w:t xml:space="preserve"> </w:t>
      </w:r>
      <w:r>
        <w:rPr>
          <w:rFonts w:asciiTheme="majorEastAsia" w:eastAsiaTheme="majorEastAsia" w:hAnsiTheme="majorEastAsia" w:hint="eastAsia"/>
          <w:bCs/>
          <w:color w:val="auto"/>
          <w:sz w:val="18"/>
          <w:szCs w:val="18"/>
        </w:rPr>
        <w:t>2018年第</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号）、</w:t>
      </w:r>
      <w:bookmarkStart w:id="45" w:name="_Toc59965743"/>
      <w:r>
        <w:rPr>
          <w:rFonts w:asciiTheme="majorEastAsia" w:eastAsiaTheme="majorEastAsia" w:hAnsiTheme="majorEastAsia" w:hint="eastAsia"/>
          <w:bCs/>
          <w:color w:val="auto"/>
          <w:sz w:val="18"/>
          <w:szCs w:val="18"/>
        </w:rPr>
        <w:t>《商业银行理财子公司管理办法》</w:t>
      </w:r>
      <w:bookmarkEnd w:id="45"/>
      <w:r>
        <w:rPr>
          <w:rFonts w:asciiTheme="majorEastAsia" w:eastAsiaTheme="majorEastAsia" w:hAnsiTheme="majorEastAsia" w:hint="eastAsia"/>
          <w:bCs/>
          <w:color w:val="auto"/>
          <w:sz w:val="18"/>
          <w:szCs w:val="18"/>
        </w:rPr>
        <w:t>（银保监会令2018年第7号）、《理财公司理财产品销售管理暂行办法》（银保监会令2021年第4号）等监管规定及其他有关规定。</w:t>
      </w:r>
    </w:p>
    <w:p w:rsidR="006B43BC" w:rsidRDefault="001E4040">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、订立本投资协议书的原则是平等自愿、诚实信用、充分保护投资人合法权益。</w:t>
      </w:r>
    </w:p>
    <w:p w:rsidR="006B43BC" w:rsidRDefault="001E4040">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rsidR="006B43BC" w:rsidRDefault="001E4040">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rsidR="006B43BC" w:rsidRDefault="001E4040">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 xml:space="preserve"> </w:t>
      </w:r>
    </w:p>
    <w:p w:rsidR="006B43BC" w:rsidRDefault="006B43BC">
      <w:pPr>
        <w:pStyle w:val="Default"/>
        <w:spacing w:line="360" w:lineRule="auto"/>
        <w:rPr>
          <w:rFonts w:asciiTheme="majorEastAsia" w:eastAsiaTheme="majorEastAsia" w:hAnsiTheme="majorEastAsia"/>
          <w:bCs/>
          <w:color w:val="auto"/>
          <w:sz w:val="18"/>
          <w:szCs w:val="18"/>
        </w:rPr>
      </w:pPr>
    </w:p>
    <w:bookmarkEnd w:id="32"/>
    <w:p w:rsidR="006B43BC" w:rsidRDefault="001E4040">
      <w:pPr>
        <w:widowControl/>
        <w:spacing w:line="360" w:lineRule="auto"/>
        <w:jc w:val="left"/>
      </w:pPr>
      <w:r>
        <w:br w:type="page"/>
      </w:r>
    </w:p>
    <w:p w:rsidR="006B43BC" w:rsidRDefault="001E4040">
      <w:pPr>
        <w:pStyle w:val="1"/>
        <w:spacing w:before="0" w:after="0"/>
        <w:jc w:val="center"/>
        <w:rPr>
          <w:rFonts w:ascii="Times New Roman"/>
          <w:color w:val="auto"/>
          <w:sz w:val="30"/>
        </w:rPr>
      </w:pPr>
      <w:bookmarkStart w:id="46" w:name="_Toc95897037"/>
      <w:bookmarkStart w:id="47" w:name="_Toc88482731"/>
      <w:bookmarkStart w:id="48" w:name="_Toc74065739"/>
      <w:r>
        <w:rPr>
          <w:rFonts w:ascii="Times New Roman"/>
          <w:color w:val="auto"/>
          <w:sz w:val="30"/>
        </w:rPr>
        <w:lastRenderedPageBreak/>
        <w:t>第</w:t>
      </w:r>
      <w:r>
        <w:rPr>
          <w:rFonts w:ascii="Times New Roman" w:hint="eastAsia"/>
          <w:color w:val="auto"/>
          <w:sz w:val="30"/>
        </w:rPr>
        <w:t>二条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双方</w:t>
      </w:r>
      <w:r>
        <w:rPr>
          <w:rFonts w:ascii="Times New Roman"/>
          <w:color w:val="auto"/>
          <w:sz w:val="30"/>
        </w:rPr>
        <w:t>权利义务</w:t>
      </w:r>
      <w:bookmarkEnd w:id="46"/>
      <w:bookmarkEnd w:id="47"/>
    </w:p>
    <w:p w:rsidR="006B43BC" w:rsidRDefault="001E4040">
      <w:pPr>
        <w:tabs>
          <w:tab w:val="left" w:pos="704"/>
          <w:tab w:val="left" w:pos="1995"/>
        </w:tabs>
        <w:autoSpaceDE w:val="0"/>
        <w:autoSpaceDN w:val="0"/>
        <w:adjustRightInd w:val="0"/>
        <w:snapToGrid w:val="0"/>
        <w:spacing w:line="360" w:lineRule="auto"/>
        <w:ind w:firstLineChars="200" w:firstLine="361"/>
        <w:rPr>
          <w:rFonts w:ascii="宋体" w:hAnsi="宋体"/>
          <w:b/>
          <w:sz w:val="18"/>
          <w:szCs w:val="18"/>
        </w:rPr>
      </w:pPr>
      <w:r>
        <w:rPr>
          <w:rFonts w:ascii="宋体" w:hAnsi="宋体" w:hint="eastAsia"/>
          <w:b/>
          <w:sz w:val="18"/>
          <w:szCs w:val="18"/>
        </w:rPr>
        <w:t>（一）投资者权利与义务</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黑体" w:eastAsia="黑体" w:hAnsi="黑体" w:hint="eastAsia"/>
          <w:sz w:val="18"/>
          <w:szCs w:val="18"/>
        </w:rPr>
        <w:t>★</w:t>
      </w:r>
      <w:r>
        <w:rPr>
          <w:rFonts w:ascii="宋体" w:hAnsi="宋体" w:hint="eastAsia"/>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ascii="黑体" w:eastAsia="黑体" w:hAnsi="黑体" w:hint="eastAsia"/>
          <w:sz w:val="18"/>
          <w:szCs w:val="18"/>
        </w:rPr>
        <w:t>否则，由此导致的后果应由投资者自行承担，并赔偿因此给产品管理人带来的损失。</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3.</w:t>
      </w:r>
      <w:r>
        <w:rPr>
          <w:rFonts w:ascii="黑体" w:eastAsia="黑体" w:hAnsi="黑体" w:hint="eastAsia"/>
          <w:sz w:val="18"/>
          <w:szCs w:val="18"/>
        </w:rPr>
        <w:t>★</w:t>
      </w:r>
      <w:r>
        <w:rPr>
          <w:rFonts w:ascii="宋体" w:hAnsi="宋体" w:hint="eastAsia"/>
          <w:sz w:val="18"/>
          <w:szCs w:val="18"/>
        </w:rPr>
        <w:t>投资者保证熟悉理财产品类型特征及不同销售渠道的相关规定，了解理财产品</w:t>
      </w:r>
      <w:r>
        <w:rPr>
          <w:rFonts w:ascii="黑体" w:eastAsia="黑体" w:hAnsi="黑体" w:hint="eastAsia"/>
          <w:sz w:val="18"/>
          <w:szCs w:val="18"/>
        </w:rPr>
        <w:t>直销与代销</w:t>
      </w:r>
      <w:r>
        <w:rPr>
          <w:rFonts w:ascii="宋体" w:hAnsi="宋体" w:hint="eastAsia"/>
          <w:sz w:val="18"/>
          <w:szCs w:val="18"/>
        </w:rPr>
        <w:t>的相关区别。</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投资者应配合产品管理人或销售机构为识别合格投资者等目的进行的尽职调查及接受对其投资风险承受能力进行的测评。</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5.</w:t>
      </w:r>
      <w:r>
        <w:rPr>
          <w:rFonts w:ascii="黑体" w:eastAsia="黑体" w:hAnsi="黑体" w:hint="eastAsia"/>
          <w:sz w:val="18"/>
          <w:szCs w:val="18"/>
        </w:rPr>
        <w:t>★</w:t>
      </w:r>
      <w:r>
        <w:rPr>
          <w:rFonts w:ascii="宋体" w:hAnsi="宋体" w:hint="eastAsia"/>
          <w:sz w:val="18"/>
          <w:szCs w:val="18"/>
        </w:rPr>
        <w:t>投资者承诺所提供的所有资料真实、完整、合法、有效,如有变更,投资者应及时到产品管理人或销售机构办理变更手续。</w:t>
      </w:r>
      <w:r>
        <w:rPr>
          <w:rFonts w:ascii="黑体" w:eastAsia="黑体" w:hAnsi="黑体" w:hint="eastAsia"/>
          <w:sz w:val="18"/>
          <w:szCs w:val="18"/>
        </w:rPr>
        <w:t>否则，由此导致的后果应由投资者自行承担，产品管理人对此不承担相应责任。</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投资者同意并授权产品管理人有权根据投资者</w:t>
      </w:r>
      <w:proofErr w:type="gramStart"/>
      <w:r>
        <w:rPr>
          <w:rFonts w:ascii="黑体" w:eastAsia="黑体" w:hAnsi="黑体" w:hint="eastAsia"/>
          <w:sz w:val="18"/>
          <w:szCs w:val="18"/>
        </w:rPr>
        <w:t>所勾选的</w:t>
      </w:r>
      <w:proofErr w:type="gramEnd"/>
      <w:r>
        <w:rPr>
          <w:rFonts w:ascii="黑体" w:eastAsia="黑体" w:hAnsi="黑体" w:hint="eastAsia"/>
          <w:sz w:val="18"/>
          <w:szCs w:val="18"/>
        </w:rPr>
        <w:t>业务申请类型，并根据业务办理需要、反洗</w:t>
      </w:r>
      <w:proofErr w:type="gramStart"/>
      <w:r>
        <w:rPr>
          <w:rFonts w:ascii="黑体" w:eastAsia="黑体" w:hAnsi="黑体" w:hint="eastAsia"/>
          <w:sz w:val="18"/>
          <w:szCs w:val="18"/>
        </w:rPr>
        <w:t>钱工作</w:t>
      </w:r>
      <w:proofErr w:type="gramEnd"/>
      <w:r>
        <w:rPr>
          <w:rFonts w:ascii="黑体" w:eastAsia="黑体" w:hAnsi="黑体" w:hint="eastAsia"/>
          <w:sz w:val="18"/>
          <w:szCs w:val="18"/>
        </w:rPr>
        <w:t>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投资者签署本理财产品销售文件即视为已经同意管理人在前述范围内向相关方提供投资者信息。</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w:t>
      </w:r>
      <w:proofErr w:type="gramStart"/>
      <w:r>
        <w:rPr>
          <w:rFonts w:ascii="宋体" w:hAnsi="宋体" w:hint="eastAsia"/>
          <w:sz w:val="18"/>
          <w:szCs w:val="18"/>
        </w:rPr>
        <w:t>涉恐及反洗</w:t>
      </w:r>
      <w:proofErr w:type="gramEnd"/>
      <w:r>
        <w:rPr>
          <w:rFonts w:ascii="宋体" w:hAnsi="宋体" w:hint="eastAsia"/>
          <w:sz w:val="18"/>
          <w:szCs w:val="18"/>
        </w:rPr>
        <w:t>钱相关风险名单内的企业；</w:t>
      </w:r>
      <w:proofErr w:type="gramStart"/>
      <w:r>
        <w:rPr>
          <w:rFonts w:ascii="宋体" w:hAnsi="宋体" w:hint="eastAsia"/>
          <w:sz w:val="18"/>
          <w:szCs w:val="18"/>
        </w:rPr>
        <w:t>不</w:t>
      </w:r>
      <w:proofErr w:type="gramEnd"/>
      <w:r>
        <w:rPr>
          <w:rFonts w:ascii="宋体" w:hAnsi="宋体" w:hint="eastAsia"/>
          <w:sz w:val="18"/>
          <w:szCs w:val="18"/>
        </w:rPr>
        <w:t>位于被联合国、欧盟或美国等制裁的国家和地区。</w:t>
      </w:r>
      <w:r>
        <w:rPr>
          <w:rFonts w:ascii="宋体" w:hAnsi="宋体"/>
          <w:sz w:val="18"/>
          <w:szCs w:val="18"/>
        </w:rPr>
        <w:t xml:space="preserve"> </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黑体" w:eastAsia="黑体" w:hAnsi="黑体" w:hint="eastAsia"/>
          <w:sz w:val="18"/>
          <w:szCs w:val="18"/>
        </w:rPr>
        <w:t>★</w:t>
      </w:r>
      <w:r>
        <w:rPr>
          <w:rFonts w:ascii="宋体" w:hAnsi="宋体" w:hint="eastAsia"/>
          <w:sz w:val="18"/>
          <w:szCs w:val="18"/>
        </w:rPr>
        <w:t>投资者自愿向产品管理人购买本产品，接受产品管理人提供的投资理财服务。</w:t>
      </w:r>
      <w:r>
        <w:rPr>
          <w:rFonts w:ascii="黑体" w:eastAsia="黑体" w:hAnsi="黑体" w:cs="仿宋_GB2312" w:hint="eastAsia"/>
          <w:bCs/>
          <w:kern w:val="0"/>
          <w:sz w:val="18"/>
          <w:szCs w:val="18"/>
        </w:rPr>
        <w:t>投资者已仔细阅读本产品《风险揭示书》，已充分知悉本产品风险等级，并确定以上述理财资金投资本产品，</w:t>
      </w:r>
      <w:r>
        <w:rPr>
          <w:rFonts w:ascii="宋体" w:hAnsi="宋体" w:hint="eastAsia"/>
          <w:sz w:val="18"/>
          <w:szCs w:val="18"/>
        </w:rPr>
        <w:t>投资者承诺由此产生的相关风险由投资者承担</w:t>
      </w:r>
      <w:r>
        <w:rPr>
          <w:rFonts w:ascii="宋体" w:hAnsi="宋体"/>
          <w:sz w:val="18"/>
          <w:szCs w:val="18"/>
        </w:rPr>
        <w:t>。</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sz w:val="18"/>
          <w:szCs w:val="18"/>
        </w:rPr>
        <w:t>8.</w:t>
      </w:r>
      <w:r>
        <w:rPr>
          <w:rFonts w:ascii="黑体" w:eastAsia="黑体" w:hAnsi="黑体" w:hint="eastAsia"/>
          <w:sz w:val="18"/>
          <w:szCs w:val="18"/>
        </w:rPr>
        <w:t>★</w:t>
      </w:r>
      <w:r>
        <w:rPr>
          <w:rFonts w:ascii="宋体" w:hAnsi="宋体" w:hint="eastAsia"/>
          <w:sz w:val="18"/>
          <w:szCs w:val="18"/>
        </w:rPr>
        <w:t>投资者应按产品管理人要求开立理财产品指定账户（以下简称“指定账户”），用于本产品的理财资金划转及理财产品利益分配，</w:t>
      </w:r>
      <w:r>
        <w:rPr>
          <w:rFonts w:ascii="黑体" w:eastAsia="黑体" w:hAnsi="黑体" w:hint="eastAsia"/>
          <w:sz w:val="18"/>
          <w:szCs w:val="18"/>
        </w:rPr>
        <w:t>投资者承诺持有本产品期间指定账户不做销户。</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9.</w:t>
      </w:r>
      <w:r>
        <w:rPr>
          <w:rFonts w:ascii="黑体" w:eastAsia="黑体" w:hAnsi="黑体" w:hint="eastAsia"/>
          <w:sz w:val="18"/>
          <w:szCs w:val="18"/>
        </w:rPr>
        <w:t>★投资者在购买本产品时，应同时在约定的时间结点前向指定账户存入足额理财资金，并同意授权产品管理人或销售机构于相应的资金</w:t>
      </w:r>
      <w:proofErr w:type="gramStart"/>
      <w:r>
        <w:rPr>
          <w:rFonts w:ascii="黑体" w:eastAsia="黑体" w:hAnsi="黑体" w:hint="eastAsia"/>
          <w:sz w:val="18"/>
          <w:szCs w:val="18"/>
        </w:rPr>
        <w:t>归集日</w:t>
      </w:r>
      <w:proofErr w:type="gramEnd"/>
      <w:r>
        <w:rPr>
          <w:rFonts w:ascii="黑体" w:eastAsia="黑体" w:hAnsi="黑体" w:hint="eastAsia"/>
          <w:sz w:val="18"/>
          <w:szCs w:val="18"/>
        </w:rPr>
        <w:t>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eastAsia="黑体" w:hAnsi="黑体"/>
          <w:sz w:val="18"/>
          <w:szCs w:val="18"/>
        </w:rPr>
        <w:t>投资者授权</w:t>
      </w:r>
      <w:r>
        <w:rPr>
          <w:rFonts w:ascii="黑体" w:eastAsia="黑体" w:hAnsi="黑体" w:hint="eastAsia"/>
          <w:sz w:val="18"/>
          <w:szCs w:val="18"/>
        </w:rPr>
        <w:t>产品管理人或</w:t>
      </w:r>
      <w:r>
        <w:rPr>
          <w:rFonts w:ascii="黑体" w:eastAsia="黑体" w:hAnsi="黑体"/>
          <w:sz w:val="18"/>
          <w:szCs w:val="18"/>
        </w:rPr>
        <w:t>销售机构于相应的资金</w:t>
      </w:r>
      <w:proofErr w:type="gramStart"/>
      <w:r>
        <w:rPr>
          <w:rFonts w:ascii="黑体" w:eastAsia="黑体" w:hAnsi="黑体"/>
          <w:sz w:val="18"/>
          <w:szCs w:val="18"/>
        </w:rPr>
        <w:t>归集日</w:t>
      </w:r>
      <w:proofErr w:type="gramEnd"/>
      <w:r>
        <w:rPr>
          <w:rFonts w:ascii="黑体" w:eastAsia="黑体" w:hAnsi="黑体" w:hint="eastAsia"/>
          <w:sz w:val="18"/>
          <w:szCs w:val="18"/>
        </w:rPr>
        <w:t>将</w:t>
      </w:r>
      <w:r>
        <w:rPr>
          <w:rFonts w:ascii="黑体" w:eastAsia="黑体" w:hAnsi="黑体"/>
          <w:sz w:val="18"/>
          <w:szCs w:val="18"/>
        </w:rPr>
        <w:t>投资者指定账户内相应的理财资金划转至产品管理人理财账户</w:t>
      </w:r>
      <w:r>
        <w:rPr>
          <w:rFonts w:ascii="黑体" w:eastAsia="黑体" w:hAnsi="黑体" w:hint="eastAsia"/>
          <w:sz w:val="18"/>
          <w:szCs w:val="18"/>
        </w:rPr>
        <w:t>，</w:t>
      </w:r>
      <w:r>
        <w:rPr>
          <w:rFonts w:ascii="黑体" w:eastAsia="黑体" w:hAnsi="黑体"/>
          <w:sz w:val="18"/>
          <w:szCs w:val="18"/>
        </w:rPr>
        <w:t>则产品管理人无需另行征得投资者同意或给予通知，无需在划款</w:t>
      </w:r>
      <w:r>
        <w:rPr>
          <w:rFonts w:ascii="黑体" w:eastAsia="黑体" w:hAnsi="黑体" w:hint="eastAsia"/>
          <w:sz w:val="18"/>
          <w:szCs w:val="18"/>
        </w:rPr>
        <w:t>时</w:t>
      </w:r>
      <w:r>
        <w:rPr>
          <w:rFonts w:ascii="黑体" w:eastAsia="黑体" w:hAnsi="黑体"/>
          <w:sz w:val="18"/>
          <w:szCs w:val="18"/>
        </w:rPr>
        <w:t>以电话等方式与投资者进行最后确认。</w:t>
      </w:r>
      <w:r>
        <w:rPr>
          <w:rFonts w:ascii="黑体" w:eastAsia="黑体" w:hAnsi="黑体" w:hint="eastAsia"/>
          <w:sz w:val="18"/>
          <w:szCs w:val="18"/>
        </w:rPr>
        <w:t>由于投资者未存入理财资</w:t>
      </w:r>
      <w:r>
        <w:rPr>
          <w:rFonts w:ascii="黑体" w:eastAsia="黑体" w:hAnsi="黑体" w:hint="eastAsia"/>
          <w:sz w:val="18"/>
          <w:szCs w:val="18"/>
        </w:rPr>
        <w:lastRenderedPageBreak/>
        <w:t>金或理财资金不足或未在约定的时间前购买本产品而导致交易失败的，产品管理人不承担相应责任。</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10.</w:t>
      </w:r>
      <w:r>
        <w:rPr>
          <w:rFonts w:ascii="黑体" w:eastAsia="黑体" w:hAnsi="黑体" w:hint="eastAsia"/>
          <w:sz w:val="18"/>
          <w:szCs w:val="18"/>
        </w:rPr>
        <w:t>★</w:t>
      </w:r>
      <w:r>
        <w:rPr>
          <w:rFonts w:ascii="黑体" w:eastAsia="黑体" w:hAnsi="黑体"/>
          <w:sz w:val="18"/>
          <w:szCs w:val="18"/>
        </w:rPr>
        <w:t>未经</w:t>
      </w:r>
      <w:r>
        <w:rPr>
          <w:rFonts w:ascii="黑体" w:eastAsia="黑体" w:hAnsi="黑体" w:hint="eastAsia"/>
          <w:sz w:val="18"/>
          <w:szCs w:val="18"/>
        </w:rPr>
        <w:t>产品管理人</w:t>
      </w:r>
      <w:r>
        <w:rPr>
          <w:rFonts w:ascii="黑体" w:eastAsia="黑体" w:hAnsi="黑体"/>
          <w:sz w:val="18"/>
          <w:szCs w:val="18"/>
        </w:rPr>
        <w:t>同意，</w:t>
      </w:r>
      <w:r>
        <w:rPr>
          <w:rFonts w:ascii="黑体" w:eastAsia="黑体" w:hAnsi="黑体" w:hint="eastAsia"/>
          <w:sz w:val="18"/>
          <w:szCs w:val="18"/>
        </w:rPr>
        <w:t>投资者</w:t>
      </w:r>
      <w:r>
        <w:rPr>
          <w:rFonts w:ascii="黑体" w:eastAsia="黑体" w:hAnsi="黑体"/>
          <w:sz w:val="18"/>
          <w:szCs w:val="18"/>
        </w:rPr>
        <w:t>不得以本</w:t>
      </w:r>
      <w:r>
        <w:rPr>
          <w:rFonts w:ascii="黑体" w:eastAsia="黑体" w:hAnsi="黑体" w:hint="eastAsia"/>
          <w:sz w:val="18"/>
          <w:szCs w:val="18"/>
        </w:rPr>
        <w:t>产品</w:t>
      </w:r>
      <w:r>
        <w:rPr>
          <w:rFonts w:ascii="黑体" w:eastAsia="黑体" w:hAnsi="黑体"/>
          <w:sz w:val="18"/>
          <w:szCs w:val="18"/>
        </w:rPr>
        <w:t>项下的任何权利、利益、权益（包括单独和整体）为</w:t>
      </w:r>
      <w:r>
        <w:rPr>
          <w:rFonts w:ascii="黑体" w:eastAsia="黑体" w:hAnsi="黑体" w:hint="eastAsia"/>
          <w:sz w:val="18"/>
          <w:szCs w:val="18"/>
        </w:rPr>
        <w:t>投资者</w:t>
      </w:r>
      <w:r>
        <w:rPr>
          <w:rFonts w:ascii="黑体" w:eastAsia="黑体" w:hAnsi="黑体"/>
          <w:sz w:val="18"/>
          <w:szCs w:val="18"/>
        </w:rPr>
        <w:t>和任何第三人的债务设定担保或其他权益</w:t>
      </w:r>
      <w:r>
        <w:rPr>
          <w:rFonts w:ascii="宋体" w:hAnsi="宋体"/>
          <w:sz w:val="18"/>
          <w:szCs w:val="18"/>
        </w:rPr>
        <w:t>。</w:t>
      </w:r>
      <w:r>
        <w:rPr>
          <w:rFonts w:ascii="宋体" w:hAnsi="宋体" w:hint="eastAsia"/>
          <w:sz w:val="18"/>
          <w:szCs w:val="18"/>
        </w:rPr>
        <w:t>若投资者以本产品在兴业银行股份有限公司办理质押贷款业务时，则无需产品管理人同意。</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黑体" w:eastAsia="黑体" w:hAnsi="黑体" w:hint="eastAsia"/>
          <w:sz w:val="18"/>
          <w:szCs w:val="18"/>
        </w:rPr>
        <w:t>★未经产品管理人同意，投资者不得向任何第三人转让、赠与本产品说明书或本产品说明书项下的任何权利、利益、权益（包括单独和整体）</w:t>
      </w:r>
      <w:r>
        <w:rPr>
          <w:rFonts w:ascii="宋体" w:hAnsi="宋体" w:hint="eastAsia"/>
          <w:sz w:val="18"/>
          <w:szCs w:val="18"/>
        </w:rPr>
        <w:t>。若投资者使用兴业银行股份有限公司提供的服务开展前述行为时，则无需产品管理人同意。</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其他在本产品所对应理财产品销售文件中约定的投资者的权利与义务。</w:t>
      </w:r>
    </w:p>
    <w:p w:rsidR="006B43BC" w:rsidRDefault="001E4040">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ascii="宋体" w:hAnsi="宋体" w:hint="eastAsia"/>
          <w:b/>
          <w:sz w:val="18"/>
          <w:szCs w:val="18"/>
        </w:rPr>
        <w:t>（二）产品管理人权利与义务</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产品管理人在受托运用理财资金进行投资时，应履行诚实信用、谨慎勤勉的义务，管理理财产品资金，依法保护投资者的财产权益。</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hint="eastAsia"/>
          <w:sz w:val="18"/>
          <w:szCs w:val="18"/>
        </w:rPr>
        <w:t>3.</w:t>
      </w:r>
      <w:r>
        <w:rPr>
          <w:rFonts w:ascii="宋体" w:hAnsi="宋体"/>
          <w:sz w:val="18"/>
          <w:szCs w:val="18"/>
        </w:rPr>
        <w:t>产品管理人应按照约定披露产品相关信息</w:t>
      </w:r>
      <w:r>
        <w:rPr>
          <w:rFonts w:ascii="宋体" w:hAnsi="宋体" w:hint="eastAsia"/>
          <w:sz w:val="18"/>
          <w:szCs w:val="18"/>
        </w:rPr>
        <w:t>。</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产品管理人及</w:t>
      </w:r>
      <w:r>
        <w:rPr>
          <w:rFonts w:ascii="宋体" w:hAnsi="宋体"/>
          <w:sz w:val="18"/>
          <w:szCs w:val="18"/>
        </w:rPr>
        <w:t>/或销售机构</w:t>
      </w:r>
      <w:r>
        <w:rPr>
          <w:rFonts w:ascii="宋体" w:hAnsi="宋体" w:hint="eastAsia"/>
          <w:sz w:val="18"/>
          <w:szCs w:val="18"/>
        </w:rPr>
        <w:t>按照《产品说明书》约定向投资者进行理财产品份额的利益分配并将对应资金划入投资者约定账户后</w:t>
      </w:r>
      <w:r>
        <w:rPr>
          <w:rFonts w:ascii="宋体" w:hAnsi="宋体"/>
          <w:sz w:val="18"/>
          <w:szCs w:val="18"/>
        </w:rPr>
        <w:t xml:space="preserve">, </w:t>
      </w:r>
      <w:r>
        <w:rPr>
          <w:rFonts w:ascii="宋体" w:hAnsi="宋体" w:hint="eastAsia"/>
          <w:sz w:val="18"/>
          <w:szCs w:val="18"/>
        </w:rPr>
        <w:t>即视为产品管理人已向投资者完成利益分配和资金的清算分配。因投资者约定账户冻结、挂失、换卡、销户、长期不动户等原因造成账户变更或异常</w:t>
      </w:r>
      <w:r>
        <w:rPr>
          <w:rFonts w:ascii="宋体" w:hAnsi="宋体"/>
          <w:sz w:val="18"/>
          <w:szCs w:val="18"/>
        </w:rPr>
        <w:t xml:space="preserve">, </w:t>
      </w:r>
      <w:r>
        <w:rPr>
          <w:rFonts w:ascii="宋体" w:hAnsi="宋体" w:hint="eastAsia"/>
          <w:sz w:val="18"/>
          <w:szCs w:val="18"/>
        </w:rPr>
        <w:t>投资者应及时到产品管理人及</w:t>
      </w:r>
      <w:r>
        <w:rPr>
          <w:rFonts w:ascii="宋体" w:hAnsi="宋体"/>
          <w:sz w:val="18"/>
          <w:szCs w:val="18"/>
        </w:rPr>
        <w:t>/或</w:t>
      </w:r>
      <w:r>
        <w:rPr>
          <w:rFonts w:ascii="宋体" w:hAnsi="宋体" w:hint="eastAsia"/>
          <w:sz w:val="18"/>
          <w:szCs w:val="18"/>
        </w:rPr>
        <w:t>销售机构办理变更手续。如因投资者未及时办理变更手续而造成产品管理人及</w:t>
      </w:r>
      <w:r>
        <w:rPr>
          <w:rFonts w:ascii="宋体" w:hAnsi="宋体"/>
          <w:sz w:val="18"/>
          <w:szCs w:val="18"/>
        </w:rPr>
        <w:t>/或</w:t>
      </w:r>
      <w:r>
        <w:rPr>
          <w:rFonts w:ascii="宋体" w:hAnsi="宋体" w:hint="eastAsia"/>
          <w:sz w:val="18"/>
          <w:szCs w:val="18"/>
        </w:rPr>
        <w:t>销售机构无法向投资者进行正常利益分配和资金清算分配</w:t>
      </w:r>
      <w:r>
        <w:rPr>
          <w:rFonts w:ascii="宋体" w:hAnsi="宋体"/>
          <w:sz w:val="18"/>
          <w:szCs w:val="18"/>
        </w:rPr>
        <w:t xml:space="preserve">, </w:t>
      </w:r>
      <w:r>
        <w:rPr>
          <w:rFonts w:ascii="宋体" w:hAnsi="宋体" w:hint="eastAsia"/>
          <w:sz w:val="18"/>
          <w:szCs w:val="18"/>
        </w:rPr>
        <w:t>由此导致投资者损失的由投资者自行承担</w:t>
      </w:r>
      <w:r>
        <w:rPr>
          <w:rFonts w:ascii="宋体" w:hAnsi="宋体"/>
          <w:sz w:val="18"/>
          <w:szCs w:val="18"/>
        </w:rPr>
        <w:t xml:space="preserve">, </w:t>
      </w:r>
      <w:r>
        <w:rPr>
          <w:rFonts w:ascii="宋体" w:hAnsi="宋体" w:hint="eastAsia"/>
          <w:sz w:val="18"/>
          <w:szCs w:val="18"/>
        </w:rPr>
        <w:t>产品管理人不承担责任。</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5.</w:t>
      </w:r>
      <w:r>
        <w:rPr>
          <w:rFonts w:ascii="黑体" w:eastAsia="黑体" w:hAnsi="黑体" w:hint="eastAsia"/>
          <w:sz w:val="18"/>
          <w:szCs w:val="18"/>
        </w:rPr>
        <w:t>★产品管理人将严格履行投资者信息保密义务。除法律法规及监管规范另有规定或者投资者同意披露外，产品管理人不得向任何组织、个人提供或泄漏与投资者有关的资料和信息。</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自律组织要求和本协议的约定，处理投资者信息。</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根据法律法规、监管规定和自律组织要求，本产品的投资合作机构（包括但不限于本产品所投资的信托计划、</w:t>
      </w:r>
      <w:proofErr w:type="gramStart"/>
      <w:r>
        <w:rPr>
          <w:rFonts w:ascii="黑体" w:eastAsia="黑体" w:hAnsi="黑体" w:hint="eastAsia"/>
          <w:sz w:val="18"/>
          <w:szCs w:val="18"/>
        </w:rPr>
        <w:t>资管计划</w:t>
      </w:r>
      <w:proofErr w:type="gramEnd"/>
      <w:r>
        <w:rPr>
          <w:rFonts w:ascii="黑体" w:eastAsia="黑体" w:hAnsi="黑体" w:hint="eastAsia"/>
          <w:sz w:val="18"/>
          <w:szCs w:val="18"/>
        </w:rPr>
        <w:t>、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因理财产品管理运作的需要，产品管理人、销售机构可购买、使用、租用专业信息服务供应商提供的信息系统、数据服务（如数据传输系统、客服系统、登记系统、CA认证服务、可信时间</w:t>
      </w:r>
      <w:proofErr w:type="gramStart"/>
      <w:r>
        <w:rPr>
          <w:rFonts w:ascii="黑体" w:eastAsia="黑体" w:hAnsi="黑体" w:hint="eastAsia"/>
          <w:sz w:val="18"/>
          <w:szCs w:val="18"/>
        </w:rPr>
        <w:t>戳服务</w:t>
      </w:r>
      <w:proofErr w:type="gramEnd"/>
      <w:r>
        <w:rPr>
          <w:rFonts w:ascii="黑体" w:eastAsia="黑体" w:hAnsi="黑体" w:hint="eastAsia"/>
          <w:sz w:val="18"/>
          <w:szCs w:val="18"/>
        </w:rPr>
        <w:t>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在理财产品投资过程中发生任何争议，有权以管理人的名义代表理财产品进行维权，行使包括但不限于提起诉讼</w:t>
      </w:r>
      <w:r>
        <w:rPr>
          <w:rFonts w:ascii="宋体" w:hAnsi="宋体"/>
          <w:sz w:val="18"/>
          <w:szCs w:val="18"/>
        </w:rPr>
        <w:t>/</w:t>
      </w:r>
      <w:r>
        <w:rPr>
          <w:rFonts w:ascii="宋体" w:hAnsi="宋体" w:hint="eastAsia"/>
          <w:sz w:val="18"/>
          <w:szCs w:val="18"/>
        </w:rPr>
        <w:t>仲裁、申请保全</w:t>
      </w:r>
      <w:r>
        <w:rPr>
          <w:rFonts w:ascii="宋体" w:hAnsi="宋体"/>
          <w:sz w:val="18"/>
          <w:szCs w:val="18"/>
        </w:rPr>
        <w:t>/</w:t>
      </w:r>
      <w:r>
        <w:rPr>
          <w:rFonts w:ascii="宋体" w:hAnsi="宋体" w:hint="eastAsia"/>
          <w:sz w:val="18"/>
          <w:szCs w:val="18"/>
        </w:rPr>
        <w:t>执行等权利，由此产生的费用由理财产品承担。</w:t>
      </w:r>
      <w:r>
        <w:rPr>
          <w:rFonts w:ascii="宋体" w:hAnsi="宋体"/>
          <w:sz w:val="18"/>
          <w:szCs w:val="18"/>
        </w:rPr>
        <w:t xml:space="preserve"> </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宋体" w:hAnsi="宋体" w:hint="eastAsia"/>
          <w:sz w:val="18"/>
          <w:szCs w:val="18"/>
        </w:rPr>
        <w:t>产品管理人全权负责理财产品资金的运用和理财产品资产的管理</w:t>
      </w:r>
      <w:r>
        <w:rPr>
          <w:rFonts w:ascii="宋体" w:hAnsi="宋体"/>
          <w:sz w:val="18"/>
          <w:szCs w:val="18"/>
        </w:rPr>
        <w:t xml:space="preserve">, </w:t>
      </w:r>
      <w:r>
        <w:rPr>
          <w:rFonts w:ascii="宋体" w:hAnsi="宋体" w:hint="eastAsia"/>
          <w:sz w:val="18"/>
          <w:szCs w:val="18"/>
        </w:rPr>
        <w:t>有权参加与理财产品所投资资产相关的所有会议</w:t>
      </w:r>
      <w:r>
        <w:rPr>
          <w:rFonts w:ascii="宋体" w:hAnsi="宋体"/>
          <w:sz w:val="18"/>
          <w:szCs w:val="18"/>
        </w:rPr>
        <w:t xml:space="preserve">, </w:t>
      </w:r>
      <w:r>
        <w:rPr>
          <w:rFonts w:ascii="宋体" w:hAnsi="宋体" w:hint="eastAsia"/>
          <w:sz w:val="18"/>
          <w:szCs w:val="18"/>
        </w:rPr>
        <w:t>并对相关事项进行表决；产品管理人有权代表投资者利益</w:t>
      </w:r>
      <w:r>
        <w:rPr>
          <w:rFonts w:ascii="宋体" w:hAnsi="宋体"/>
          <w:sz w:val="18"/>
          <w:szCs w:val="18"/>
        </w:rPr>
        <w:t xml:space="preserve">, </w:t>
      </w:r>
      <w:r>
        <w:rPr>
          <w:rFonts w:ascii="宋体" w:hAnsi="宋体" w:hint="eastAsia"/>
          <w:sz w:val="18"/>
          <w:szCs w:val="18"/>
        </w:rPr>
        <w:t>按照法律法规和监管部门相关规定对理财产品投资产生的风险资产进行多种方式的处置</w:t>
      </w:r>
      <w:r>
        <w:rPr>
          <w:rFonts w:ascii="宋体" w:hAnsi="宋体"/>
          <w:sz w:val="18"/>
          <w:szCs w:val="18"/>
        </w:rPr>
        <w:t xml:space="preserve">, </w:t>
      </w:r>
      <w:r>
        <w:rPr>
          <w:rFonts w:ascii="宋体" w:hAnsi="宋体" w:hint="eastAsia"/>
          <w:sz w:val="18"/>
          <w:szCs w:val="18"/>
        </w:rPr>
        <w:t>包括但不限于转让、重组、债转股、资产证券化、委外催收、抵债资产收取与处置、破产重整等。</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8.</w:t>
      </w:r>
      <w:r>
        <w:rPr>
          <w:rFonts w:ascii="黑体" w:eastAsia="黑体" w:hAnsi="黑体" w:hint="eastAsia"/>
          <w:sz w:val="18"/>
          <w:szCs w:val="18"/>
        </w:rPr>
        <w:t>★</w:t>
      </w:r>
      <w:r>
        <w:rPr>
          <w:rFonts w:ascii="宋体" w:hAnsi="宋体" w:hint="eastAsia"/>
          <w:sz w:val="18"/>
          <w:szCs w:val="18"/>
        </w:rPr>
        <w:t>产品管理人或销售机构发现或有合理理由怀疑投资者或其资金存在洗钱、恐怖融资、逃税等嫌疑,</w:t>
      </w:r>
      <w:r>
        <w:rPr>
          <w:rFonts w:ascii="黑体" w:eastAsia="黑体" w:hAnsi="黑体" w:hint="eastAsia"/>
          <w:sz w:val="18"/>
          <w:szCs w:val="18"/>
        </w:rPr>
        <w:lastRenderedPageBreak/>
        <w:t>产品管理人有权提前终止本协议，造成投资者损失的，产品管理人不承担责任。</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9.</w:t>
      </w:r>
      <w:r>
        <w:rPr>
          <w:rFonts w:ascii="宋体" w:hAnsi="宋体" w:hint="eastAsia"/>
          <w:sz w:val="18"/>
          <w:szCs w:val="18"/>
        </w:rPr>
        <w:t>产品管理人不承担对第三人支付本产品项下投资者清算产品后分配金额以及相关权益的责任，法律法规另有规定的除外。</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10.</w:t>
      </w:r>
      <w:r>
        <w:rPr>
          <w:rFonts w:ascii="黑体" w:eastAsia="黑体" w:hAnsi="黑体" w:hint="eastAsia"/>
          <w:sz w:val="18"/>
          <w:szCs w:val="18"/>
        </w:rPr>
        <w:t>★产品管理人在此特别披露：兴业银行股份有限公司（以下简称“兴业银行”）是产品管理人的关联方，若产品管理人聘请其担任本产品的代理销售机构</w:t>
      </w:r>
      <w:r>
        <w:rPr>
          <w:rFonts w:ascii="黑体" w:eastAsia="黑体" w:hAnsi="黑体"/>
          <w:sz w:val="18"/>
          <w:szCs w:val="18"/>
        </w:rPr>
        <w:t>或</w:t>
      </w:r>
      <w:r>
        <w:rPr>
          <w:rFonts w:ascii="黑体" w:eastAsia="黑体" w:hAnsi="黑体" w:hint="eastAsia"/>
          <w:sz w:val="18"/>
          <w:szCs w:val="18"/>
        </w:rPr>
        <w:t>产品托管人的，产品管理人应履行现行法律法规和监管规定所要求的必要程序。</w:t>
      </w:r>
      <w:r>
        <w:rPr>
          <w:rFonts w:ascii="黑体" w:eastAsia="黑体" w:hAnsi="黑体"/>
          <w:sz w:val="18"/>
          <w:szCs w:val="18"/>
        </w:rPr>
        <w:t xml:space="preserve"> </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产品管理人</w:t>
      </w:r>
      <w:r>
        <w:rPr>
          <w:rFonts w:ascii="宋体" w:hAnsi="宋体"/>
          <w:sz w:val="18"/>
          <w:szCs w:val="18"/>
        </w:rPr>
        <w:t>负责维护理财产品运作相关的自有</w:t>
      </w:r>
      <w:r>
        <w:rPr>
          <w:rFonts w:ascii="宋体" w:hAnsi="宋体" w:cs="仿宋_GB2312" w:hint="eastAsia"/>
          <w:kern w:val="0"/>
          <w:sz w:val="18"/>
          <w:szCs w:val="18"/>
        </w:rPr>
        <w:t>业务系统和技术设施</w:t>
      </w:r>
      <w:r>
        <w:rPr>
          <w:rFonts w:ascii="宋体" w:hAnsi="宋体"/>
          <w:sz w:val="18"/>
          <w:szCs w:val="18"/>
        </w:rPr>
        <w:t>。</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hint="eastAsia"/>
          <w:sz w:val="18"/>
          <w:szCs w:val="18"/>
        </w:rPr>
        <w:t>1</w:t>
      </w:r>
      <w:r>
        <w:rPr>
          <w:rFonts w:ascii="宋体" w:hAnsi="宋体"/>
          <w:sz w:val="18"/>
          <w:szCs w:val="18"/>
        </w:rPr>
        <w:t>2.</w:t>
      </w:r>
      <w:r>
        <w:rPr>
          <w:rFonts w:ascii="宋体" w:hAnsi="宋体" w:hint="eastAsia"/>
          <w:sz w:val="18"/>
          <w:szCs w:val="18"/>
        </w:rPr>
        <w:t>产品管理人有权根据符合条件的申请，受理并办理继承、捐赠、司法强制执行和经理财产品登记机构认可的其他情况下的</w:t>
      </w:r>
      <w:proofErr w:type="gramStart"/>
      <w:r>
        <w:rPr>
          <w:rFonts w:ascii="宋体" w:hAnsi="宋体" w:hint="eastAsia"/>
          <w:sz w:val="18"/>
          <w:szCs w:val="18"/>
        </w:rPr>
        <w:t>非交易</w:t>
      </w:r>
      <w:proofErr w:type="gramEnd"/>
      <w:r>
        <w:rPr>
          <w:rFonts w:ascii="宋体" w:hAnsi="宋体" w:hint="eastAsia"/>
          <w:sz w:val="18"/>
          <w:szCs w:val="18"/>
        </w:rPr>
        <w:t>过户。</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13.其他在本产品所对应理财产品销售文件中约定的产品管理人的权利与义务。</w:t>
      </w:r>
    </w:p>
    <w:p w:rsidR="006B43BC" w:rsidRDefault="001E4040">
      <w:pPr>
        <w:widowControl/>
        <w:spacing w:line="360" w:lineRule="auto"/>
        <w:jc w:val="left"/>
        <w:rPr>
          <w:b/>
          <w:kern w:val="0"/>
          <w:sz w:val="30"/>
        </w:rPr>
      </w:pPr>
      <w:r>
        <w:rPr>
          <w:sz w:val="30"/>
        </w:rPr>
        <w:br w:type="page"/>
      </w:r>
    </w:p>
    <w:p w:rsidR="006B43BC" w:rsidRDefault="001E4040">
      <w:pPr>
        <w:pStyle w:val="1"/>
        <w:spacing w:before="0" w:after="0"/>
        <w:jc w:val="center"/>
        <w:rPr>
          <w:rFonts w:ascii="Times New Roman"/>
          <w:sz w:val="30"/>
        </w:rPr>
      </w:pPr>
      <w:bookmarkStart w:id="49" w:name="_Toc88482732"/>
      <w:bookmarkStart w:id="50" w:name="_Toc95897038"/>
      <w:bookmarkStart w:id="51" w:name="_Toc545"/>
      <w:bookmarkStart w:id="52" w:name="_Toc22708"/>
      <w:bookmarkStart w:id="53" w:name="_Toc13288"/>
      <w:bookmarkStart w:id="54" w:name="_Toc24571"/>
      <w:bookmarkStart w:id="55" w:name="_Toc6149"/>
      <w:bookmarkStart w:id="56" w:name="_Toc733"/>
      <w:bookmarkStart w:id="57" w:name="_Toc74065740"/>
      <w:bookmarkStart w:id="58" w:name="_Toc20627"/>
      <w:bookmarkStart w:id="59" w:name="_Toc6683"/>
      <w:bookmarkStart w:id="60" w:name="_Toc20318"/>
      <w:bookmarkStart w:id="61" w:name="_Toc18631"/>
      <w:bookmarkStart w:id="62" w:name="_Toc258829400"/>
      <w:bookmarkStart w:id="63" w:name="_Toc233456272"/>
      <w:bookmarkEnd w:id="33"/>
      <w:bookmarkEnd w:id="34"/>
      <w:bookmarkEnd w:id="35"/>
      <w:bookmarkEnd w:id="36"/>
      <w:bookmarkEnd w:id="37"/>
      <w:bookmarkEnd w:id="38"/>
      <w:bookmarkEnd w:id="39"/>
      <w:bookmarkEnd w:id="40"/>
      <w:bookmarkEnd w:id="41"/>
      <w:bookmarkEnd w:id="42"/>
      <w:bookmarkEnd w:id="43"/>
      <w:bookmarkEnd w:id="44"/>
      <w:bookmarkEnd w:id="48"/>
      <w:r>
        <w:rPr>
          <w:rFonts w:ascii="Times New Roman" w:hint="eastAsia"/>
          <w:color w:val="auto"/>
          <w:sz w:val="30"/>
        </w:rPr>
        <w:lastRenderedPageBreak/>
        <w:t>第三条</w:t>
      </w:r>
      <w:r>
        <w:rPr>
          <w:rFonts w:ascii="Times New Roman"/>
          <w:color w:val="auto"/>
          <w:sz w:val="30"/>
        </w:rPr>
        <w:t xml:space="preserve">  </w:t>
      </w:r>
      <w:r>
        <w:rPr>
          <w:rFonts w:ascii="Times New Roman"/>
          <w:color w:val="auto"/>
          <w:sz w:val="30"/>
        </w:rPr>
        <w:t>不可抗力</w:t>
      </w:r>
      <w:bookmarkEnd w:id="49"/>
      <w:bookmarkEnd w:id="50"/>
    </w:p>
    <w:bookmarkEnd w:id="51"/>
    <w:bookmarkEnd w:id="52"/>
    <w:bookmarkEnd w:id="53"/>
    <w:bookmarkEnd w:id="54"/>
    <w:bookmarkEnd w:id="55"/>
    <w:bookmarkEnd w:id="56"/>
    <w:bookmarkEnd w:id="57"/>
    <w:bookmarkEnd w:id="58"/>
    <w:bookmarkEnd w:id="59"/>
    <w:bookmarkEnd w:id="60"/>
    <w:bookmarkEnd w:id="61"/>
    <w:p w:rsidR="006B43BC" w:rsidRDefault="001E4040">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rsidR="006B43BC" w:rsidRDefault="001E4040">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（二）对由不可抗力导致的交易中断、延误及由此造成的损失，产品管理人不承担相应责任，但产品管理人应在条件允许的情况下，采取必要的补救措施以减少不可抗力造成的损失。</w:t>
      </w:r>
    </w:p>
    <w:p w:rsidR="006B43BC" w:rsidRDefault="001E4040">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rsidR="006B43BC" w:rsidRDefault="001E4040">
      <w:pPr>
        <w:pStyle w:val="1"/>
        <w:spacing w:before="0" w:after="0"/>
        <w:jc w:val="center"/>
        <w:rPr>
          <w:rFonts w:ascii="Times New Roman"/>
          <w:b w:val="0"/>
          <w:sz w:val="30"/>
        </w:rPr>
      </w:pPr>
      <w:bookmarkStart w:id="64" w:name="_Toc88482733"/>
      <w:bookmarkStart w:id="65" w:name="_Toc95897039"/>
      <w:r>
        <w:rPr>
          <w:rFonts w:ascii="Times New Roman" w:hint="eastAsia"/>
          <w:color w:val="auto"/>
          <w:sz w:val="30"/>
        </w:rPr>
        <w:lastRenderedPageBreak/>
        <w:t>第四条</w:t>
      </w:r>
      <w:r>
        <w:rPr>
          <w:rFonts w:ascii="Times New Roman"/>
          <w:color w:val="auto"/>
          <w:sz w:val="30"/>
        </w:rPr>
        <w:t xml:space="preserve">  </w:t>
      </w:r>
      <w:r>
        <w:rPr>
          <w:rFonts w:ascii="Times New Roman" w:hint="eastAsia"/>
          <w:color w:val="auto"/>
          <w:sz w:val="30"/>
        </w:rPr>
        <w:t>违约责任</w:t>
      </w:r>
      <w:bookmarkEnd w:id="64"/>
      <w:bookmarkEnd w:id="65"/>
    </w:p>
    <w:p w:rsidR="006B43BC" w:rsidRDefault="001E4040">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（一）由于本协议一方当事人的过错，造成本协议不能履行或不能完全履行的，由有过错的一方承担违约责任；如双方同时负有过错，则应由双方各自按照过错程度承担责任。</w:t>
      </w:r>
    </w:p>
    <w:p w:rsidR="006B43BC" w:rsidRDefault="001E4040">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（二）双方同意，发生下列情况造成损失时，按以下约定承担责任：</w:t>
      </w:r>
    </w:p>
    <w:p w:rsidR="006B43BC" w:rsidRDefault="001E4040">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对由于国家有关法律、法规、规章、政策的变化，监管机构管理规则的修改、紧急措施的出台等原因而导致的相关风险及损失，双方当事人互不承担责任；</w:t>
      </w:r>
    </w:p>
    <w:p w:rsidR="006B43BC" w:rsidRDefault="001E4040">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.本协议书中涉及的相关到期日或</w:t>
      </w:r>
      <w:proofErr w:type="gramStart"/>
      <w:r>
        <w:rPr>
          <w:rFonts w:ascii="宋体" w:hAnsi="宋体" w:cs="仿宋_GB2312" w:hint="eastAsia"/>
          <w:kern w:val="0"/>
          <w:sz w:val="18"/>
          <w:szCs w:val="18"/>
        </w:rPr>
        <w:t>分配日</w:t>
      </w:r>
      <w:proofErr w:type="gramEnd"/>
      <w:r>
        <w:rPr>
          <w:rFonts w:ascii="宋体" w:hAnsi="宋体" w:cs="仿宋_GB2312" w:hint="eastAsia"/>
          <w:kern w:val="0"/>
          <w:sz w:val="18"/>
          <w:szCs w:val="18"/>
        </w:rPr>
        <w:t>如遇节假日，将顺延至下一个工作日，由此产生的风险及损失双方当事人互不承担责任；</w:t>
      </w:r>
    </w:p>
    <w:p w:rsidR="006B43BC" w:rsidRDefault="001E4040">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3.</w:t>
      </w:r>
      <w:r>
        <w:rPr>
          <w:rFonts w:ascii="黑体" w:eastAsia="黑体" w:hAnsi="黑体" w:cs="仿宋_GB2312" w:hint="eastAsia"/>
          <w:bCs/>
          <w:kern w:val="0"/>
          <w:sz w:val="18"/>
          <w:szCs w:val="18"/>
        </w:rPr>
        <w:t>★</w:t>
      </w:r>
      <w:r>
        <w:rPr>
          <w:rFonts w:ascii="黑体" w:eastAsia="黑体" w:hAnsi="黑体" w:cs="仿宋_GB2312" w:hint="eastAsia"/>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rsidR="006B43BC" w:rsidRDefault="001E4040">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6B43BC" w:rsidRDefault="001E4040">
      <w:pPr>
        <w:pStyle w:val="1"/>
        <w:spacing w:before="0" w:after="0"/>
        <w:jc w:val="center"/>
        <w:rPr>
          <w:rFonts w:ascii="Times New Roman"/>
          <w:b w:val="0"/>
          <w:sz w:val="30"/>
        </w:rPr>
      </w:pPr>
      <w:bookmarkStart w:id="66" w:name="_Toc88482734"/>
      <w:bookmarkStart w:id="67" w:name="_Toc95897040"/>
      <w:r>
        <w:rPr>
          <w:rFonts w:ascii="Times New Roman" w:hint="eastAsia"/>
          <w:color w:val="auto"/>
          <w:sz w:val="30"/>
        </w:rPr>
        <w:lastRenderedPageBreak/>
        <w:t>第五条</w:t>
      </w:r>
      <w:r>
        <w:rPr>
          <w:rFonts w:ascii="Times New Roman"/>
          <w:color w:val="auto"/>
          <w:sz w:val="30"/>
        </w:rPr>
        <w:t xml:space="preserve">  </w:t>
      </w:r>
      <w:r>
        <w:rPr>
          <w:rFonts w:ascii="Times New Roman"/>
          <w:color w:val="auto"/>
          <w:sz w:val="30"/>
        </w:rPr>
        <w:t>法律适用和争议解决</w:t>
      </w:r>
      <w:bookmarkEnd w:id="66"/>
      <w:bookmarkEnd w:id="67"/>
    </w:p>
    <w:p w:rsidR="006B43BC" w:rsidRDefault="001E4040">
      <w:pPr>
        <w:adjustRightInd w:val="0"/>
        <w:spacing w:line="360" w:lineRule="auto"/>
        <w:ind w:firstLineChars="200" w:firstLine="36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rsidR="006B43BC" w:rsidRDefault="001E4040">
      <w:pPr>
        <w:adjustRightInd w:val="0"/>
        <w:spacing w:line="360" w:lineRule="auto"/>
        <w:ind w:firstLineChars="200" w:firstLine="36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rsidR="006B43BC" w:rsidRDefault="001E4040">
      <w:pPr>
        <w:adjustRightInd w:val="0"/>
        <w:spacing w:line="360" w:lineRule="auto"/>
        <w:ind w:firstLineChars="200" w:firstLine="360"/>
        <w:rPr>
          <w:rFonts w:ascii="黑体" w:eastAsia="黑体" w:hAnsi="黑体"/>
          <w:sz w:val="18"/>
          <w:szCs w:val="18"/>
        </w:rPr>
      </w:pPr>
      <w:r>
        <w:rPr>
          <w:rFonts w:ascii="黑体" w:eastAsia="黑体" w:hAnsi="黑体" w:hint="eastAsia"/>
          <w:sz w:val="18"/>
          <w:szCs w:val="18"/>
        </w:rPr>
        <w:t>（二）★争议解决</w:t>
      </w:r>
    </w:p>
    <w:p w:rsidR="006B43BC" w:rsidRDefault="001E4040">
      <w:pPr>
        <w:adjustRightInd w:val="0"/>
        <w:spacing w:line="360" w:lineRule="auto"/>
        <w:ind w:firstLineChars="200" w:firstLine="360"/>
        <w:rPr>
          <w:rFonts w:ascii="黑体" w:eastAsia="黑体" w:hAnsi="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ascii="黑体" w:eastAsia="黑体" w:hAnsi="黑体" w:hint="eastAsia"/>
          <w:color w:val="000000" w:themeColor="text1"/>
          <w:sz w:val="18"/>
          <w:szCs w:val="18"/>
        </w:rPr>
        <w:t>如友好协商不成的，双方均同意以</w:t>
      </w:r>
      <w:proofErr w:type="gramStart"/>
      <w:r>
        <w:rPr>
          <w:rFonts w:ascii="黑体" w:eastAsia="黑体" w:hAnsi="黑体" w:hint="eastAsia"/>
          <w:color w:val="000000" w:themeColor="text1"/>
          <w:sz w:val="18"/>
          <w:szCs w:val="18"/>
        </w:rPr>
        <w:t>如下第</w:t>
      </w:r>
      <w:proofErr w:type="gramEnd"/>
      <w:r>
        <w:rPr>
          <w:rFonts w:ascii="黑体" w:eastAsia="黑体" w:hAnsi="黑体" w:hint="eastAsia"/>
          <w:color w:val="000000" w:themeColor="text1"/>
          <w:sz w:val="18"/>
          <w:szCs w:val="18"/>
        </w:rPr>
        <w:t>【壹】种方式解决：</w:t>
      </w:r>
    </w:p>
    <w:p w:rsidR="006B43BC" w:rsidRDefault="001E4040">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（壹）向产品管理人住所地之人民法院提起诉讼。</w:t>
      </w:r>
    </w:p>
    <w:p w:rsidR="006B43BC" w:rsidRDefault="001E4040">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rsidR="006B43BC" w:rsidRDefault="001E4040">
      <w:pPr>
        <w:widowControl/>
        <w:spacing w:line="360" w:lineRule="auto"/>
        <w:jc w:val="left"/>
        <w:rPr>
          <w:rFonts w:ascii="黑体" w:eastAsia="黑体" w:hAnsi="黑体"/>
          <w:color w:val="000000" w:themeColor="text1"/>
          <w:sz w:val="18"/>
          <w:szCs w:val="18"/>
        </w:rPr>
      </w:pPr>
      <w:r>
        <w:rPr>
          <w:rFonts w:ascii="黑体" w:eastAsia="黑体" w:hAnsi="黑体"/>
          <w:color w:val="000000" w:themeColor="text1"/>
          <w:sz w:val="18"/>
          <w:szCs w:val="18"/>
        </w:rPr>
        <w:br w:type="page"/>
      </w:r>
    </w:p>
    <w:p w:rsidR="006B43BC" w:rsidRDefault="001E4040">
      <w:pPr>
        <w:pStyle w:val="1"/>
        <w:spacing w:before="0" w:after="0"/>
        <w:jc w:val="center"/>
        <w:rPr>
          <w:rFonts w:ascii="Times New Roman"/>
          <w:b w:val="0"/>
          <w:sz w:val="30"/>
        </w:rPr>
      </w:pPr>
      <w:bookmarkStart w:id="68" w:name="_Toc88482735"/>
      <w:bookmarkStart w:id="69" w:name="_Toc95897041"/>
      <w:r>
        <w:rPr>
          <w:rFonts w:ascii="Times New Roman" w:hint="eastAsia"/>
          <w:color w:val="auto"/>
          <w:sz w:val="30"/>
        </w:rPr>
        <w:lastRenderedPageBreak/>
        <w:t>第六条</w:t>
      </w:r>
      <w:r>
        <w:rPr>
          <w:rFonts w:ascii="Times New Roman" w:hint="eastAsia"/>
          <w:color w:val="auto"/>
          <w:sz w:val="30"/>
        </w:rPr>
        <w:t xml:space="preserve"> </w:t>
      </w:r>
      <w:r>
        <w:rPr>
          <w:rFonts w:ascii="Times New Roman"/>
          <w:color w:val="auto"/>
          <w:sz w:val="30"/>
        </w:rPr>
        <w:t xml:space="preserve"> </w:t>
      </w:r>
      <w:r>
        <w:rPr>
          <w:rFonts w:ascii="Times New Roman"/>
          <w:color w:val="auto"/>
          <w:sz w:val="30"/>
        </w:rPr>
        <w:t>协议的签署和</w:t>
      </w:r>
      <w:r>
        <w:rPr>
          <w:rFonts w:ascii="Times New Roman" w:hint="eastAsia"/>
          <w:color w:val="auto"/>
          <w:sz w:val="30"/>
        </w:rPr>
        <w:t>效力</w:t>
      </w:r>
      <w:bookmarkEnd w:id="68"/>
      <w:bookmarkEnd w:id="69"/>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w:t>
      </w:r>
      <w:r>
        <w:rPr>
          <w:rFonts w:ascii="黑体" w:eastAsia="黑体" w:hAnsi="黑体" w:cs="仿宋_GB2312" w:hint="eastAsia"/>
          <w:bCs/>
          <w:kern w:val="0"/>
          <w:sz w:val="18"/>
          <w:szCs w:val="18"/>
        </w:rPr>
        <w:t>★</w:t>
      </w:r>
      <w:r>
        <w:rPr>
          <w:rFonts w:ascii="黑体" w:eastAsia="黑体" w:hAnsi="黑体" w:hint="eastAsia"/>
          <w:sz w:val="18"/>
          <w:szCs w:val="18"/>
        </w:rPr>
        <w:t>协议的签署</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宋体" w:hAnsi="宋体" w:hint="eastAsia"/>
          <w:sz w:val="18"/>
          <w:szCs w:val="18"/>
        </w:rPr>
        <w:t>投资者若通过销售机构线下渠道购买本产品的</w:t>
      </w:r>
      <w:r>
        <w:rPr>
          <w:rFonts w:ascii="黑体" w:eastAsia="黑体" w:hAnsi="黑体" w:hint="eastAsia"/>
          <w:sz w:val="18"/>
          <w:szCs w:val="18"/>
        </w:rPr>
        <w:t>，本协议自投资者签字</w:t>
      </w:r>
      <w:r>
        <w:rPr>
          <w:rFonts w:ascii="黑体" w:eastAsia="黑体" w:hAnsi="黑体"/>
          <w:sz w:val="18"/>
          <w:szCs w:val="18"/>
        </w:rPr>
        <w:t>/盖章后则为签署。</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2.</w:t>
      </w:r>
      <w:r>
        <w:rPr>
          <w:rFonts w:ascii="宋体" w:hAnsi="宋体" w:hint="eastAsia"/>
          <w:sz w:val="18"/>
          <w:szCs w:val="18"/>
        </w:rPr>
        <w:t>投资者若通过销售机构线</w:t>
      </w:r>
      <w:proofErr w:type="gramStart"/>
      <w:r>
        <w:rPr>
          <w:rFonts w:ascii="宋体" w:hAnsi="宋体" w:hint="eastAsia"/>
          <w:sz w:val="18"/>
          <w:szCs w:val="18"/>
        </w:rPr>
        <w:t>上渠道</w:t>
      </w:r>
      <w:proofErr w:type="gramEnd"/>
      <w:r>
        <w:rPr>
          <w:rFonts w:ascii="宋体" w:hAnsi="宋体" w:hint="eastAsia"/>
          <w:sz w:val="18"/>
          <w:szCs w:val="18"/>
        </w:rPr>
        <w:t>购买本产品的，</w:t>
      </w:r>
      <w:r>
        <w:rPr>
          <w:rFonts w:ascii="黑体" w:eastAsia="黑体" w:hAnsi="黑体" w:hint="eastAsia"/>
          <w:sz w:val="18"/>
          <w:szCs w:val="18"/>
        </w:rPr>
        <w:t>本协议自投资者在系统中点击确认则视为签署。</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w:t>
      </w:r>
      <w:r>
        <w:rPr>
          <w:rFonts w:ascii="黑体" w:eastAsia="黑体" w:hAnsi="黑体" w:cs="仿宋_GB2312" w:hint="eastAsia"/>
          <w:bCs/>
          <w:kern w:val="0"/>
          <w:sz w:val="18"/>
          <w:szCs w:val="18"/>
        </w:rPr>
        <w:t>★</w:t>
      </w:r>
      <w:r>
        <w:rPr>
          <w:rFonts w:ascii="黑体" w:eastAsia="黑体" w:hAnsi="黑体" w:hint="eastAsia"/>
          <w:sz w:val="18"/>
          <w:szCs w:val="18"/>
        </w:rPr>
        <w:t>协议的效力</w:t>
      </w:r>
    </w:p>
    <w:p w:rsidR="006B43BC" w:rsidRDefault="001E4040">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1.投资者确认其已了解本产品所对应的理财产品销售文件的构成与相关内容，《</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w:t>
      </w:r>
      <w:r>
        <w:rPr>
          <w:rFonts w:ascii="黑体" w:eastAsia="黑体" w:hAnsi="黑体" w:cs="仿宋_GB2312"/>
          <w:kern w:val="0"/>
          <w:sz w:val="18"/>
          <w:szCs w:val="18"/>
        </w:rPr>
        <w:t>协议书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投资者权益须知》等有关文件共同构成一份完整且不可分割的理财产品销售文件，具有同等效力。</w:t>
      </w:r>
    </w:p>
    <w:p w:rsidR="006B43BC" w:rsidRDefault="001E4040">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2.投资者签署本协议即视为投资者已经阅读并认可理财产品销售文件（包括但不限于《</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《（代理）销售协议</w:t>
      </w:r>
      <w:r>
        <w:rPr>
          <w:rFonts w:ascii="黑体" w:eastAsia="黑体" w:hAnsi="黑体" w:cs="仿宋_GB2312"/>
          <w:kern w:val="0"/>
          <w:sz w:val="18"/>
          <w:szCs w:val="18"/>
        </w:rPr>
        <w:t>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投资者权益须知》等文件）的全部内容，并已就投资于本产品做出独立的判断。</w:t>
      </w:r>
    </w:p>
    <w:p w:rsidR="006B43BC" w:rsidRDefault="001E4040">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hint="eastAsia"/>
          <w:sz w:val="18"/>
          <w:szCs w:val="18"/>
        </w:rPr>
        <w:t>3.本协议书具备独立性</w:t>
      </w:r>
      <w:r>
        <w:rPr>
          <w:rFonts w:ascii="宋体" w:hAnsi="宋体" w:hint="eastAsia"/>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w:t>
      </w:r>
      <w:proofErr w:type="gramStart"/>
      <w:r>
        <w:rPr>
          <w:rFonts w:ascii="宋体" w:hAnsi="宋体" w:hint="eastAsia"/>
          <w:sz w:val="18"/>
          <w:szCs w:val="18"/>
        </w:rPr>
        <w:t>可</w:t>
      </w:r>
      <w:proofErr w:type="gramEnd"/>
      <w:r>
        <w:rPr>
          <w:rFonts w:ascii="宋体" w:hAnsi="宋体" w:hint="eastAsia"/>
          <w:sz w:val="18"/>
          <w:szCs w:val="18"/>
        </w:rPr>
        <w:t>执行性不受影响。</w:t>
      </w:r>
    </w:p>
    <w:p w:rsidR="006B43BC" w:rsidRDefault="001E4040">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4.</w:t>
      </w:r>
      <w:r>
        <w:rPr>
          <w:rFonts w:ascii="黑体" w:eastAsia="黑体" w:hAnsi="黑体" w:cs="仿宋_GB2312" w:hint="eastAsia"/>
          <w:kern w:val="0"/>
          <w:sz w:val="18"/>
          <w:szCs w:val="18"/>
        </w:rPr>
        <w:t>本协议自投资者签署之日起成立</w:t>
      </w:r>
      <w:r>
        <w:rPr>
          <w:rFonts w:ascii="黑体" w:eastAsia="黑体" w:hAnsi="黑体" w:cs="仿宋_GB2312"/>
          <w:kern w:val="0"/>
          <w:sz w:val="18"/>
          <w:szCs w:val="18"/>
        </w:rPr>
        <w:t>并</w:t>
      </w:r>
      <w:r>
        <w:rPr>
          <w:rFonts w:ascii="黑体" w:eastAsia="黑体" w:hAnsi="黑体" w:cs="仿宋_GB2312" w:hint="eastAsia"/>
          <w:kern w:val="0"/>
          <w:sz w:val="18"/>
          <w:szCs w:val="18"/>
        </w:rPr>
        <w:t>生效。</w:t>
      </w:r>
    </w:p>
    <w:p w:rsidR="006B43BC" w:rsidRDefault="001E4040">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6B43BC" w:rsidRDefault="001E4040">
      <w:pPr>
        <w:pStyle w:val="1"/>
        <w:spacing w:before="0" w:after="0"/>
        <w:jc w:val="center"/>
        <w:rPr>
          <w:rFonts w:ascii="Times New Roman"/>
          <w:b w:val="0"/>
          <w:sz w:val="30"/>
        </w:rPr>
      </w:pPr>
      <w:bookmarkStart w:id="70" w:name="_Toc95897042"/>
      <w:bookmarkStart w:id="71" w:name="_Toc77953869"/>
      <w:bookmarkStart w:id="72" w:name="_Toc88482736"/>
      <w:r>
        <w:rPr>
          <w:rFonts w:ascii="Times New Roman" w:hint="eastAsia"/>
          <w:color w:val="auto"/>
          <w:sz w:val="30"/>
        </w:rPr>
        <w:lastRenderedPageBreak/>
        <w:t>第七条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消费者权益保护</w:t>
      </w:r>
      <w:bookmarkEnd w:id="70"/>
      <w:bookmarkEnd w:id="71"/>
      <w:bookmarkEnd w:id="72"/>
      <w:r>
        <w:rPr>
          <w:rFonts w:ascii="Times New Roman" w:hint="eastAsia"/>
          <w:color w:val="auto"/>
          <w:sz w:val="30"/>
        </w:rPr>
        <w:t xml:space="preserve"> </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（一）意见反馈</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投资者对本产品有任何意见或异议，可向产品管理人或销售机构反馈，产品管理人或销售机构将由专人接听、记录您的意见或建议，并由各方协商共同解决。</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（二）联络方式</w:t>
      </w:r>
      <w:r>
        <w:rPr>
          <w:rFonts w:ascii="黑体" w:eastAsia="黑体" w:hAnsi="黑体"/>
          <w:sz w:val="18"/>
          <w:szCs w:val="18"/>
        </w:rPr>
        <w:t xml:space="preserve"> </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bookmarkStart w:id="73" w:name="_Hlk64707831"/>
      <w:r>
        <w:rPr>
          <w:rFonts w:ascii="黑体" w:eastAsia="黑体" w:hAnsi="黑体" w:hint="eastAsia"/>
          <w:sz w:val="18"/>
          <w:szCs w:val="18"/>
        </w:rPr>
        <w:t>1、产品管理人：兴银理财有限责任公司</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客户服务热线：</w:t>
      </w:r>
      <w:r>
        <w:rPr>
          <w:rFonts w:ascii="黑体" w:eastAsia="黑体" w:hAnsi="黑体"/>
          <w:sz w:val="18"/>
          <w:szCs w:val="18"/>
        </w:rPr>
        <w:t>40015-95561</w:t>
      </w:r>
      <w:bookmarkEnd w:id="73"/>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2、销售机构</w:t>
      </w:r>
    </w:p>
    <w:p w:rsidR="006B43BC" w:rsidRDefault="001E4040">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 xml:space="preserve">销售机构的联络方式，具体以《（代理）销售协议书》、《投资者权益须知》等销售文件的内容为准。 </w:t>
      </w:r>
    </w:p>
    <w:p w:rsidR="006B43BC" w:rsidRDefault="001E4040">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6B43BC" w:rsidRDefault="006B43BC">
      <w:pPr>
        <w:autoSpaceDE w:val="0"/>
        <w:autoSpaceDN w:val="0"/>
        <w:adjustRightInd w:val="0"/>
        <w:snapToGrid w:val="0"/>
        <w:spacing w:line="360" w:lineRule="auto"/>
        <w:ind w:firstLineChars="200" w:firstLine="360"/>
        <w:rPr>
          <w:rFonts w:ascii="黑体" w:eastAsia="黑体" w:hAnsi="黑体" w:cs="仿宋_GB2312"/>
          <w:kern w:val="0"/>
          <w:sz w:val="18"/>
          <w:szCs w:val="18"/>
        </w:rPr>
      </w:pPr>
    </w:p>
    <w:tbl>
      <w:tblPr>
        <w:tblStyle w:val="af4"/>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5"/>
        <w:gridCol w:w="728"/>
        <w:gridCol w:w="123"/>
        <w:gridCol w:w="1011"/>
        <w:gridCol w:w="5987"/>
      </w:tblGrid>
      <w:tr w:rsidR="006B43BC">
        <w:tc>
          <w:tcPr>
            <w:tcW w:w="8524" w:type="dxa"/>
            <w:gridSpan w:val="5"/>
          </w:tcPr>
          <w:bookmarkEnd w:id="62"/>
          <w:bookmarkEnd w:id="63"/>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交易信息栏</w:t>
            </w:r>
          </w:p>
        </w:tc>
      </w:tr>
      <w:tr w:rsidR="006B43BC">
        <w:trPr>
          <w:trHeight w:val="527"/>
        </w:trPr>
        <w:tc>
          <w:tcPr>
            <w:tcW w:w="1403" w:type="dxa"/>
            <w:gridSpan w:val="2"/>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理财产品名称</w:t>
            </w:r>
          </w:p>
        </w:tc>
        <w:tc>
          <w:tcPr>
            <w:tcW w:w="7121" w:type="dxa"/>
            <w:gridSpan w:val="3"/>
            <w:vAlign w:val="center"/>
          </w:tcPr>
          <w:p w:rsidR="006B43BC" w:rsidRDefault="001E4040">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w:t>
            </w:r>
          </w:p>
        </w:tc>
      </w:tr>
      <w:tr w:rsidR="006B43BC">
        <w:trPr>
          <w:trHeight w:val="527"/>
        </w:trPr>
        <w:tc>
          <w:tcPr>
            <w:tcW w:w="1403" w:type="dxa"/>
            <w:gridSpan w:val="2"/>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产品份额</w:t>
            </w:r>
            <w:r>
              <w:rPr>
                <w:rFonts w:ascii="宋体" w:hAnsi="宋体"/>
                <w:b/>
                <w:sz w:val="18"/>
                <w:szCs w:val="18"/>
              </w:rPr>
              <w:t>类别</w:t>
            </w:r>
          </w:p>
        </w:tc>
        <w:tc>
          <w:tcPr>
            <w:tcW w:w="7121" w:type="dxa"/>
            <w:gridSpan w:val="3"/>
            <w:vAlign w:val="center"/>
          </w:tcPr>
          <w:p w:rsidR="006B43BC" w:rsidRDefault="001E4040">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本产品不设置差异化子份额类别。</w:t>
            </w:r>
          </w:p>
        </w:tc>
      </w:tr>
      <w:tr w:rsidR="006B43BC">
        <w:trPr>
          <w:trHeight w:val="527"/>
        </w:trPr>
        <w:tc>
          <w:tcPr>
            <w:tcW w:w="1403" w:type="dxa"/>
            <w:gridSpan w:val="2"/>
            <w:vMerge w:val="restart"/>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交易类型</w:t>
            </w:r>
          </w:p>
        </w:tc>
        <w:tc>
          <w:tcPr>
            <w:tcW w:w="1134" w:type="dxa"/>
            <w:gridSpan w:val="2"/>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认购</w:t>
            </w:r>
          </w:p>
        </w:tc>
        <w:tc>
          <w:tcPr>
            <w:tcW w:w="5987" w:type="dxa"/>
            <w:vAlign w:val="center"/>
          </w:tcPr>
          <w:p w:rsidR="006B43BC" w:rsidRDefault="001E4040">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6B43BC">
        <w:trPr>
          <w:trHeight w:val="490"/>
        </w:trPr>
        <w:tc>
          <w:tcPr>
            <w:tcW w:w="1403" w:type="dxa"/>
            <w:gridSpan w:val="2"/>
            <w:vMerge/>
          </w:tcPr>
          <w:p w:rsidR="006B43BC" w:rsidRDefault="006B43BC">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申购</w:t>
            </w:r>
          </w:p>
        </w:tc>
        <w:tc>
          <w:tcPr>
            <w:tcW w:w="5987" w:type="dxa"/>
            <w:vAlign w:val="center"/>
          </w:tcPr>
          <w:p w:rsidR="006B43BC" w:rsidRDefault="001E4040">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6B43BC">
        <w:trPr>
          <w:trHeight w:val="452"/>
        </w:trPr>
        <w:tc>
          <w:tcPr>
            <w:tcW w:w="1403" w:type="dxa"/>
            <w:gridSpan w:val="2"/>
            <w:vMerge/>
          </w:tcPr>
          <w:p w:rsidR="006B43BC" w:rsidRDefault="006B43BC">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赎回</w:t>
            </w:r>
          </w:p>
        </w:tc>
        <w:tc>
          <w:tcPr>
            <w:tcW w:w="5987" w:type="dxa"/>
            <w:vAlign w:val="center"/>
          </w:tcPr>
          <w:p w:rsidR="006B43BC" w:rsidRDefault="001E4040">
            <w:pPr>
              <w:autoSpaceDE w:val="0"/>
              <w:autoSpaceDN w:val="0"/>
              <w:adjustRightInd w:val="0"/>
              <w:snapToGrid w:val="0"/>
              <w:spacing w:line="360" w:lineRule="auto"/>
              <w:rPr>
                <w:rFonts w:ascii="宋体" w:hAnsi="宋体" w:cs="宋体"/>
                <w:b/>
                <w:sz w:val="18"/>
                <w:szCs w:val="18"/>
              </w:rPr>
            </w:pPr>
            <w:r>
              <w:rPr>
                <w:rFonts w:ascii="宋体" w:hAnsi="宋体"/>
                <w:b/>
                <w:bCs/>
                <w:sz w:val="18"/>
                <w:szCs w:val="18"/>
              </w:rPr>
              <w:t>份额：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份。</w:t>
            </w:r>
          </w:p>
        </w:tc>
      </w:tr>
      <w:tr w:rsidR="006B43BC">
        <w:trPr>
          <w:trHeight w:val="441"/>
        </w:trPr>
        <w:tc>
          <w:tcPr>
            <w:tcW w:w="1403" w:type="dxa"/>
            <w:gridSpan w:val="2"/>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交易时间</w:t>
            </w:r>
          </w:p>
        </w:tc>
        <w:tc>
          <w:tcPr>
            <w:tcW w:w="1134" w:type="dxa"/>
            <w:gridSpan w:val="2"/>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交易申请日</w:t>
            </w:r>
          </w:p>
        </w:tc>
        <w:tc>
          <w:tcPr>
            <w:tcW w:w="5987" w:type="dxa"/>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Theme="minorEastAsia" w:hAnsiTheme="minorEastAsia" w:hint="eastAsia"/>
                <w:sz w:val="18"/>
                <w:szCs w:val="18"/>
              </w:rPr>
              <w:t xml:space="preserve">【 </w:t>
            </w:r>
            <w:r>
              <w:rPr>
                <w:rFonts w:asciiTheme="minorEastAsia" w:hAnsiTheme="minorEastAsia"/>
                <w:sz w:val="18"/>
                <w:szCs w:val="18"/>
              </w:rPr>
              <w:t>】年</w:t>
            </w:r>
            <w:r>
              <w:rPr>
                <w:rFonts w:asciiTheme="minorEastAsia" w:hAnsiTheme="minorEastAsia" w:hint="eastAsia"/>
                <w:sz w:val="18"/>
                <w:szCs w:val="18"/>
              </w:rPr>
              <w:t>【 】月【 】日</w:t>
            </w:r>
          </w:p>
        </w:tc>
      </w:tr>
      <w:tr w:rsidR="006B43BC">
        <w:trPr>
          <w:trHeight w:val="329"/>
        </w:trPr>
        <w:tc>
          <w:tcPr>
            <w:tcW w:w="8524" w:type="dxa"/>
            <w:gridSpan w:val="5"/>
            <w:vAlign w:val="center"/>
          </w:tcPr>
          <w:p w:rsidR="006B43BC" w:rsidRDefault="001E4040">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签署栏</w:t>
            </w:r>
          </w:p>
        </w:tc>
      </w:tr>
      <w:tr w:rsidR="006B43BC">
        <w:tc>
          <w:tcPr>
            <w:tcW w:w="675" w:type="dxa"/>
            <w:vAlign w:val="center"/>
          </w:tcPr>
          <w:p w:rsidR="006B43BC" w:rsidRDefault="001E4040">
            <w:pPr>
              <w:tabs>
                <w:tab w:val="left" w:pos="8070"/>
                <w:tab w:val="right" w:pos="8306"/>
              </w:tabs>
              <w:autoSpaceDE w:val="0"/>
              <w:autoSpaceDN w:val="0"/>
              <w:adjustRightInd w:val="0"/>
              <w:snapToGrid w:val="0"/>
              <w:spacing w:line="360" w:lineRule="auto"/>
              <w:jc w:val="center"/>
              <w:rPr>
                <w:rFonts w:ascii="黑体" w:eastAsia="黑体" w:hAnsi="黑体"/>
                <w:sz w:val="18"/>
                <w:szCs w:val="18"/>
              </w:rPr>
            </w:pPr>
            <w:r>
              <w:rPr>
                <w:rFonts w:ascii="黑体" w:eastAsia="黑体" w:hAnsi="黑体" w:hint="eastAsia"/>
                <w:sz w:val="18"/>
                <w:szCs w:val="18"/>
              </w:rPr>
              <w:t>★</w:t>
            </w:r>
          </w:p>
          <w:p w:rsidR="006B43BC" w:rsidRDefault="001E4040">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ascii="宋体" w:hAnsi="宋体" w:hint="eastAsia"/>
                <w:b/>
                <w:sz w:val="18"/>
                <w:szCs w:val="18"/>
              </w:rPr>
              <w:t>签署声明</w:t>
            </w:r>
          </w:p>
        </w:tc>
        <w:tc>
          <w:tcPr>
            <w:tcW w:w="7849" w:type="dxa"/>
            <w:gridSpan w:val="4"/>
          </w:tcPr>
          <w:p w:rsidR="006B43BC" w:rsidRDefault="001E4040">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1、在签署本《</w:t>
            </w:r>
            <w:r>
              <w:rPr>
                <w:rFonts w:ascii="黑体" w:eastAsia="黑体" w:hAnsi="黑体" w:hint="eastAsia"/>
                <w:sz w:val="18"/>
                <w:szCs w:val="18"/>
              </w:rPr>
              <w:t>投资</w:t>
            </w:r>
            <w:r>
              <w:rPr>
                <w:rFonts w:ascii="黑体" w:eastAsia="黑体" w:hAnsi="黑体"/>
                <w:sz w:val="18"/>
                <w:szCs w:val="18"/>
              </w:rPr>
              <w:t>协议书》以前，投资者已认真阅读理财产品销售文件（包括但不限于《</w:t>
            </w:r>
            <w:r>
              <w:rPr>
                <w:rFonts w:ascii="黑体" w:eastAsia="黑体" w:hAnsi="黑体" w:hint="eastAsia"/>
                <w:sz w:val="18"/>
                <w:szCs w:val="18"/>
              </w:rPr>
              <w:t>投资</w:t>
            </w:r>
            <w:r>
              <w:rPr>
                <w:rFonts w:ascii="黑体" w:eastAsia="黑体" w:hAnsi="黑体"/>
                <w:sz w:val="18"/>
                <w:szCs w:val="18"/>
              </w:rPr>
              <w:t>协议书》、《产品说明书》、</w:t>
            </w:r>
            <w:r>
              <w:rPr>
                <w:rFonts w:ascii="黑体" w:eastAsia="黑体" w:hAnsi="黑体" w:hint="eastAsia"/>
                <w:sz w:val="18"/>
                <w:szCs w:val="18"/>
              </w:rPr>
              <w:t>《（代理）销售</w:t>
            </w:r>
            <w:r>
              <w:rPr>
                <w:rFonts w:ascii="黑体" w:eastAsia="黑体" w:hAnsi="黑体"/>
                <w:sz w:val="18"/>
                <w:szCs w:val="18"/>
              </w:rPr>
              <w:t>协议书</w:t>
            </w:r>
            <w:r>
              <w:rPr>
                <w:rFonts w:ascii="黑体" w:eastAsia="黑体" w:hAnsi="黑体" w:hint="eastAsia"/>
                <w:sz w:val="18"/>
                <w:szCs w:val="18"/>
              </w:rPr>
              <w:t>》、</w:t>
            </w:r>
            <w:r>
              <w:rPr>
                <w:rFonts w:ascii="黑体" w:eastAsia="黑体" w:hAnsi="黑体"/>
                <w:sz w:val="18"/>
                <w:szCs w:val="18"/>
              </w:rPr>
              <w:t>《风险揭示书》、《投资者权益须知》等文件）的全部内容，</w:t>
            </w:r>
            <w:r>
              <w:rPr>
                <w:rFonts w:ascii="黑体" w:eastAsia="黑体" w:hAnsi="黑体" w:hint="eastAsia"/>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rsidR="006B43BC" w:rsidRDefault="001E4040">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2、投资者认可本协议约定的信息披露途径，已清楚知悉投资者应注意查询的事项和信息披露方面的法律责任，同意产品管理人按照本协议约定进行相关通知和披露。</w:t>
            </w:r>
          </w:p>
          <w:p w:rsidR="006B43BC" w:rsidRDefault="001E4040">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hint="eastAsia"/>
                <w:sz w:val="18"/>
                <w:szCs w:val="18"/>
              </w:rPr>
              <w:t>3、投资者</w:t>
            </w:r>
            <w:r>
              <w:rPr>
                <w:rFonts w:ascii="黑体" w:eastAsia="黑体" w:hAnsi="黑体"/>
                <w:sz w:val="18"/>
                <w:szCs w:val="18"/>
              </w:rPr>
              <w:t>已认真阅读并充分理解包括但不限于《</w:t>
            </w:r>
            <w:r>
              <w:rPr>
                <w:rFonts w:ascii="黑体" w:eastAsia="黑体" w:hAnsi="黑体" w:hint="eastAsia"/>
                <w:sz w:val="18"/>
                <w:szCs w:val="18"/>
              </w:rPr>
              <w:t>投资</w:t>
            </w:r>
            <w:r>
              <w:rPr>
                <w:rFonts w:ascii="黑体" w:eastAsia="黑体" w:hAnsi="黑体"/>
                <w:sz w:val="18"/>
                <w:szCs w:val="18"/>
              </w:rPr>
              <w:t>协议书》</w:t>
            </w:r>
            <w:r>
              <w:rPr>
                <w:rFonts w:ascii="黑体" w:eastAsia="黑体" w:hAnsi="黑体" w:hint="eastAsia"/>
                <w:sz w:val="18"/>
                <w:szCs w:val="18"/>
              </w:rPr>
              <w:t>等全套理财产品销售文件</w:t>
            </w:r>
            <w:r>
              <w:rPr>
                <w:rFonts w:ascii="黑体" w:eastAsia="黑体" w:hAnsi="黑体"/>
                <w:sz w:val="18"/>
                <w:szCs w:val="18"/>
              </w:rPr>
              <w:t>关于投资理财产品及其全部风险的有关内容，同意本次</w:t>
            </w:r>
            <w:r>
              <w:rPr>
                <w:rFonts w:ascii="黑体" w:eastAsia="黑体" w:hAnsi="黑体" w:hint="eastAsia"/>
                <w:sz w:val="18"/>
                <w:szCs w:val="18"/>
              </w:rPr>
              <w:t>认购/申购/赎回受上述协议约束。明确本理财产品作为资产管理产品应受到的法律法规及监管政策的规范与调整，同意接受本产品的投资方案、费率、认购/申购/赎回安排与上述文件所</w:t>
            </w:r>
            <w:proofErr w:type="gramStart"/>
            <w:r>
              <w:rPr>
                <w:rFonts w:ascii="黑体" w:eastAsia="黑体" w:hAnsi="黑体" w:hint="eastAsia"/>
                <w:sz w:val="18"/>
                <w:szCs w:val="18"/>
              </w:rPr>
              <w:t>做风</w:t>
            </w:r>
            <w:proofErr w:type="gramEnd"/>
            <w:r>
              <w:rPr>
                <w:rFonts w:ascii="黑体" w:eastAsia="黑体" w:hAnsi="黑体" w:hint="eastAsia"/>
                <w:sz w:val="18"/>
                <w:szCs w:val="18"/>
              </w:rPr>
              <w:t>险提示，愿意承担投资风险，现决定认购/申购/赎回，并授权产品管理人根据投资方案进行投资。</w:t>
            </w:r>
          </w:p>
        </w:tc>
      </w:tr>
      <w:tr w:rsidR="006B43BC">
        <w:trPr>
          <w:trHeight w:hRule="exact" w:val="1014"/>
        </w:trPr>
        <w:tc>
          <w:tcPr>
            <w:tcW w:w="675" w:type="dxa"/>
            <w:vMerge w:val="restart"/>
            <w:vAlign w:val="center"/>
          </w:tcPr>
          <w:p w:rsidR="006B43BC" w:rsidRDefault="001E4040">
            <w:pPr>
              <w:spacing w:line="360" w:lineRule="auto"/>
              <w:jc w:val="center"/>
              <w:rPr>
                <w:b/>
                <w:sz w:val="18"/>
                <w:szCs w:val="18"/>
              </w:rPr>
            </w:pPr>
            <w:r>
              <w:rPr>
                <w:rFonts w:hint="eastAsia"/>
                <w:b/>
                <w:sz w:val="18"/>
                <w:szCs w:val="18"/>
              </w:rPr>
              <w:t>投资者签署栏</w:t>
            </w:r>
          </w:p>
        </w:tc>
        <w:tc>
          <w:tcPr>
            <w:tcW w:w="851" w:type="dxa"/>
            <w:gridSpan w:val="2"/>
          </w:tcPr>
          <w:p w:rsidR="006B43BC" w:rsidRDefault="001E4040">
            <w:pPr>
              <w:spacing w:line="360" w:lineRule="auto"/>
              <w:rPr>
                <w:b/>
                <w:sz w:val="18"/>
                <w:szCs w:val="18"/>
              </w:rPr>
            </w:pPr>
            <w:r>
              <w:rPr>
                <w:rFonts w:hint="eastAsia"/>
                <w:b/>
                <w:sz w:val="18"/>
                <w:szCs w:val="18"/>
              </w:rPr>
              <w:t>个人投资者适用</w:t>
            </w:r>
          </w:p>
        </w:tc>
        <w:tc>
          <w:tcPr>
            <w:tcW w:w="6998" w:type="dxa"/>
            <w:gridSpan w:val="2"/>
          </w:tcPr>
          <w:p w:rsidR="006B43BC" w:rsidRDefault="001E4040">
            <w:pPr>
              <w:spacing w:line="360" w:lineRule="auto"/>
              <w:rPr>
                <w:sz w:val="18"/>
                <w:szCs w:val="18"/>
              </w:rPr>
            </w:pPr>
            <w:r>
              <w:rPr>
                <w:rFonts w:hint="eastAsia"/>
                <w:sz w:val="18"/>
                <w:szCs w:val="18"/>
              </w:rPr>
              <w:t>投资者（签字）：</w:t>
            </w:r>
          </w:p>
          <w:p w:rsidR="006B43BC" w:rsidRDefault="006B43BC">
            <w:pPr>
              <w:spacing w:line="360" w:lineRule="auto"/>
              <w:rPr>
                <w:b/>
                <w:sz w:val="18"/>
                <w:szCs w:val="18"/>
              </w:rPr>
            </w:pPr>
          </w:p>
          <w:p w:rsidR="006B43BC" w:rsidRDefault="001E4040">
            <w:pPr>
              <w:spacing w:line="360" w:lineRule="auto"/>
              <w:rPr>
                <w:b/>
                <w:sz w:val="18"/>
                <w:szCs w:val="18"/>
              </w:rPr>
            </w:pPr>
            <w:r>
              <w:rPr>
                <w:rFonts w:hint="eastAsia"/>
                <w:sz w:val="18"/>
                <w:szCs w:val="18"/>
              </w:rPr>
              <w:t>日期：</w:t>
            </w:r>
          </w:p>
        </w:tc>
      </w:tr>
      <w:tr w:rsidR="006B43BC">
        <w:tc>
          <w:tcPr>
            <w:tcW w:w="675" w:type="dxa"/>
            <w:vMerge/>
          </w:tcPr>
          <w:p w:rsidR="006B43BC" w:rsidRDefault="006B43BC">
            <w:pPr>
              <w:spacing w:line="360" w:lineRule="auto"/>
              <w:rPr>
                <w:b/>
                <w:sz w:val="18"/>
                <w:szCs w:val="18"/>
              </w:rPr>
            </w:pPr>
          </w:p>
        </w:tc>
        <w:tc>
          <w:tcPr>
            <w:tcW w:w="851" w:type="dxa"/>
            <w:gridSpan w:val="2"/>
          </w:tcPr>
          <w:p w:rsidR="006B43BC" w:rsidRDefault="001E4040">
            <w:pPr>
              <w:spacing w:line="360" w:lineRule="auto"/>
              <w:rPr>
                <w:b/>
                <w:sz w:val="18"/>
                <w:szCs w:val="18"/>
              </w:rPr>
            </w:pPr>
            <w:r>
              <w:rPr>
                <w:rFonts w:hint="eastAsia"/>
                <w:b/>
                <w:sz w:val="18"/>
                <w:szCs w:val="18"/>
              </w:rPr>
              <w:t>机构投资者适用</w:t>
            </w:r>
          </w:p>
        </w:tc>
        <w:tc>
          <w:tcPr>
            <w:tcW w:w="6998" w:type="dxa"/>
            <w:gridSpan w:val="2"/>
          </w:tcPr>
          <w:p w:rsidR="006B43BC" w:rsidRDefault="001E4040">
            <w:pPr>
              <w:spacing w:line="360" w:lineRule="auto"/>
              <w:rPr>
                <w:rFonts w:cs="Arial"/>
                <w:sz w:val="18"/>
                <w:szCs w:val="18"/>
              </w:rPr>
            </w:pPr>
            <w:r>
              <w:rPr>
                <w:rFonts w:hint="eastAsia"/>
                <w:sz w:val="18"/>
                <w:szCs w:val="18"/>
              </w:rPr>
              <w:t>投资者</w:t>
            </w:r>
            <w:r>
              <w:rPr>
                <w:rFonts w:cs="Arial" w:hint="eastAsia"/>
                <w:sz w:val="18"/>
                <w:szCs w:val="18"/>
              </w:rPr>
              <w:t>（盖章）：</w:t>
            </w:r>
          </w:p>
          <w:p w:rsidR="006B43BC" w:rsidRDefault="006B43BC">
            <w:pPr>
              <w:spacing w:line="360" w:lineRule="auto"/>
              <w:rPr>
                <w:rFonts w:cs="Arial"/>
                <w:sz w:val="18"/>
                <w:szCs w:val="18"/>
              </w:rPr>
            </w:pPr>
          </w:p>
          <w:p w:rsidR="006B43BC" w:rsidRDefault="001E4040">
            <w:pPr>
              <w:spacing w:line="360" w:lineRule="auto"/>
              <w:rPr>
                <w:rFonts w:cs="Arial"/>
                <w:sz w:val="18"/>
                <w:szCs w:val="18"/>
              </w:rPr>
            </w:pPr>
            <w:r>
              <w:rPr>
                <w:rFonts w:cs="Arial" w:hint="eastAsia"/>
                <w:sz w:val="18"/>
                <w:szCs w:val="18"/>
              </w:rPr>
              <w:t>投资者法定代表人或授权代理人（签字或盖章）：</w:t>
            </w:r>
          </w:p>
          <w:p w:rsidR="006B43BC" w:rsidRDefault="006B43BC">
            <w:pPr>
              <w:spacing w:line="360" w:lineRule="auto"/>
              <w:rPr>
                <w:b/>
                <w:sz w:val="18"/>
                <w:szCs w:val="18"/>
              </w:rPr>
            </w:pPr>
          </w:p>
          <w:p w:rsidR="006B43BC" w:rsidRDefault="001E4040">
            <w:pPr>
              <w:spacing w:line="360" w:lineRule="auto"/>
              <w:rPr>
                <w:sz w:val="18"/>
                <w:szCs w:val="18"/>
              </w:rPr>
            </w:pPr>
            <w:r>
              <w:rPr>
                <w:rFonts w:hint="eastAsia"/>
                <w:sz w:val="18"/>
                <w:szCs w:val="18"/>
              </w:rPr>
              <w:t>日期：</w:t>
            </w:r>
          </w:p>
        </w:tc>
      </w:tr>
    </w:tbl>
    <w:p w:rsidR="006B43BC" w:rsidRDefault="001E4040">
      <w:pPr>
        <w:spacing w:line="360" w:lineRule="auto"/>
        <w:jc w:val="left"/>
        <w:rPr>
          <w:bCs/>
        </w:rPr>
      </w:pPr>
      <w:r>
        <w:rPr>
          <w:rFonts w:ascii="宋体" w:hAnsi="宋体" w:hint="eastAsia"/>
          <w:b/>
          <w:sz w:val="18"/>
          <w:szCs w:val="18"/>
        </w:rPr>
        <w:t>（本《投资协议书》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sectPr w:rsidR="006B43BC">
      <w:pgSz w:w="11906" w:h="16838"/>
      <w:pgMar w:top="1440" w:right="1800" w:bottom="1440" w:left="1800" w:header="567"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832" w:rsidRDefault="00EC1832">
      <w:r>
        <w:separator/>
      </w:r>
    </w:p>
  </w:endnote>
  <w:endnote w:type="continuationSeparator" w:id="0">
    <w:p w:rsidR="00EC1832" w:rsidRDefault="00EC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872"/>
    </w:sdtPr>
    <w:sdtEndPr/>
    <w:sdtContent>
      <w:p w:rsidR="006B43BC" w:rsidRDefault="001E4040">
        <w:pPr>
          <w:pStyle w:val="aa"/>
          <w:jc w:val="center"/>
          <w:rPr>
            <w:rFonts w:ascii="黑体" w:eastAsia="黑体" w:hAnsi="黑体"/>
            <w:szCs w:val="18"/>
          </w:rPr>
        </w:pPr>
        <w:r>
          <w:rPr>
            <w:lang w:val="zh-CN"/>
          </w:rPr>
          <w:fldChar w:fldCharType="begin"/>
        </w:r>
        <w:r>
          <w:rPr>
            <w:lang w:val="zh-CN"/>
          </w:rPr>
          <w:instrText>PAGE   \* MERGEFORMAT</w:instrText>
        </w:r>
        <w:r>
          <w:rPr>
            <w:lang w:val="zh-CN"/>
          </w:rPr>
          <w:fldChar w:fldCharType="separate"/>
        </w:r>
        <w:r w:rsidR="002F7D93">
          <w:rPr>
            <w:noProof/>
            <w:lang w:val="zh-CN"/>
          </w:rPr>
          <w:t>10</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832" w:rsidRDefault="00EC1832">
      <w:r>
        <w:separator/>
      </w:r>
    </w:p>
  </w:footnote>
  <w:footnote w:type="continuationSeparator" w:id="0">
    <w:p w:rsidR="00EC1832" w:rsidRDefault="00EC1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3BC" w:rsidRDefault="001E4040">
    <w:pPr>
      <w:pStyle w:val="ab"/>
      <w:pBdr>
        <w:bottom w:val="thickThinLargeGap" w:sz="24" w:space="10" w:color="auto"/>
      </w:pBdr>
      <w:tabs>
        <w:tab w:val="right" w:pos="8280"/>
      </w:tabs>
      <w:wordWrap w:val="0"/>
      <w:adjustRightInd w:val="0"/>
      <w:jc w:val="right"/>
      <w:rPr>
        <w:b/>
      </w:rPr>
    </w:pPr>
    <w:r>
      <w:rPr>
        <w:rFonts w:hint="eastAsia"/>
        <w:b/>
      </w:rPr>
      <w:t>投资协议书</w:t>
    </w:r>
  </w:p>
  <w:p w:rsidR="006B43BC" w:rsidRDefault="001E4040">
    <w:pPr>
      <w:pStyle w:val="ab"/>
      <w:pBdr>
        <w:bottom w:val="thickThinLargeGap" w:sz="24" w:space="10" w:color="auto"/>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47F2"/>
    <w:rsid w:val="000052BD"/>
    <w:rsid w:val="00006526"/>
    <w:rsid w:val="000073F3"/>
    <w:rsid w:val="0001172D"/>
    <w:rsid w:val="00012205"/>
    <w:rsid w:val="0001389C"/>
    <w:rsid w:val="000141A7"/>
    <w:rsid w:val="000209B7"/>
    <w:rsid w:val="00021451"/>
    <w:rsid w:val="000215C7"/>
    <w:rsid w:val="00021BF7"/>
    <w:rsid w:val="000233FB"/>
    <w:rsid w:val="00023F0A"/>
    <w:rsid w:val="0002724F"/>
    <w:rsid w:val="00030239"/>
    <w:rsid w:val="0003198D"/>
    <w:rsid w:val="00032F2C"/>
    <w:rsid w:val="000345D6"/>
    <w:rsid w:val="000365A1"/>
    <w:rsid w:val="0004166F"/>
    <w:rsid w:val="00042221"/>
    <w:rsid w:val="00042E95"/>
    <w:rsid w:val="00045C60"/>
    <w:rsid w:val="00045FF7"/>
    <w:rsid w:val="00055256"/>
    <w:rsid w:val="00055E1D"/>
    <w:rsid w:val="00060AA2"/>
    <w:rsid w:val="0006286C"/>
    <w:rsid w:val="00063E11"/>
    <w:rsid w:val="00065143"/>
    <w:rsid w:val="00067077"/>
    <w:rsid w:val="00067E29"/>
    <w:rsid w:val="0007676B"/>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C785B"/>
    <w:rsid w:val="000D7C5B"/>
    <w:rsid w:val="000E4739"/>
    <w:rsid w:val="000F16C0"/>
    <w:rsid w:val="000F18A0"/>
    <w:rsid w:val="000F4555"/>
    <w:rsid w:val="000F4EBB"/>
    <w:rsid w:val="000F7F68"/>
    <w:rsid w:val="0010450A"/>
    <w:rsid w:val="00105DB2"/>
    <w:rsid w:val="001075D6"/>
    <w:rsid w:val="00111396"/>
    <w:rsid w:val="00112F70"/>
    <w:rsid w:val="00113191"/>
    <w:rsid w:val="0011395B"/>
    <w:rsid w:val="00115A7D"/>
    <w:rsid w:val="00116696"/>
    <w:rsid w:val="00117923"/>
    <w:rsid w:val="00123583"/>
    <w:rsid w:val="001249B1"/>
    <w:rsid w:val="00124ADF"/>
    <w:rsid w:val="001256B2"/>
    <w:rsid w:val="00125A39"/>
    <w:rsid w:val="00136F50"/>
    <w:rsid w:val="00145951"/>
    <w:rsid w:val="00145FB3"/>
    <w:rsid w:val="00150F88"/>
    <w:rsid w:val="00151C5F"/>
    <w:rsid w:val="00153821"/>
    <w:rsid w:val="00153A6A"/>
    <w:rsid w:val="0015605F"/>
    <w:rsid w:val="00156B9B"/>
    <w:rsid w:val="00166F3C"/>
    <w:rsid w:val="001676C5"/>
    <w:rsid w:val="001719A6"/>
    <w:rsid w:val="00172A27"/>
    <w:rsid w:val="001739F3"/>
    <w:rsid w:val="00174864"/>
    <w:rsid w:val="00176250"/>
    <w:rsid w:val="001767D5"/>
    <w:rsid w:val="00180944"/>
    <w:rsid w:val="00181F8E"/>
    <w:rsid w:val="00183919"/>
    <w:rsid w:val="00184F16"/>
    <w:rsid w:val="001913D5"/>
    <w:rsid w:val="0019368D"/>
    <w:rsid w:val="001A0DEE"/>
    <w:rsid w:val="001A331C"/>
    <w:rsid w:val="001A3B4F"/>
    <w:rsid w:val="001B3D1B"/>
    <w:rsid w:val="001C2E83"/>
    <w:rsid w:val="001C5549"/>
    <w:rsid w:val="001C5FB8"/>
    <w:rsid w:val="001C627B"/>
    <w:rsid w:val="001C6A43"/>
    <w:rsid w:val="001D33CF"/>
    <w:rsid w:val="001D5339"/>
    <w:rsid w:val="001D5DA7"/>
    <w:rsid w:val="001D6D21"/>
    <w:rsid w:val="001E09D0"/>
    <w:rsid w:val="001E0B5B"/>
    <w:rsid w:val="001E22BC"/>
    <w:rsid w:val="001E4040"/>
    <w:rsid w:val="001E4956"/>
    <w:rsid w:val="001E604C"/>
    <w:rsid w:val="001E7309"/>
    <w:rsid w:val="001F0442"/>
    <w:rsid w:val="001F0C20"/>
    <w:rsid w:val="001F213C"/>
    <w:rsid w:val="001F3442"/>
    <w:rsid w:val="001F3518"/>
    <w:rsid w:val="001F5553"/>
    <w:rsid w:val="001F5D35"/>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373D3"/>
    <w:rsid w:val="00240294"/>
    <w:rsid w:val="00241D65"/>
    <w:rsid w:val="00244658"/>
    <w:rsid w:val="00246158"/>
    <w:rsid w:val="002464CF"/>
    <w:rsid w:val="00246E81"/>
    <w:rsid w:val="002476E6"/>
    <w:rsid w:val="00252015"/>
    <w:rsid w:val="00252AD2"/>
    <w:rsid w:val="00253D3F"/>
    <w:rsid w:val="002544CB"/>
    <w:rsid w:val="00256159"/>
    <w:rsid w:val="00257D80"/>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72B3"/>
    <w:rsid w:val="002B2076"/>
    <w:rsid w:val="002B2E59"/>
    <w:rsid w:val="002B30E7"/>
    <w:rsid w:val="002B3992"/>
    <w:rsid w:val="002B3DF5"/>
    <w:rsid w:val="002B659B"/>
    <w:rsid w:val="002B661B"/>
    <w:rsid w:val="002B66DC"/>
    <w:rsid w:val="002C13C1"/>
    <w:rsid w:val="002C27E7"/>
    <w:rsid w:val="002C3012"/>
    <w:rsid w:val="002C7D8E"/>
    <w:rsid w:val="002D121A"/>
    <w:rsid w:val="002D407E"/>
    <w:rsid w:val="002E0E0E"/>
    <w:rsid w:val="002E2C93"/>
    <w:rsid w:val="002E388A"/>
    <w:rsid w:val="002E4681"/>
    <w:rsid w:val="002E6E2C"/>
    <w:rsid w:val="002F1BB8"/>
    <w:rsid w:val="002F1C19"/>
    <w:rsid w:val="002F228E"/>
    <w:rsid w:val="002F3164"/>
    <w:rsid w:val="002F354F"/>
    <w:rsid w:val="002F384F"/>
    <w:rsid w:val="002F467D"/>
    <w:rsid w:val="002F5D80"/>
    <w:rsid w:val="002F6D00"/>
    <w:rsid w:val="002F7889"/>
    <w:rsid w:val="002F7D93"/>
    <w:rsid w:val="003018A8"/>
    <w:rsid w:val="003052A7"/>
    <w:rsid w:val="00306441"/>
    <w:rsid w:val="003161C7"/>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071"/>
    <w:rsid w:val="003928B0"/>
    <w:rsid w:val="00395E69"/>
    <w:rsid w:val="0039705F"/>
    <w:rsid w:val="003A2822"/>
    <w:rsid w:val="003B03E1"/>
    <w:rsid w:val="003B465C"/>
    <w:rsid w:val="003B63C9"/>
    <w:rsid w:val="003C216F"/>
    <w:rsid w:val="003C5027"/>
    <w:rsid w:val="003C65EC"/>
    <w:rsid w:val="003D3AA5"/>
    <w:rsid w:val="003D67E3"/>
    <w:rsid w:val="003E69EA"/>
    <w:rsid w:val="003E70F6"/>
    <w:rsid w:val="003E7472"/>
    <w:rsid w:val="003F1181"/>
    <w:rsid w:val="003F29F2"/>
    <w:rsid w:val="003F63CA"/>
    <w:rsid w:val="0040416E"/>
    <w:rsid w:val="0040486B"/>
    <w:rsid w:val="00404F49"/>
    <w:rsid w:val="004067A7"/>
    <w:rsid w:val="00406971"/>
    <w:rsid w:val="004117AA"/>
    <w:rsid w:val="00411B14"/>
    <w:rsid w:val="004132EA"/>
    <w:rsid w:val="004134A1"/>
    <w:rsid w:val="00414562"/>
    <w:rsid w:val="0042301D"/>
    <w:rsid w:val="00423612"/>
    <w:rsid w:val="00424866"/>
    <w:rsid w:val="00426FD8"/>
    <w:rsid w:val="00431E1F"/>
    <w:rsid w:val="00433900"/>
    <w:rsid w:val="00435E5C"/>
    <w:rsid w:val="00436CF2"/>
    <w:rsid w:val="00437361"/>
    <w:rsid w:val="00444664"/>
    <w:rsid w:val="00444AD5"/>
    <w:rsid w:val="00445CFA"/>
    <w:rsid w:val="00446E41"/>
    <w:rsid w:val="00446FBB"/>
    <w:rsid w:val="0045304A"/>
    <w:rsid w:val="004530E2"/>
    <w:rsid w:val="0045487E"/>
    <w:rsid w:val="0045508F"/>
    <w:rsid w:val="00455BFE"/>
    <w:rsid w:val="00460B00"/>
    <w:rsid w:val="00467615"/>
    <w:rsid w:val="004727C4"/>
    <w:rsid w:val="00477E43"/>
    <w:rsid w:val="00481A9B"/>
    <w:rsid w:val="00483EB5"/>
    <w:rsid w:val="004875C3"/>
    <w:rsid w:val="004918BC"/>
    <w:rsid w:val="00493B96"/>
    <w:rsid w:val="004946EF"/>
    <w:rsid w:val="004973D1"/>
    <w:rsid w:val="004A23D9"/>
    <w:rsid w:val="004A3FA4"/>
    <w:rsid w:val="004A5131"/>
    <w:rsid w:val="004A7454"/>
    <w:rsid w:val="004B03B2"/>
    <w:rsid w:val="004B3210"/>
    <w:rsid w:val="004B3302"/>
    <w:rsid w:val="004B3AF7"/>
    <w:rsid w:val="004B6C04"/>
    <w:rsid w:val="004C1C32"/>
    <w:rsid w:val="004C23FF"/>
    <w:rsid w:val="004C2E33"/>
    <w:rsid w:val="004C39B2"/>
    <w:rsid w:val="004C3F33"/>
    <w:rsid w:val="004C5C67"/>
    <w:rsid w:val="004D117B"/>
    <w:rsid w:val="004E08AE"/>
    <w:rsid w:val="004E3E74"/>
    <w:rsid w:val="004E4588"/>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92F"/>
    <w:rsid w:val="00542E69"/>
    <w:rsid w:val="005433B6"/>
    <w:rsid w:val="005438DD"/>
    <w:rsid w:val="00547A26"/>
    <w:rsid w:val="0055782A"/>
    <w:rsid w:val="0056024C"/>
    <w:rsid w:val="005602FE"/>
    <w:rsid w:val="00560C2F"/>
    <w:rsid w:val="005610A2"/>
    <w:rsid w:val="00566139"/>
    <w:rsid w:val="00571E93"/>
    <w:rsid w:val="00573EE1"/>
    <w:rsid w:val="005743B8"/>
    <w:rsid w:val="005839E8"/>
    <w:rsid w:val="00583A75"/>
    <w:rsid w:val="00584A2A"/>
    <w:rsid w:val="00595C13"/>
    <w:rsid w:val="005A0099"/>
    <w:rsid w:val="005A0C0D"/>
    <w:rsid w:val="005A2993"/>
    <w:rsid w:val="005A41D7"/>
    <w:rsid w:val="005A71D8"/>
    <w:rsid w:val="005A77B4"/>
    <w:rsid w:val="005B585B"/>
    <w:rsid w:val="005B771F"/>
    <w:rsid w:val="005C05AD"/>
    <w:rsid w:val="005D1511"/>
    <w:rsid w:val="005D17E1"/>
    <w:rsid w:val="005D68E6"/>
    <w:rsid w:val="005D6DFD"/>
    <w:rsid w:val="005E03C1"/>
    <w:rsid w:val="005E2C29"/>
    <w:rsid w:val="005E3D99"/>
    <w:rsid w:val="005E7D8A"/>
    <w:rsid w:val="005F3525"/>
    <w:rsid w:val="006001EC"/>
    <w:rsid w:val="00605764"/>
    <w:rsid w:val="00605F23"/>
    <w:rsid w:val="00607C62"/>
    <w:rsid w:val="00613250"/>
    <w:rsid w:val="006206A4"/>
    <w:rsid w:val="0062210C"/>
    <w:rsid w:val="00623E9F"/>
    <w:rsid w:val="006250B0"/>
    <w:rsid w:val="00625409"/>
    <w:rsid w:val="00630E80"/>
    <w:rsid w:val="006335F7"/>
    <w:rsid w:val="00640E2B"/>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72298"/>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43BC"/>
    <w:rsid w:val="006B6758"/>
    <w:rsid w:val="006B72B7"/>
    <w:rsid w:val="006B7502"/>
    <w:rsid w:val="006C1201"/>
    <w:rsid w:val="006C14BB"/>
    <w:rsid w:val="006C7443"/>
    <w:rsid w:val="006D1109"/>
    <w:rsid w:val="006D4A61"/>
    <w:rsid w:val="006D6CDD"/>
    <w:rsid w:val="006D7EB4"/>
    <w:rsid w:val="006E07CD"/>
    <w:rsid w:val="006E4978"/>
    <w:rsid w:val="006F08E6"/>
    <w:rsid w:val="006F0FA1"/>
    <w:rsid w:val="006F1407"/>
    <w:rsid w:val="006F159D"/>
    <w:rsid w:val="006F3061"/>
    <w:rsid w:val="006F35E0"/>
    <w:rsid w:val="006F4C91"/>
    <w:rsid w:val="006F6966"/>
    <w:rsid w:val="006F6C9E"/>
    <w:rsid w:val="007003CA"/>
    <w:rsid w:val="00705A9A"/>
    <w:rsid w:val="00705AB8"/>
    <w:rsid w:val="00716497"/>
    <w:rsid w:val="00720B3A"/>
    <w:rsid w:val="007216E0"/>
    <w:rsid w:val="007219F7"/>
    <w:rsid w:val="00726D7A"/>
    <w:rsid w:val="00731391"/>
    <w:rsid w:val="00731CC4"/>
    <w:rsid w:val="0073299F"/>
    <w:rsid w:val="00734BC4"/>
    <w:rsid w:val="007369E8"/>
    <w:rsid w:val="00737544"/>
    <w:rsid w:val="00737E91"/>
    <w:rsid w:val="00741156"/>
    <w:rsid w:val="0074401B"/>
    <w:rsid w:val="00744F5D"/>
    <w:rsid w:val="007512CC"/>
    <w:rsid w:val="007567D7"/>
    <w:rsid w:val="00757C87"/>
    <w:rsid w:val="0076256C"/>
    <w:rsid w:val="00764FE5"/>
    <w:rsid w:val="00770687"/>
    <w:rsid w:val="00773717"/>
    <w:rsid w:val="00784D9C"/>
    <w:rsid w:val="007856E8"/>
    <w:rsid w:val="00785730"/>
    <w:rsid w:val="00786BEA"/>
    <w:rsid w:val="00786E6B"/>
    <w:rsid w:val="007874E0"/>
    <w:rsid w:val="00795FAD"/>
    <w:rsid w:val="007968E5"/>
    <w:rsid w:val="007969C4"/>
    <w:rsid w:val="00796FFC"/>
    <w:rsid w:val="00797682"/>
    <w:rsid w:val="007A0DEB"/>
    <w:rsid w:val="007A3597"/>
    <w:rsid w:val="007A38CD"/>
    <w:rsid w:val="007A766D"/>
    <w:rsid w:val="007A77DC"/>
    <w:rsid w:val="007B06AA"/>
    <w:rsid w:val="007B1080"/>
    <w:rsid w:val="007B3FDA"/>
    <w:rsid w:val="007B58B4"/>
    <w:rsid w:val="007C0897"/>
    <w:rsid w:val="007E0F86"/>
    <w:rsid w:val="007E1220"/>
    <w:rsid w:val="007E40AA"/>
    <w:rsid w:val="007E6098"/>
    <w:rsid w:val="007F214F"/>
    <w:rsid w:val="007F66C2"/>
    <w:rsid w:val="007F71C3"/>
    <w:rsid w:val="00802F46"/>
    <w:rsid w:val="0080338A"/>
    <w:rsid w:val="00806156"/>
    <w:rsid w:val="0081194A"/>
    <w:rsid w:val="00816E31"/>
    <w:rsid w:val="0081755C"/>
    <w:rsid w:val="008209BF"/>
    <w:rsid w:val="008235A9"/>
    <w:rsid w:val="0082410A"/>
    <w:rsid w:val="00830913"/>
    <w:rsid w:val="008314B3"/>
    <w:rsid w:val="00831572"/>
    <w:rsid w:val="00833DA0"/>
    <w:rsid w:val="00837439"/>
    <w:rsid w:val="0084117B"/>
    <w:rsid w:val="00842ECC"/>
    <w:rsid w:val="00844C52"/>
    <w:rsid w:val="00844FAC"/>
    <w:rsid w:val="00847D06"/>
    <w:rsid w:val="008526AD"/>
    <w:rsid w:val="00852A74"/>
    <w:rsid w:val="00853C9B"/>
    <w:rsid w:val="0085467A"/>
    <w:rsid w:val="00855E29"/>
    <w:rsid w:val="00856912"/>
    <w:rsid w:val="00862721"/>
    <w:rsid w:val="00863B57"/>
    <w:rsid w:val="00870710"/>
    <w:rsid w:val="00870B36"/>
    <w:rsid w:val="00871266"/>
    <w:rsid w:val="00871450"/>
    <w:rsid w:val="008739A5"/>
    <w:rsid w:val="00892E58"/>
    <w:rsid w:val="00895DC9"/>
    <w:rsid w:val="008A3830"/>
    <w:rsid w:val="008A5426"/>
    <w:rsid w:val="008A6706"/>
    <w:rsid w:val="008B0B17"/>
    <w:rsid w:val="008B1FC9"/>
    <w:rsid w:val="008B20D2"/>
    <w:rsid w:val="008B3D15"/>
    <w:rsid w:val="008B4562"/>
    <w:rsid w:val="008B5D1E"/>
    <w:rsid w:val="008B60CD"/>
    <w:rsid w:val="008B64A4"/>
    <w:rsid w:val="008C1F51"/>
    <w:rsid w:val="008C41BB"/>
    <w:rsid w:val="008C4E5E"/>
    <w:rsid w:val="008C77FD"/>
    <w:rsid w:val="008D0202"/>
    <w:rsid w:val="008D0B1A"/>
    <w:rsid w:val="008D1177"/>
    <w:rsid w:val="008D43FD"/>
    <w:rsid w:val="008D5E1E"/>
    <w:rsid w:val="008E5137"/>
    <w:rsid w:val="008E5682"/>
    <w:rsid w:val="008E67DB"/>
    <w:rsid w:val="008E6FBA"/>
    <w:rsid w:val="008F0E09"/>
    <w:rsid w:val="008F14E7"/>
    <w:rsid w:val="008F24C8"/>
    <w:rsid w:val="008F2BE2"/>
    <w:rsid w:val="00905340"/>
    <w:rsid w:val="0090798A"/>
    <w:rsid w:val="00907AEC"/>
    <w:rsid w:val="00911B78"/>
    <w:rsid w:val="009122AA"/>
    <w:rsid w:val="00914791"/>
    <w:rsid w:val="0091725B"/>
    <w:rsid w:val="00925A17"/>
    <w:rsid w:val="00927AE1"/>
    <w:rsid w:val="00930B62"/>
    <w:rsid w:val="0093239E"/>
    <w:rsid w:val="00933BBA"/>
    <w:rsid w:val="00933D38"/>
    <w:rsid w:val="00944C6F"/>
    <w:rsid w:val="00947DAA"/>
    <w:rsid w:val="0095255D"/>
    <w:rsid w:val="00952B18"/>
    <w:rsid w:val="0095500C"/>
    <w:rsid w:val="0095516F"/>
    <w:rsid w:val="009559AB"/>
    <w:rsid w:val="00961CD3"/>
    <w:rsid w:val="0096677D"/>
    <w:rsid w:val="00971161"/>
    <w:rsid w:val="0097370D"/>
    <w:rsid w:val="009768D0"/>
    <w:rsid w:val="0097776B"/>
    <w:rsid w:val="00977B2B"/>
    <w:rsid w:val="00977C61"/>
    <w:rsid w:val="00983820"/>
    <w:rsid w:val="00983DF9"/>
    <w:rsid w:val="00987518"/>
    <w:rsid w:val="009917A6"/>
    <w:rsid w:val="00993714"/>
    <w:rsid w:val="009969BB"/>
    <w:rsid w:val="009A14A5"/>
    <w:rsid w:val="009A42BC"/>
    <w:rsid w:val="009B0C9E"/>
    <w:rsid w:val="009B1C9C"/>
    <w:rsid w:val="009B2C85"/>
    <w:rsid w:val="009B5BC2"/>
    <w:rsid w:val="009C2069"/>
    <w:rsid w:val="009C521A"/>
    <w:rsid w:val="009C6F8E"/>
    <w:rsid w:val="009D63B0"/>
    <w:rsid w:val="009D7AA0"/>
    <w:rsid w:val="009E371D"/>
    <w:rsid w:val="009E4C02"/>
    <w:rsid w:val="009E5E1C"/>
    <w:rsid w:val="009E6DAE"/>
    <w:rsid w:val="009F1537"/>
    <w:rsid w:val="009F29D8"/>
    <w:rsid w:val="009F4C90"/>
    <w:rsid w:val="009F759C"/>
    <w:rsid w:val="009F7CF8"/>
    <w:rsid w:val="00A11CB0"/>
    <w:rsid w:val="00A125BC"/>
    <w:rsid w:val="00A17171"/>
    <w:rsid w:val="00A205B4"/>
    <w:rsid w:val="00A20F62"/>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61009"/>
    <w:rsid w:val="00A61538"/>
    <w:rsid w:val="00A616AA"/>
    <w:rsid w:val="00A63459"/>
    <w:rsid w:val="00A66CFA"/>
    <w:rsid w:val="00A70C4F"/>
    <w:rsid w:val="00A71AA7"/>
    <w:rsid w:val="00A71D6F"/>
    <w:rsid w:val="00A75B30"/>
    <w:rsid w:val="00A76F1E"/>
    <w:rsid w:val="00A80507"/>
    <w:rsid w:val="00A81ECE"/>
    <w:rsid w:val="00A84912"/>
    <w:rsid w:val="00A879D0"/>
    <w:rsid w:val="00A87A12"/>
    <w:rsid w:val="00A90D98"/>
    <w:rsid w:val="00A9773F"/>
    <w:rsid w:val="00A97F9F"/>
    <w:rsid w:val="00AA0BFE"/>
    <w:rsid w:val="00AA2082"/>
    <w:rsid w:val="00AB009C"/>
    <w:rsid w:val="00AB633E"/>
    <w:rsid w:val="00AB7231"/>
    <w:rsid w:val="00AB7FE4"/>
    <w:rsid w:val="00AC18A8"/>
    <w:rsid w:val="00AC3CEC"/>
    <w:rsid w:val="00AC4A57"/>
    <w:rsid w:val="00AD4F90"/>
    <w:rsid w:val="00AD57C7"/>
    <w:rsid w:val="00AD74DA"/>
    <w:rsid w:val="00AD7F32"/>
    <w:rsid w:val="00AE3332"/>
    <w:rsid w:val="00AE4780"/>
    <w:rsid w:val="00AE4AC1"/>
    <w:rsid w:val="00AE6A16"/>
    <w:rsid w:val="00AF2416"/>
    <w:rsid w:val="00AF3E6D"/>
    <w:rsid w:val="00AF40F3"/>
    <w:rsid w:val="00AF5042"/>
    <w:rsid w:val="00AF7D63"/>
    <w:rsid w:val="00B010E6"/>
    <w:rsid w:val="00B01124"/>
    <w:rsid w:val="00B034C7"/>
    <w:rsid w:val="00B123EF"/>
    <w:rsid w:val="00B13299"/>
    <w:rsid w:val="00B13D10"/>
    <w:rsid w:val="00B20BD0"/>
    <w:rsid w:val="00B21F78"/>
    <w:rsid w:val="00B23C21"/>
    <w:rsid w:val="00B24D2D"/>
    <w:rsid w:val="00B340F8"/>
    <w:rsid w:val="00B3431B"/>
    <w:rsid w:val="00B375E1"/>
    <w:rsid w:val="00B3762A"/>
    <w:rsid w:val="00B4101D"/>
    <w:rsid w:val="00B41509"/>
    <w:rsid w:val="00B41BD4"/>
    <w:rsid w:val="00B43375"/>
    <w:rsid w:val="00B52FAD"/>
    <w:rsid w:val="00B56276"/>
    <w:rsid w:val="00B606E5"/>
    <w:rsid w:val="00B606E6"/>
    <w:rsid w:val="00B61A35"/>
    <w:rsid w:val="00B66F01"/>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49A2"/>
    <w:rsid w:val="00BB521C"/>
    <w:rsid w:val="00BB5E64"/>
    <w:rsid w:val="00BC32EB"/>
    <w:rsid w:val="00BC3E98"/>
    <w:rsid w:val="00BC4611"/>
    <w:rsid w:val="00BC68AA"/>
    <w:rsid w:val="00BD020C"/>
    <w:rsid w:val="00BD0D17"/>
    <w:rsid w:val="00BD4663"/>
    <w:rsid w:val="00BD6425"/>
    <w:rsid w:val="00BE4092"/>
    <w:rsid w:val="00BF0849"/>
    <w:rsid w:val="00BF33D6"/>
    <w:rsid w:val="00BF3E98"/>
    <w:rsid w:val="00C00374"/>
    <w:rsid w:val="00C02553"/>
    <w:rsid w:val="00C02E9B"/>
    <w:rsid w:val="00C041E1"/>
    <w:rsid w:val="00C07640"/>
    <w:rsid w:val="00C07F32"/>
    <w:rsid w:val="00C10A0B"/>
    <w:rsid w:val="00C11510"/>
    <w:rsid w:val="00C12A4D"/>
    <w:rsid w:val="00C133AC"/>
    <w:rsid w:val="00C149B9"/>
    <w:rsid w:val="00C16ED4"/>
    <w:rsid w:val="00C17007"/>
    <w:rsid w:val="00C226AB"/>
    <w:rsid w:val="00C266C0"/>
    <w:rsid w:val="00C27CD2"/>
    <w:rsid w:val="00C320BC"/>
    <w:rsid w:val="00C32A5C"/>
    <w:rsid w:val="00C348DE"/>
    <w:rsid w:val="00C349B7"/>
    <w:rsid w:val="00C3641F"/>
    <w:rsid w:val="00C40580"/>
    <w:rsid w:val="00C4092B"/>
    <w:rsid w:val="00C4198D"/>
    <w:rsid w:val="00C41A12"/>
    <w:rsid w:val="00C41D76"/>
    <w:rsid w:val="00C46269"/>
    <w:rsid w:val="00C5061E"/>
    <w:rsid w:val="00C527BF"/>
    <w:rsid w:val="00C550E2"/>
    <w:rsid w:val="00C561B4"/>
    <w:rsid w:val="00C569F3"/>
    <w:rsid w:val="00C57F3A"/>
    <w:rsid w:val="00C6524D"/>
    <w:rsid w:val="00C6577D"/>
    <w:rsid w:val="00C66942"/>
    <w:rsid w:val="00C72E7B"/>
    <w:rsid w:val="00C80014"/>
    <w:rsid w:val="00C90BFF"/>
    <w:rsid w:val="00C9379A"/>
    <w:rsid w:val="00C95DF3"/>
    <w:rsid w:val="00C97D8A"/>
    <w:rsid w:val="00C97F28"/>
    <w:rsid w:val="00CA42AB"/>
    <w:rsid w:val="00CA504C"/>
    <w:rsid w:val="00CA767B"/>
    <w:rsid w:val="00CB118D"/>
    <w:rsid w:val="00CB24A2"/>
    <w:rsid w:val="00CC153D"/>
    <w:rsid w:val="00CC5DA1"/>
    <w:rsid w:val="00CD1A38"/>
    <w:rsid w:val="00CD1ED6"/>
    <w:rsid w:val="00CD4530"/>
    <w:rsid w:val="00CE04EA"/>
    <w:rsid w:val="00CE21A3"/>
    <w:rsid w:val="00CE3D7D"/>
    <w:rsid w:val="00CE5271"/>
    <w:rsid w:val="00CF07E7"/>
    <w:rsid w:val="00CF20EC"/>
    <w:rsid w:val="00D044FA"/>
    <w:rsid w:val="00D06A40"/>
    <w:rsid w:val="00D07F3D"/>
    <w:rsid w:val="00D11889"/>
    <w:rsid w:val="00D143FA"/>
    <w:rsid w:val="00D14989"/>
    <w:rsid w:val="00D1696F"/>
    <w:rsid w:val="00D200E4"/>
    <w:rsid w:val="00D246C7"/>
    <w:rsid w:val="00D27E2D"/>
    <w:rsid w:val="00D330E4"/>
    <w:rsid w:val="00D354C6"/>
    <w:rsid w:val="00D4074A"/>
    <w:rsid w:val="00D4395E"/>
    <w:rsid w:val="00D44376"/>
    <w:rsid w:val="00D4445B"/>
    <w:rsid w:val="00D501A2"/>
    <w:rsid w:val="00D50C49"/>
    <w:rsid w:val="00D51521"/>
    <w:rsid w:val="00D515DA"/>
    <w:rsid w:val="00D57FB6"/>
    <w:rsid w:val="00D62BAC"/>
    <w:rsid w:val="00D66F78"/>
    <w:rsid w:val="00D705DA"/>
    <w:rsid w:val="00D77ADC"/>
    <w:rsid w:val="00D77F0D"/>
    <w:rsid w:val="00D81FE7"/>
    <w:rsid w:val="00D82893"/>
    <w:rsid w:val="00D8308D"/>
    <w:rsid w:val="00D833EB"/>
    <w:rsid w:val="00D837CC"/>
    <w:rsid w:val="00D92526"/>
    <w:rsid w:val="00D9748A"/>
    <w:rsid w:val="00DA43E0"/>
    <w:rsid w:val="00DA5A27"/>
    <w:rsid w:val="00DA6E0E"/>
    <w:rsid w:val="00DA78A9"/>
    <w:rsid w:val="00DA7A2B"/>
    <w:rsid w:val="00DB201C"/>
    <w:rsid w:val="00DB2DB0"/>
    <w:rsid w:val="00DB3857"/>
    <w:rsid w:val="00DB44A2"/>
    <w:rsid w:val="00DC0F23"/>
    <w:rsid w:val="00DC18EE"/>
    <w:rsid w:val="00DC2771"/>
    <w:rsid w:val="00DC295F"/>
    <w:rsid w:val="00DC3C57"/>
    <w:rsid w:val="00DC40E4"/>
    <w:rsid w:val="00DC7C02"/>
    <w:rsid w:val="00DD2FE5"/>
    <w:rsid w:val="00DD6FE7"/>
    <w:rsid w:val="00DF3437"/>
    <w:rsid w:val="00DF3F05"/>
    <w:rsid w:val="00DF423F"/>
    <w:rsid w:val="00DF6B27"/>
    <w:rsid w:val="00DF749F"/>
    <w:rsid w:val="00DF7FC5"/>
    <w:rsid w:val="00E03447"/>
    <w:rsid w:val="00E03ECE"/>
    <w:rsid w:val="00E0477B"/>
    <w:rsid w:val="00E072D2"/>
    <w:rsid w:val="00E12287"/>
    <w:rsid w:val="00E1770C"/>
    <w:rsid w:val="00E22677"/>
    <w:rsid w:val="00E23CB4"/>
    <w:rsid w:val="00E23CE7"/>
    <w:rsid w:val="00E3045C"/>
    <w:rsid w:val="00E30CD1"/>
    <w:rsid w:val="00E323CD"/>
    <w:rsid w:val="00E34CBA"/>
    <w:rsid w:val="00E35DA5"/>
    <w:rsid w:val="00E36F2B"/>
    <w:rsid w:val="00E37E1A"/>
    <w:rsid w:val="00E4276E"/>
    <w:rsid w:val="00E44D44"/>
    <w:rsid w:val="00E44FFE"/>
    <w:rsid w:val="00E50662"/>
    <w:rsid w:val="00E51C4F"/>
    <w:rsid w:val="00E57E75"/>
    <w:rsid w:val="00E67AFF"/>
    <w:rsid w:val="00E7480F"/>
    <w:rsid w:val="00E753BD"/>
    <w:rsid w:val="00E774B6"/>
    <w:rsid w:val="00E83E00"/>
    <w:rsid w:val="00E8753A"/>
    <w:rsid w:val="00E90A44"/>
    <w:rsid w:val="00E966A2"/>
    <w:rsid w:val="00EA2FC4"/>
    <w:rsid w:val="00EA6CED"/>
    <w:rsid w:val="00EB0C83"/>
    <w:rsid w:val="00EB5E32"/>
    <w:rsid w:val="00EC1832"/>
    <w:rsid w:val="00EC514B"/>
    <w:rsid w:val="00ED08E0"/>
    <w:rsid w:val="00ED0F4E"/>
    <w:rsid w:val="00ED1DD5"/>
    <w:rsid w:val="00ED25C7"/>
    <w:rsid w:val="00ED2BA5"/>
    <w:rsid w:val="00ED3882"/>
    <w:rsid w:val="00ED3E6B"/>
    <w:rsid w:val="00ED5759"/>
    <w:rsid w:val="00EE183A"/>
    <w:rsid w:val="00EE263C"/>
    <w:rsid w:val="00EE3D96"/>
    <w:rsid w:val="00EE7357"/>
    <w:rsid w:val="00EF191E"/>
    <w:rsid w:val="00EF4162"/>
    <w:rsid w:val="00EF6103"/>
    <w:rsid w:val="00EF78C4"/>
    <w:rsid w:val="00F00C67"/>
    <w:rsid w:val="00F0469D"/>
    <w:rsid w:val="00F046EC"/>
    <w:rsid w:val="00F0558F"/>
    <w:rsid w:val="00F05739"/>
    <w:rsid w:val="00F0768A"/>
    <w:rsid w:val="00F07962"/>
    <w:rsid w:val="00F104F1"/>
    <w:rsid w:val="00F12096"/>
    <w:rsid w:val="00F12A59"/>
    <w:rsid w:val="00F12E33"/>
    <w:rsid w:val="00F1386E"/>
    <w:rsid w:val="00F14579"/>
    <w:rsid w:val="00F16B95"/>
    <w:rsid w:val="00F16D1C"/>
    <w:rsid w:val="00F2211E"/>
    <w:rsid w:val="00F23DF7"/>
    <w:rsid w:val="00F243AF"/>
    <w:rsid w:val="00F33834"/>
    <w:rsid w:val="00F34661"/>
    <w:rsid w:val="00F3550C"/>
    <w:rsid w:val="00F4075D"/>
    <w:rsid w:val="00F41743"/>
    <w:rsid w:val="00F43CC2"/>
    <w:rsid w:val="00F45279"/>
    <w:rsid w:val="00F45D4D"/>
    <w:rsid w:val="00F477AD"/>
    <w:rsid w:val="00F4787A"/>
    <w:rsid w:val="00F54677"/>
    <w:rsid w:val="00F55612"/>
    <w:rsid w:val="00F56998"/>
    <w:rsid w:val="00F611C6"/>
    <w:rsid w:val="00F640CB"/>
    <w:rsid w:val="00F652FF"/>
    <w:rsid w:val="00F6638A"/>
    <w:rsid w:val="00F6673D"/>
    <w:rsid w:val="00F6765C"/>
    <w:rsid w:val="00F7607C"/>
    <w:rsid w:val="00F845DD"/>
    <w:rsid w:val="00F84ACA"/>
    <w:rsid w:val="00F865A9"/>
    <w:rsid w:val="00F8733E"/>
    <w:rsid w:val="00F913B7"/>
    <w:rsid w:val="00F91EA4"/>
    <w:rsid w:val="00F92464"/>
    <w:rsid w:val="00FA07AA"/>
    <w:rsid w:val="00FA10AA"/>
    <w:rsid w:val="00FA2F7C"/>
    <w:rsid w:val="00FA3BF1"/>
    <w:rsid w:val="00FB0D3D"/>
    <w:rsid w:val="00FB166A"/>
    <w:rsid w:val="00FB7721"/>
    <w:rsid w:val="00FC5827"/>
    <w:rsid w:val="00FC64D6"/>
    <w:rsid w:val="00FC6768"/>
    <w:rsid w:val="00FD08DF"/>
    <w:rsid w:val="00FD4E32"/>
    <w:rsid w:val="00FD771E"/>
    <w:rsid w:val="00FD7F16"/>
    <w:rsid w:val="00FE1886"/>
    <w:rsid w:val="00FE2B6B"/>
    <w:rsid w:val="00FE441D"/>
    <w:rsid w:val="00FF0956"/>
    <w:rsid w:val="00FF46EE"/>
    <w:rsid w:val="068C1939"/>
    <w:rsid w:val="0DE20B45"/>
    <w:rsid w:val="0EC469F2"/>
    <w:rsid w:val="147165C1"/>
    <w:rsid w:val="149E474A"/>
    <w:rsid w:val="22096B58"/>
    <w:rsid w:val="314F5290"/>
    <w:rsid w:val="35C863A1"/>
    <w:rsid w:val="373B4A20"/>
    <w:rsid w:val="3CA25B45"/>
    <w:rsid w:val="416B790C"/>
    <w:rsid w:val="45F574B3"/>
    <w:rsid w:val="477E20CE"/>
    <w:rsid w:val="4D352B81"/>
    <w:rsid w:val="4F9B33E8"/>
    <w:rsid w:val="648448DA"/>
    <w:rsid w:val="6AAF1C3F"/>
    <w:rsid w:val="6DD716B3"/>
    <w:rsid w:val="6E583F53"/>
    <w:rsid w:val="746F3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ECDE8F-8077-4751-A923-6C94CD51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3" w:lineRule="auto"/>
      <w:outlineLvl w:val="2"/>
    </w:pPr>
    <w:rPr>
      <w:b/>
      <w:sz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rPr>
  </w:style>
  <w:style w:type="paragraph" w:styleId="a4">
    <w:name w:val="annotation text"/>
    <w:basedOn w:val="a"/>
    <w:link w:val="Char1"/>
    <w:uiPriority w:val="99"/>
    <w:qFormat/>
    <w:pPr>
      <w:jc w:val="left"/>
    </w:pPr>
  </w:style>
  <w:style w:type="paragraph" w:styleId="a5">
    <w:name w:val="Normal Indent"/>
    <w:basedOn w:val="a"/>
    <w:qFormat/>
    <w:pPr>
      <w:ind w:firstLineChars="200" w:firstLine="420"/>
    </w:pPr>
  </w:style>
  <w:style w:type="paragraph" w:styleId="a6">
    <w:name w:val="Document Map"/>
    <w:basedOn w:val="a"/>
    <w:qFormat/>
    <w:pPr>
      <w:shd w:val="clear" w:color="auto" w:fill="000080"/>
    </w:pPr>
  </w:style>
  <w:style w:type="paragraph" w:styleId="a7">
    <w:name w:val="Body Text"/>
    <w:basedOn w:val="a"/>
    <w:link w:val="Char"/>
    <w:qFormat/>
    <w:pPr>
      <w:autoSpaceDE w:val="0"/>
      <w:autoSpaceDN w:val="0"/>
      <w:adjustRightInd w:val="0"/>
      <w:spacing w:line="360" w:lineRule="auto"/>
      <w:jc w:val="left"/>
    </w:pPr>
    <w:rPr>
      <w:rFonts w:ascii="宋体"/>
      <w:kern w:val="0"/>
    </w:rPr>
  </w:style>
  <w:style w:type="paragraph" w:styleId="30">
    <w:name w:val="toc 3"/>
    <w:basedOn w:val="a"/>
    <w:next w:val="a"/>
    <w:uiPriority w:val="39"/>
    <w:qFormat/>
    <w:pPr>
      <w:ind w:leftChars="400" w:left="840"/>
    </w:pPr>
  </w:style>
  <w:style w:type="paragraph" w:styleId="a8">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aa">
    <w:name w:val="footer"/>
    <w:basedOn w:val="a"/>
    <w:link w:val="Char0"/>
    <w:uiPriority w:val="99"/>
    <w:qFormat/>
    <w:pPr>
      <w:tabs>
        <w:tab w:val="center" w:pos="4153"/>
        <w:tab w:val="right" w:pos="8306"/>
      </w:tabs>
      <w:snapToGrid w:val="0"/>
      <w:jc w:val="left"/>
    </w:pPr>
    <w:rPr>
      <w:sz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c">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3"/>
    <w:qFormat/>
    <w:pPr>
      <w:spacing w:before="240" w:after="60"/>
      <w:jc w:val="center"/>
      <w:outlineLvl w:val="0"/>
    </w:pPr>
    <w:rPr>
      <w:rFonts w:ascii="Cambria" w:hAnsi="Cambria"/>
      <w:b/>
      <w:sz w:val="32"/>
    </w:rPr>
  </w:style>
  <w:style w:type="character" w:styleId="af">
    <w:name w:val="Strong"/>
    <w:uiPriority w:val="22"/>
    <w:qFormat/>
    <w:rPr>
      <w:b/>
      <w:bCs/>
    </w:rPr>
  </w:style>
  <w:style w:type="character" w:styleId="af0">
    <w:name w:val="page number"/>
    <w:basedOn w:val="a0"/>
    <w:qFormat/>
  </w:style>
  <w:style w:type="character" w:styleId="af1">
    <w:name w:val="Hyperlink"/>
    <w:uiPriority w:val="99"/>
    <w:qFormat/>
    <w:rPr>
      <w:color w:val="0000FF"/>
      <w:u w:val="single"/>
    </w:rPr>
  </w:style>
  <w:style w:type="character" w:styleId="af2">
    <w:name w:val="annotation reference"/>
    <w:uiPriority w:val="99"/>
    <w:qFormat/>
    <w:rPr>
      <w:sz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3">
    <w:name w:val="标题 Char"/>
    <w:link w:val="ae"/>
    <w:qFormat/>
    <w:rPr>
      <w:rFonts w:ascii="Cambria" w:hAnsi="Cambria"/>
      <w:b/>
      <w:kern w:val="2"/>
      <w:sz w:val="32"/>
    </w:rPr>
  </w:style>
  <w:style w:type="character" w:customStyle="1" w:styleId="Char">
    <w:name w:val="正文文本 Char"/>
    <w:link w:val="a7"/>
    <w:qFormat/>
    <w:rPr>
      <w:rFonts w:ascii="宋体"/>
      <w:kern w:val="0"/>
    </w:rPr>
  </w:style>
  <w:style w:type="character" w:customStyle="1" w:styleId="Char2">
    <w:name w:val="页眉 Char"/>
    <w:link w:val="ab"/>
    <w:uiPriority w:val="99"/>
    <w:qFormat/>
    <w:rPr>
      <w:kern w:val="2"/>
      <w:sz w:val="18"/>
    </w:rPr>
  </w:style>
  <w:style w:type="paragraph" w:customStyle="1" w:styleId="Char4">
    <w:name w:val="Char"/>
    <w:basedOn w:val="a"/>
    <w:qFormat/>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5">
    <w:name w:val="正文正文"/>
    <w:basedOn w:val="a"/>
    <w:qFormat/>
    <w:pPr>
      <w:spacing w:afterLines="25" w:line="360" w:lineRule="auto"/>
      <w:ind w:firstLineChars="200" w:firstLine="200"/>
    </w:pPr>
    <w:rPr>
      <w:sz w:val="24"/>
    </w:rPr>
  </w:style>
  <w:style w:type="paragraph" w:customStyle="1" w:styleId="Char20">
    <w:name w:val="Char2"/>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CharChar">
    <w:name w:val="Char Char"/>
    <w:basedOn w:val="a"/>
    <w:qFormat/>
  </w:style>
  <w:style w:type="paragraph" w:customStyle="1" w:styleId="CharCharChar">
    <w:name w:val="Char Char Char"/>
    <w:basedOn w:val="a"/>
    <w:qFormat/>
  </w:style>
  <w:style w:type="paragraph" w:customStyle="1" w:styleId="msonormal1">
    <w:name w:val="msonormal1"/>
    <w:qFormat/>
    <w:pPr>
      <w:widowControl w:val="0"/>
      <w:jc w:val="both"/>
    </w:pPr>
    <w:rPr>
      <w:kern w:val="2"/>
      <w:sz w:val="21"/>
    </w:rPr>
  </w:style>
  <w:style w:type="paragraph" w:customStyle="1" w:styleId="Listbullet">
    <w:name w:val="List_bullet"/>
    <w:basedOn w:val="a"/>
    <w:qFormat/>
    <w:pPr>
      <w:widowControl/>
      <w:numPr>
        <w:numId w:val="1"/>
      </w:numPr>
      <w:jc w:val="left"/>
    </w:pPr>
    <w:rPr>
      <w:kern w:val="0"/>
      <w:sz w:val="24"/>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af6">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paragraph" w:customStyle="1" w:styleId="CharChar6">
    <w:name w:val="Char Char6"/>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Char10">
    <w:name w:val="Char1"/>
    <w:basedOn w:val="a"/>
    <w:qFormat/>
  </w:style>
  <w:style w:type="paragraph" w:customStyle="1" w:styleId="CharChar5">
    <w:name w:val="Char Char5"/>
    <w:basedOn w:val="a"/>
    <w:qFormat/>
  </w:style>
  <w:style w:type="paragraph" w:customStyle="1" w:styleId="CharCharChar1">
    <w:name w:val="Char Char Char1"/>
    <w:basedOn w:val="a"/>
    <w:qFormat/>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paragraph" w:styleId="af7">
    <w:name w:val="List Paragraph"/>
    <w:basedOn w:val="a"/>
    <w:qFormat/>
    <w:pPr>
      <w:ind w:firstLineChars="200" w:firstLine="420"/>
    </w:pPr>
  </w:style>
  <w:style w:type="character" w:customStyle="1" w:styleId="Char1">
    <w:name w:val="批注文字 Char1"/>
    <w:basedOn w:val="a0"/>
    <w:link w:val="a4"/>
    <w:qFormat/>
    <w:rPr>
      <w:kern w:val="2"/>
      <w:sz w:val="21"/>
    </w:rPr>
  </w:style>
  <w:style w:type="paragraph" w:customStyle="1" w:styleId="CharChar4">
    <w:name w:val="Char Char4"/>
    <w:basedOn w:val="a"/>
    <w:qFormat/>
  </w:style>
  <w:style w:type="character" w:customStyle="1" w:styleId="Char5">
    <w:name w:val="批注文字 Char"/>
    <w:uiPriority w:val="99"/>
    <w:qFormat/>
    <w:rPr>
      <w:kern w:val="2"/>
      <w:sz w:val="21"/>
    </w:rPr>
  </w:style>
  <w:style w:type="paragraph" w:customStyle="1" w:styleId="CharChar3">
    <w:name w:val="Char Char3"/>
    <w:basedOn w:val="a"/>
    <w:qFormat/>
  </w:style>
  <w:style w:type="paragraph" w:customStyle="1" w:styleId="CharChar2">
    <w:name w:val="Char Char2"/>
    <w:basedOn w:val="a"/>
    <w:qFormat/>
  </w:style>
  <w:style w:type="character" w:customStyle="1" w:styleId="3Char">
    <w:name w:val="标题 3 Char"/>
    <w:basedOn w:val="a0"/>
    <w:link w:val="3"/>
    <w:qFormat/>
    <w:rPr>
      <w:b/>
      <w:kern w:val="2"/>
      <w:sz w:val="32"/>
    </w:rPr>
  </w:style>
  <w:style w:type="character" w:customStyle="1" w:styleId="HTMLChar">
    <w:name w:val="HTML 预设格式 Char"/>
    <w:basedOn w:val="a0"/>
    <w:link w:val="HTML"/>
    <w:uiPriority w:val="99"/>
    <w:qFormat/>
    <w:rPr>
      <w:rFonts w:ascii="宋体" w:hAnsi="宋体" w:cs="宋体"/>
      <w:sz w:val="24"/>
      <w:szCs w:val="24"/>
    </w:rPr>
  </w:style>
  <w:style w:type="character" w:customStyle="1" w:styleId="Char0">
    <w:name w:val="页脚 Char"/>
    <w:basedOn w:val="a0"/>
    <w:link w:val="aa"/>
    <w:uiPriority w:val="99"/>
    <w:qFormat/>
    <w:rPr>
      <w:kern w:val="2"/>
      <w:sz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customStyle="1" w:styleId="22">
    <w:name w:val="修订2"/>
    <w:hidden/>
    <w:uiPriority w:val="99"/>
    <w:semiHidden/>
    <w:qFormat/>
    <w:rPr>
      <w:kern w:val="2"/>
      <w:sz w:val="21"/>
    </w:rPr>
  </w:style>
  <w:style w:type="paragraph" w:customStyle="1" w:styleId="32">
    <w:name w:val="修订3"/>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hinawealth.com.c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4483F9-696F-4B5C-918A-199964EC2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16</Pages>
  <Words>1511</Words>
  <Characters>8616</Characters>
  <Application>Microsoft Office Word</Application>
  <DocSecurity>0</DocSecurity>
  <Lines>71</Lines>
  <Paragraphs>20</Paragraphs>
  <ScaleCrop>false</ScaleCrop>
  <Company>Microsoft</Company>
  <LinksUpToDate>false</LinksUpToDate>
  <CharactersWithSpaces>10107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Mandy.Z</dc:creator>
  <cp:lastModifiedBy>罗钦</cp:lastModifiedBy>
  <cp:revision>70</cp:revision>
  <cp:lastPrinted>2017-10-31T06:33:00Z</cp:lastPrinted>
  <dcterms:created xsi:type="dcterms:W3CDTF">2021-03-29T01:33:00Z</dcterms:created>
  <dcterms:modified xsi:type="dcterms:W3CDTF">2022-09-27T03:25:00Z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C166FDD168F74BAFB715BD6389AD620E</vt:lpwstr>
  </property>
</Properties>
</file>