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EE2" w:rsidRDefault="00B05922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兴银理财天天万利宝稳利净值型理财产品</w:t>
      </w:r>
    </w:p>
    <w:p w:rsidR="00261EE2" w:rsidRDefault="00B05922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61EE2" w:rsidRDefault="00B05922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261EE2" w:rsidRDefault="00B05922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61EE2" w:rsidRDefault="00B05922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Theme="majorEastAsia" w:eastAsiaTheme="majorEastAsia" w:hAnsiTheme="majorEastAsia" w:hint="eastAsia"/>
          <w:bCs/>
          <w:color w:val="000000" w:themeColor="text1"/>
          <w:sz w:val="18"/>
          <w:szCs w:val="18"/>
        </w:rPr>
        <w:t>■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261EE2" w:rsidRDefault="00B05922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61EE2" w:rsidRDefault="00261EE2">
      <w:pPr>
        <w:ind w:firstLineChars="200" w:firstLine="360"/>
        <w:rPr>
          <w:rFonts w:ascii="宋体" w:hAnsi="宋体"/>
          <w:sz w:val="18"/>
          <w:szCs w:val="18"/>
        </w:rPr>
      </w:pPr>
    </w:p>
    <w:p w:rsidR="00261EE2" w:rsidRDefault="00B05922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61EE2" w:rsidRDefault="00B0592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61EE2" w:rsidRDefault="00B0592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61EE2" w:rsidRDefault="00B0592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61EE2" w:rsidRDefault="00B0592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261EE2" w:rsidRDefault="00B05922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61EE2" w:rsidRDefault="00B05922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</w:t>
      </w:r>
      <w:r>
        <w:rPr>
          <w:rFonts w:ascii="宋体" w:hAnsi="宋体" w:hint="eastAsia"/>
          <w:b/>
          <w:sz w:val="18"/>
          <w:szCs w:val="18"/>
        </w:rPr>
        <w:t>资者风险承受能力评估说明</w:t>
      </w:r>
    </w:p>
    <w:p w:rsidR="00261EE2" w:rsidRDefault="00B0592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261EE2" w:rsidRDefault="00B05922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 xml:space="preserve">2.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261EE2" w:rsidRDefault="00B0592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25"/>
        <w:gridCol w:w="5311"/>
        <w:gridCol w:w="1713"/>
      </w:tblGrid>
      <w:tr w:rsidR="00261EE2">
        <w:trPr>
          <w:trHeight w:val="289"/>
          <w:jc w:val="center"/>
        </w:trPr>
        <w:tc>
          <w:tcPr>
            <w:tcW w:w="1325" w:type="dxa"/>
            <w:vAlign w:val="center"/>
          </w:tcPr>
          <w:p w:rsidR="00261EE2" w:rsidRDefault="00B0592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261EE2" w:rsidRDefault="00B0592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261EE2" w:rsidRDefault="00B0592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261EE2">
        <w:trPr>
          <w:trHeight w:val="340"/>
          <w:jc w:val="center"/>
        </w:trPr>
        <w:tc>
          <w:tcPr>
            <w:tcW w:w="1325" w:type="dxa"/>
            <w:vAlign w:val="center"/>
          </w:tcPr>
          <w:p w:rsidR="00261EE2" w:rsidRDefault="00B0592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61EE2" w:rsidRDefault="00B0592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261EE2" w:rsidRDefault="00B0592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61EE2">
        <w:trPr>
          <w:trHeight w:val="340"/>
          <w:jc w:val="center"/>
        </w:trPr>
        <w:tc>
          <w:tcPr>
            <w:tcW w:w="1325" w:type="dxa"/>
            <w:vAlign w:val="center"/>
          </w:tcPr>
          <w:p w:rsidR="00261EE2" w:rsidRDefault="00B0592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61EE2" w:rsidRDefault="00B0592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261EE2" w:rsidRDefault="00B0592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61EE2">
        <w:trPr>
          <w:trHeight w:val="340"/>
          <w:jc w:val="center"/>
        </w:trPr>
        <w:tc>
          <w:tcPr>
            <w:tcW w:w="1325" w:type="dxa"/>
            <w:vAlign w:val="center"/>
          </w:tcPr>
          <w:p w:rsidR="00261EE2" w:rsidRDefault="00B0592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61EE2" w:rsidRDefault="00B0592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261EE2" w:rsidRDefault="00B0592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61EE2">
        <w:trPr>
          <w:trHeight w:val="340"/>
          <w:jc w:val="center"/>
        </w:trPr>
        <w:tc>
          <w:tcPr>
            <w:tcW w:w="1325" w:type="dxa"/>
            <w:vAlign w:val="center"/>
          </w:tcPr>
          <w:p w:rsidR="00261EE2" w:rsidRDefault="00B0592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61EE2" w:rsidRDefault="00B0592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投资标的，产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261EE2" w:rsidRDefault="00B0592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上</w:t>
            </w:r>
          </w:p>
        </w:tc>
      </w:tr>
      <w:tr w:rsidR="00261EE2">
        <w:trPr>
          <w:trHeight w:val="340"/>
          <w:jc w:val="center"/>
        </w:trPr>
        <w:tc>
          <w:tcPr>
            <w:tcW w:w="1325" w:type="dxa"/>
            <w:vAlign w:val="center"/>
          </w:tcPr>
          <w:p w:rsidR="00261EE2" w:rsidRDefault="00B0592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61EE2" w:rsidRDefault="00B0592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261EE2" w:rsidRDefault="00B0592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61EE2">
        <w:trPr>
          <w:trHeight w:val="340"/>
          <w:jc w:val="center"/>
        </w:trPr>
        <w:tc>
          <w:tcPr>
            <w:tcW w:w="1325" w:type="dxa"/>
            <w:vAlign w:val="center"/>
          </w:tcPr>
          <w:p w:rsidR="00261EE2" w:rsidRDefault="00B05922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61EE2" w:rsidRDefault="00B0592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261EE2" w:rsidRDefault="00B05922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261EE2" w:rsidRDefault="00261EE2">
      <w:pPr>
        <w:rPr>
          <w:rFonts w:ascii="宋体" w:hAnsi="宋体"/>
          <w:sz w:val="18"/>
          <w:szCs w:val="18"/>
        </w:rPr>
      </w:pPr>
    </w:p>
    <w:p w:rsidR="00261EE2" w:rsidRDefault="00B05922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</w:t>
      </w:r>
      <w:r>
        <w:rPr>
          <w:rFonts w:ascii="黑体" w:eastAsia="黑体" w:hAnsi="黑体" w:hint="eastAsia"/>
          <w:sz w:val="18"/>
          <w:szCs w:val="18"/>
        </w:rPr>
        <w:t xml:space="preserve"> </w:t>
      </w:r>
      <w:r>
        <w:rPr>
          <w:rFonts w:ascii="黑体" w:eastAsia="黑体" w:hAnsi="黑体" w:hint="eastAsia"/>
          <w:sz w:val="18"/>
          <w:szCs w:val="18"/>
        </w:rPr>
        <w:t>“投资者风险承受能力”、“适合投资者类型”的不同划分与表述的特别提示</w:t>
      </w:r>
    </w:p>
    <w:p w:rsidR="00261EE2" w:rsidRDefault="00B05922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</w:t>
      </w:r>
      <w:r>
        <w:rPr>
          <w:rFonts w:ascii="黑体" w:eastAsia="黑体" w:hAnsi="黑体" w:hint="eastAsia"/>
          <w:sz w:val="18"/>
          <w:szCs w:val="18"/>
        </w:rPr>
        <w:t>与表述可能与产品管理人存在差异，即采用销售机构设置的标准。</w:t>
      </w:r>
    </w:p>
    <w:p w:rsidR="00261EE2" w:rsidRDefault="00B05922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261EE2" w:rsidRDefault="00B05922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261EE2" w:rsidRDefault="00B05922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261EE2" w:rsidRDefault="00B05922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261EE2" w:rsidRDefault="00B0592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61EE2" w:rsidRDefault="00B0592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261EE2" w:rsidRDefault="00B05922">
      <w:pPr>
        <w:ind w:firstLineChars="200" w:firstLine="360"/>
        <w:rPr>
          <w:rFonts w:ascii="宋体" w:hAnsi="宋体"/>
          <w:sz w:val="18"/>
          <w:szCs w:val="18"/>
        </w:rPr>
      </w:pPr>
      <w:bookmarkStart w:id="0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0"/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61EE2" w:rsidRDefault="00B0592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通过【浙江嵊州农村商业银行股份有限公司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】客户服务热线：【96596</w:t>
      </w:r>
      <w:r>
        <w:rPr>
          <w:rFonts w:ascii="宋体" w:hAnsi="宋体" w:hint="eastAsia"/>
          <w:sz w:val="18"/>
          <w:szCs w:val="18"/>
        </w:rPr>
        <w:t>】；【浙江嵊州农村商业银行股份有限公司</w:t>
      </w:r>
      <w:r>
        <w:rPr>
          <w:rFonts w:ascii="宋体" w:hAnsi="宋体" w:hint="eastAsia"/>
          <w:sz w:val="18"/>
          <w:szCs w:val="18"/>
        </w:rPr>
        <w:t>】门户网站：【www.zjszbank.com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】。</w:t>
      </w:r>
    </w:p>
    <w:p w:rsidR="00261EE2" w:rsidRDefault="00261EE2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61EE2" w:rsidRDefault="00261EE2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61EE2" w:rsidRDefault="00261EE2">
      <w:pPr>
        <w:jc w:val="right"/>
        <w:rPr>
          <w:rFonts w:ascii="宋体" w:hAnsi="宋体"/>
          <w:sz w:val="18"/>
          <w:szCs w:val="18"/>
        </w:rPr>
      </w:pPr>
    </w:p>
    <w:p w:rsidR="00261EE2" w:rsidRDefault="00261EE2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261EE2" w:rsidRDefault="00B05922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261EE2" w:rsidRDefault="00B05922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兴银理财天天万利宝稳利净值型理财产品</w:t>
      </w:r>
    </w:p>
    <w:p w:rsidR="00261EE2" w:rsidRDefault="00B05922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61EE2" w:rsidRDefault="00B05922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261EE2" w:rsidRDefault="00B05922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61EE2" w:rsidRDefault="00B05922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Theme="majorEastAsia" w:eastAsiaTheme="majorEastAsia" w:hAnsiTheme="majorEastAsia" w:hint="eastAsia"/>
          <w:bCs/>
          <w:color w:val="000000" w:themeColor="text1"/>
          <w:sz w:val="18"/>
          <w:szCs w:val="18"/>
        </w:rPr>
        <w:t>■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261EE2" w:rsidRDefault="00B05922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61EE2" w:rsidRDefault="00261EE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261EE2" w:rsidRDefault="00B05922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261EE2" w:rsidRDefault="00B05922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61EE2" w:rsidRDefault="00B05922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261EE2" w:rsidRDefault="00B05922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>2</w:t>
      </w:r>
      <w:r>
        <w:rPr>
          <w:rFonts w:ascii="宋体" w:hAnsi="宋体" w:hint="eastAsia"/>
          <w:b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261EE2" w:rsidRDefault="00B0592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投资者风险承受能力，机构投资者由低至高分为【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C5</w:t>
      </w:r>
      <w:r>
        <w:rPr>
          <w:rFonts w:ascii="宋体" w:hAnsi="宋体" w:hint="eastAsia"/>
          <w:sz w:val="18"/>
          <w:szCs w:val="18"/>
        </w:rPr>
        <w:t>五</w:t>
      </w:r>
      <w:r>
        <w:rPr>
          <w:rFonts w:ascii="宋体" w:hAnsi="宋体" w:hint="eastAsia"/>
          <w:sz w:val="18"/>
          <w:szCs w:val="18"/>
        </w:rPr>
        <w:t>个等级】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C5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261EE2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1EE2" w:rsidRDefault="00B05922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1EE2" w:rsidRDefault="00B05922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261EE2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EE2" w:rsidRDefault="00261EE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EE2" w:rsidRDefault="00261EE2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EE2" w:rsidRDefault="00261EE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61EE2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EE2" w:rsidRDefault="00261EE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EE2" w:rsidRDefault="00261EE2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EE2" w:rsidRDefault="00261EE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61EE2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EE2" w:rsidRDefault="00261EE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EE2" w:rsidRDefault="00261EE2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EE2" w:rsidRDefault="00261EE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61EE2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EE2" w:rsidRDefault="00261EE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EE2" w:rsidRDefault="00261EE2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EE2" w:rsidRDefault="00261EE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61EE2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EE2" w:rsidRDefault="00261EE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EE2" w:rsidRDefault="00261EE2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EE2" w:rsidRDefault="00261EE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261EE2" w:rsidRDefault="00B05922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</w:t>
      </w:r>
      <w:r>
        <w:rPr>
          <w:rFonts w:ascii="黑体" w:eastAsia="黑体" w:hAnsi="黑体" w:hint="eastAsia"/>
          <w:sz w:val="18"/>
          <w:szCs w:val="18"/>
        </w:rPr>
        <w:t xml:space="preserve"> </w:t>
      </w:r>
      <w:r>
        <w:rPr>
          <w:rFonts w:ascii="黑体" w:eastAsia="黑体" w:hAnsi="黑体" w:hint="eastAsia"/>
          <w:sz w:val="18"/>
          <w:szCs w:val="18"/>
        </w:rPr>
        <w:t>“投资者风险承受能力”、“适合投资者类型”的不同划分与表述的特别提示</w:t>
      </w:r>
    </w:p>
    <w:p w:rsidR="00261EE2" w:rsidRDefault="00B05922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261EE2" w:rsidRDefault="00B05922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</w:t>
      </w:r>
      <w:r>
        <w:rPr>
          <w:rFonts w:ascii="黑体" w:eastAsia="黑体" w:hAnsi="黑体" w:hint="eastAsia"/>
          <w:sz w:val="18"/>
          <w:szCs w:val="18"/>
        </w:rPr>
        <w:lastRenderedPageBreak/>
        <w:t>划分与“适合投资者类型”的表述。</w:t>
      </w:r>
    </w:p>
    <w:p w:rsidR="00261EE2" w:rsidRDefault="00B05922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261EE2" w:rsidRDefault="00B05922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261EE2" w:rsidRDefault="00B05922" w:rsidP="00B05922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261EE2" w:rsidRDefault="00B0592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61EE2" w:rsidRDefault="00B0592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 xml:space="preserve">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261EE2" w:rsidRDefault="00261EE2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61EE2" w:rsidRDefault="00261EE2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61EE2" w:rsidRDefault="00261EE2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261EE2" w:rsidRDefault="00261EE2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261EE2" w:rsidRDefault="00B05922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261EE2" w:rsidRDefault="00B05922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兴银理财天天万利宝稳利净值型理财产品</w:t>
      </w:r>
    </w:p>
    <w:p w:rsidR="00261EE2" w:rsidRDefault="00B05922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61EE2" w:rsidRDefault="00B05922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261EE2" w:rsidRDefault="00B05922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61EE2" w:rsidRDefault="00B05922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代销：代理销售机构销</w:t>
      </w:r>
      <w:bookmarkStart w:id="1" w:name="_GoBack"/>
      <w:bookmarkEnd w:id="1"/>
      <w:r>
        <w:rPr>
          <w:rFonts w:ascii="宋体" w:hAnsi="宋体" w:hint="eastAsia"/>
          <w:sz w:val="18"/>
          <w:szCs w:val="18"/>
        </w:rPr>
        <w:t>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261EE2" w:rsidRDefault="00B05922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61EE2" w:rsidRDefault="00261EE2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261EE2" w:rsidRDefault="00B05922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</w:t>
      </w:r>
      <w:r>
        <w:rPr>
          <w:rFonts w:ascii="宋体" w:hAnsi="宋体"/>
          <w:sz w:val="18"/>
          <w:szCs w:val="18"/>
        </w:rPr>
        <w:t>理财产品，产品管理人将根据产品风险等级和市场情况自行确定发售渠道。</w:t>
      </w:r>
    </w:p>
    <w:p w:rsidR="00261EE2" w:rsidRDefault="00B05922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261EE2" w:rsidRDefault="00B05922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261EE2" w:rsidRDefault="00B05922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261EE2" w:rsidRDefault="00B05922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261EE2" w:rsidRDefault="00B0592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261EE2" w:rsidRDefault="00B05922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61EE2" w:rsidRDefault="00B05922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 xml:space="preserve">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261EE2" w:rsidRDefault="00261EE2"/>
    <w:sectPr w:rsidR="00261EE2" w:rsidSect="00261EE2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EE2" w:rsidRDefault="00261EE2" w:rsidP="00261EE2">
      <w:r>
        <w:separator/>
      </w:r>
    </w:p>
  </w:endnote>
  <w:endnote w:type="continuationSeparator" w:id="1">
    <w:p w:rsidR="00261EE2" w:rsidRDefault="00261EE2" w:rsidP="00261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261EE2" w:rsidRDefault="00B05922">
        <w:pPr>
          <w:pStyle w:val="a5"/>
          <w:jc w:val="center"/>
        </w:pPr>
        <w:r>
          <w:rPr>
            <w:rFonts w:hint="eastAsia"/>
          </w:rPr>
          <w:t>第</w:t>
        </w:r>
        <w:r w:rsidR="00261EE2">
          <w:fldChar w:fldCharType="begin"/>
        </w:r>
        <w:r>
          <w:instrText>PAGE   \* MERGEFORMAT</w:instrText>
        </w:r>
        <w:r w:rsidR="00261EE2">
          <w:fldChar w:fldCharType="separate"/>
        </w:r>
        <w:r w:rsidRPr="00B05922">
          <w:rPr>
            <w:noProof/>
            <w:lang w:val="zh-CN"/>
          </w:rPr>
          <w:t>1</w:t>
        </w:r>
        <w:r w:rsidR="00261EE2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EE2" w:rsidRDefault="00261EE2" w:rsidP="00261EE2">
      <w:r>
        <w:separator/>
      </w:r>
    </w:p>
  </w:footnote>
  <w:footnote w:type="continuationSeparator" w:id="1">
    <w:p w:rsidR="00261EE2" w:rsidRDefault="00261EE2" w:rsidP="00261E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EE2" w:rsidRDefault="00B05922">
    <w:pPr>
      <w:pStyle w:val="a6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261EE2" w:rsidRDefault="00B05922">
    <w:pPr>
      <w:pStyle w:val="a6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37B3"/>
    <w:rsid w:val="00012DF8"/>
    <w:rsid w:val="000157E3"/>
    <w:rsid w:val="00044E9D"/>
    <w:rsid w:val="000466D9"/>
    <w:rsid w:val="000921B4"/>
    <w:rsid w:val="000C4846"/>
    <w:rsid w:val="000D11CC"/>
    <w:rsid w:val="000E6147"/>
    <w:rsid w:val="001242AF"/>
    <w:rsid w:val="00141624"/>
    <w:rsid w:val="00171420"/>
    <w:rsid w:val="00195672"/>
    <w:rsid w:val="001A48F9"/>
    <w:rsid w:val="002462D8"/>
    <w:rsid w:val="00261EE2"/>
    <w:rsid w:val="00271331"/>
    <w:rsid w:val="00276F5A"/>
    <w:rsid w:val="002A6909"/>
    <w:rsid w:val="002B0017"/>
    <w:rsid w:val="002B6D4B"/>
    <w:rsid w:val="002C01C0"/>
    <w:rsid w:val="002E6656"/>
    <w:rsid w:val="003014BD"/>
    <w:rsid w:val="003B4628"/>
    <w:rsid w:val="003D624D"/>
    <w:rsid w:val="004A1091"/>
    <w:rsid w:val="004A6DBF"/>
    <w:rsid w:val="004D586E"/>
    <w:rsid w:val="004E5B8C"/>
    <w:rsid w:val="005438C7"/>
    <w:rsid w:val="00552ACB"/>
    <w:rsid w:val="00571A72"/>
    <w:rsid w:val="005A0FFB"/>
    <w:rsid w:val="005A17EF"/>
    <w:rsid w:val="005D158B"/>
    <w:rsid w:val="005E4F9A"/>
    <w:rsid w:val="00622E88"/>
    <w:rsid w:val="00641888"/>
    <w:rsid w:val="00661E32"/>
    <w:rsid w:val="006639A1"/>
    <w:rsid w:val="006B237F"/>
    <w:rsid w:val="006E4016"/>
    <w:rsid w:val="006F690F"/>
    <w:rsid w:val="00705E58"/>
    <w:rsid w:val="00710B52"/>
    <w:rsid w:val="00781AA5"/>
    <w:rsid w:val="00782807"/>
    <w:rsid w:val="007B0970"/>
    <w:rsid w:val="007B231D"/>
    <w:rsid w:val="007C6A86"/>
    <w:rsid w:val="0080127B"/>
    <w:rsid w:val="00812B92"/>
    <w:rsid w:val="00820AF6"/>
    <w:rsid w:val="008A57A2"/>
    <w:rsid w:val="008C2FE9"/>
    <w:rsid w:val="008E7821"/>
    <w:rsid w:val="008E7C7D"/>
    <w:rsid w:val="00971F4B"/>
    <w:rsid w:val="009816B9"/>
    <w:rsid w:val="009D1DC4"/>
    <w:rsid w:val="009E4DBC"/>
    <w:rsid w:val="00A646F7"/>
    <w:rsid w:val="00AA4438"/>
    <w:rsid w:val="00AB386C"/>
    <w:rsid w:val="00AC71D9"/>
    <w:rsid w:val="00B02055"/>
    <w:rsid w:val="00B05922"/>
    <w:rsid w:val="00B271F9"/>
    <w:rsid w:val="00B314E7"/>
    <w:rsid w:val="00B507EB"/>
    <w:rsid w:val="00B75610"/>
    <w:rsid w:val="00BE4E6B"/>
    <w:rsid w:val="00BF7C2F"/>
    <w:rsid w:val="00C018F3"/>
    <w:rsid w:val="00C202DE"/>
    <w:rsid w:val="00C32FF7"/>
    <w:rsid w:val="00C37EB3"/>
    <w:rsid w:val="00C8683D"/>
    <w:rsid w:val="00C86FD7"/>
    <w:rsid w:val="00CC6A80"/>
    <w:rsid w:val="00D01E10"/>
    <w:rsid w:val="00D237B3"/>
    <w:rsid w:val="00D56354"/>
    <w:rsid w:val="00D917DB"/>
    <w:rsid w:val="00DB67D6"/>
    <w:rsid w:val="00DD5F6E"/>
    <w:rsid w:val="00E01CA3"/>
    <w:rsid w:val="00E077CB"/>
    <w:rsid w:val="00E20014"/>
    <w:rsid w:val="00EA7D7F"/>
    <w:rsid w:val="00EF1A43"/>
    <w:rsid w:val="00F126D2"/>
    <w:rsid w:val="00F33265"/>
    <w:rsid w:val="00F47A61"/>
    <w:rsid w:val="00F74AE2"/>
    <w:rsid w:val="00F81CAA"/>
    <w:rsid w:val="00FA461D"/>
    <w:rsid w:val="07440405"/>
    <w:rsid w:val="52D44062"/>
    <w:rsid w:val="57C56B72"/>
    <w:rsid w:val="5D9C6485"/>
    <w:rsid w:val="620D133E"/>
    <w:rsid w:val="6A640C90"/>
    <w:rsid w:val="7B966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 w:qFormat="1"/>
    <w:lsdException w:name="footer" w:semiHidden="0" w:qFormat="1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E2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Char"/>
    <w:qFormat/>
    <w:rsid w:val="00261EE2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qFormat/>
    <w:rsid w:val="00261EE2"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sid w:val="00261EE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261E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nhideWhenUsed/>
    <w:qFormat/>
    <w:rsid w:val="00261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rsid w:val="00261E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sid w:val="00261EE2"/>
    <w:rPr>
      <w:b/>
      <w:bCs/>
    </w:rPr>
  </w:style>
  <w:style w:type="character" w:styleId="a8">
    <w:name w:val="Strong"/>
    <w:uiPriority w:val="22"/>
    <w:qFormat/>
    <w:rsid w:val="00261EE2"/>
    <w:rPr>
      <w:b/>
      <w:bCs/>
    </w:rPr>
  </w:style>
  <w:style w:type="character" w:styleId="a9">
    <w:name w:val="annotation reference"/>
    <w:qFormat/>
    <w:rsid w:val="00261EE2"/>
    <w:rPr>
      <w:sz w:val="21"/>
    </w:rPr>
  </w:style>
  <w:style w:type="character" w:customStyle="1" w:styleId="Char2">
    <w:name w:val="页眉 Char"/>
    <w:basedOn w:val="a0"/>
    <w:link w:val="a6"/>
    <w:qFormat/>
    <w:rsid w:val="00261EE2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261EE2"/>
    <w:rPr>
      <w:sz w:val="18"/>
      <w:szCs w:val="18"/>
    </w:rPr>
  </w:style>
  <w:style w:type="paragraph" w:customStyle="1" w:styleId="Default">
    <w:name w:val="Default"/>
    <w:qFormat/>
    <w:rsid w:val="00261EE2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261EE2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261EE2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261EE2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3"/>
    <w:qFormat/>
    <w:rsid w:val="00261EE2"/>
    <w:rPr>
      <w:rFonts w:ascii="Times New Roman" w:eastAsia="宋体" w:hAnsi="Times New Roman" w:cs="Times New Roman"/>
      <w:szCs w:val="20"/>
    </w:rPr>
  </w:style>
  <w:style w:type="character" w:customStyle="1" w:styleId="Char">
    <w:name w:val="批注框文本 Char"/>
    <w:basedOn w:val="a0"/>
    <w:link w:val="a4"/>
    <w:uiPriority w:val="99"/>
    <w:semiHidden/>
    <w:qFormat/>
    <w:rsid w:val="00261EE2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批注主题 Char"/>
    <w:basedOn w:val="Char1"/>
    <w:link w:val="a7"/>
    <w:uiPriority w:val="99"/>
    <w:semiHidden/>
    <w:qFormat/>
    <w:rsid w:val="00261EE2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261EE2"/>
    <w:rPr>
      <w:rFonts w:ascii="Times New Roman" w:eastAsia="宋体" w:hAnsi="Times New Roman" w:cs="Times New Roman"/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4380</Words>
  <Characters>435</Characters>
  <Application>Microsoft Office Word</Application>
  <DocSecurity>0</DocSecurity>
  <Lines>3</Lines>
  <Paragraphs>9</Paragraphs>
  <ScaleCrop>false</ScaleCrop>
  <Company>神州网信技术有限公司</Company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吴姗珊</cp:lastModifiedBy>
  <cp:revision>60</cp:revision>
  <dcterms:created xsi:type="dcterms:W3CDTF">2021-06-15T06:19:00Z</dcterms:created>
  <dcterms:modified xsi:type="dcterms:W3CDTF">2022-10-20T04:59:00Z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F38CDB0A342847339B79C7443BD612BA</vt:lpwstr>
  </property>
</Properties>
</file>