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8AF" w:rsidRDefault="00B46B5F">
      <w:pPr>
        <w:adjustRightInd w:val="0"/>
        <w:spacing w:line="276" w:lineRule="auto"/>
        <w:ind w:firstLine="422"/>
        <w:jc w:val="center"/>
        <w:rPr>
          <w:rFonts w:ascii="黑体" w:eastAsia="黑体" w:hAnsi="黑体"/>
          <w:b/>
          <w:bCs/>
          <w:sz w:val="28"/>
          <w:szCs w:val="28"/>
        </w:rPr>
      </w:pPr>
      <w:bookmarkStart w:id="0" w:name="_GoBack"/>
      <w:r>
        <w:rPr>
          <w:rFonts w:ascii="黑体" w:eastAsia="黑体" w:hAnsi="黑体" w:hint="eastAsia"/>
          <w:b/>
          <w:bCs/>
          <w:sz w:val="28"/>
          <w:szCs w:val="28"/>
        </w:rPr>
        <w:t>兴银理财【天天万利宝稳利】净值型理财产品</w:t>
      </w:r>
    </w:p>
    <w:p w:rsidR="003D48AF" w:rsidRDefault="00B46B5F">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3D48AF" w:rsidRDefault="00B46B5F" w:rsidP="00B46B5F">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3D48AF" w:rsidRDefault="00B46B5F">
      <w:pPr>
        <w:rPr>
          <w:rFonts w:ascii="宋体" w:hAnsi="宋体" w:cs="仿宋_GB2312"/>
          <w:b/>
          <w:kern w:val="0"/>
          <w:sz w:val="18"/>
          <w:szCs w:val="18"/>
        </w:rPr>
      </w:pPr>
      <w:r>
        <w:rPr>
          <w:rFonts w:ascii="宋体" w:hAnsi="宋体" w:cs="仿宋_GB2312" w:hint="eastAsia"/>
          <w:b/>
          <w:kern w:val="0"/>
          <w:sz w:val="18"/>
          <w:szCs w:val="18"/>
        </w:rPr>
        <w:t>尊敬的投资者：</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3D48AF" w:rsidRDefault="00B46B5F">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3D48AF" w:rsidRDefault="00B46B5F">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宋体" w:hAnsi="宋体" w:hint="eastAsia"/>
          <w:bCs/>
          <w:sz w:val="18"/>
          <w:szCs w:val="18"/>
        </w:rPr>
        <w:t>兴业银行天天万利宝稳利</w:t>
      </w:r>
      <w:r>
        <w:rPr>
          <w:rFonts w:ascii="宋体" w:hAnsi="宋体" w:hint="eastAsia"/>
          <w:bCs/>
          <w:sz w:val="18"/>
          <w:szCs w:val="18"/>
        </w:rPr>
        <w:t>6</w:t>
      </w:r>
      <w:r>
        <w:rPr>
          <w:rFonts w:ascii="宋体" w:hAnsi="宋体" w:hint="eastAsia"/>
          <w:bCs/>
          <w:sz w:val="18"/>
          <w:szCs w:val="18"/>
        </w:rPr>
        <w:t>号</w:t>
      </w:r>
      <w:r>
        <w:rPr>
          <w:rFonts w:ascii="宋体" w:hAnsi="宋体" w:hint="eastAsia"/>
          <w:bCs/>
          <w:sz w:val="18"/>
          <w:szCs w:val="18"/>
        </w:rPr>
        <w:t>J</w:t>
      </w:r>
      <w:r>
        <w:rPr>
          <w:rFonts w:ascii="宋体" w:hAnsi="宋体" w:hint="eastAsia"/>
          <w:bCs/>
          <w:sz w:val="18"/>
          <w:szCs w:val="18"/>
        </w:rPr>
        <w:t>款净值型理财产品</w:t>
      </w:r>
      <w:r>
        <w:rPr>
          <w:rFonts w:ascii="宋体" w:hAnsi="宋体" w:cs="仿宋_GB2312" w:hint="eastAsia"/>
          <w:kern w:val="0"/>
          <w:sz w:val="18"/>
          <w:szCs w:val="18"/>
        </w:rPr>
        <w:t>】。</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J</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A</w:t>
      </w:r>
      <w:r>
        <w:rPr>
          <w:rFonts w:ascii="宋体" w:hAnsi="宋体" w:cs="仿宋_GB2312" w:hint="eastAsia"/>
          <w:kern w:val="0"/>
          <w:sz w:val="18"/>
          <w:szCs w:val="18"/>
        </w:rPr>
        <w:t>】（适用</w:t>
      </w:r>
      <w:r>
        <w:rPr>
          <w:rFonts w:ascii="宋体" w:hAnsi="宋体" w:cs="仿宋_GB2312" w:hint="eastAsia"/>
          <w:kern w:val="0"/>
          <w:sz w:val="18"/>
          <w:szCs w:val="18"/>
        </w:rPr>
        <w:t>A</w:t>
      </w:r>
      <w:r>
        <w:rPr>
          <w:rFonts w:ascii="宋体" w:hAnsi="宋体" w:cs="仿宋_GB2312" w:hint="eastAsia"/>
          <w:kern w:val="0"/>
          <w:sz w:val="18"/>
          <w:szCs w:val="18"/>
        </w:rPr>
        <w:t>类份额）</w:t>
      </w:r>
    </w:p>
    <w:p w:rsidR="003D48AF" w:rsidRDefault="00B46B5F">
      <w:pPr>
        <w:ind w:firstLineChars="749" w:firstLine="1348"/>
        <w:rPr>
          <w:rFonts w:ascii="宋体" w:hAnsi="宋体" w:cs="仿宋_GB2312"/>
          <w:kern w:val="0"/>
          <w:sz w:val="18"/>
          <w:szCs w:val="18"/>
        </w:rPr>
      </w:pP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J</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B</w:t>
      </w:r>
      <w:r>
        <w:rPr>
          <w:rFonts w:ascii="宋体" w:hAnsi="宋体" w:cs="仿宋_GB2312" w:hint="eastAsia"/>
          <w:kern w:val="0"/>
          <w:sz w:val="18"/>
          <w:szCs w:val="18"/>
        </w:rPr>
        <w:t>】（适用</w:t>
      </w:r>
      <w:r>
        <w:rPr>
          <w:rFonts w:ascii="宋体" w:hAnsi="宋体" w:cs="仿宋_GB2312" w:hint="eastAsia"/>
          <w:kern w:val="0"/>
          <w:sz w:val="18"/>
          <w:szCs w:val="18"/>
        </w:rPr>
        <w:t>B</w:t>
      </w:r>
      <w:r>
        <w:rPr>
          <w:rFonts w:ascii="宋体" w:hAnsi="宋体" w:cs="仿宋_GB2312" w:hint="eastAsia"/>
          <w:kern w:val="0"/>
          <w:sz w:val="18"/>
          <w:szCs w:val="18"/>
        </w:rPr>
        <w:t>类份额）</w:t>
      </w:r>
    </w:p>
    <w:p w:rsidR="003D48AF" w:rsidRDefault="00B46B5F">
      <w:pPr>
        <w:ind w:firstLineChars="749" w:firstLine="1348"/>
        <w:rPr>
          <w:rFonts w:ascii="宋体" w:hAnsi="宋体" w:cs="仿宋_GB2312"/>
          <w:kern w:val="0"/>
          <w:sz w:val="18"/>
          <w:szCs w:val="18"/>
        </w:rPr>
      </w:pP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J</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C</w:t>
      </w:r>
      <w:r>
        <w:rPr>
          <w:rFonts w:ascii="宋体" w:hAnsi="宋体" w:cs="仿宋_GB2312" w:hint="eastAsia"/>
          <w:kern w:val="0"/>
          <w:sz w:val="18"/>
          <w:szCs w:val="18"/>
        </w:rPr>
        <w:t>】（适用</w:t>
      </w:r>
      <w:r>
        <w:rPr>
          <w:rFonts w:ascii="宋体" w:hAnsi="宋体" w:cs="仿宋_GB2312" w:hint="eastAsia"/>
          <w:kern w:val="0"/>
          <w:sz w:val="18"/>
          <w:szCs w:val="18"/>
        </w:rPr>
        <w:t>C</w:t>
      </w:r>
      <w:r>
        <w:rPr>
          <w:rFonts w:ascii="宋体" w:hAnsi="宋体" w:cs="仿宋_GB2312" w:hint="eastAsia"/>
          <w:kern w:val="0"/>
          <w:sz w:val="18"/>
          <w:szCs w:val="18"/>
        </w:rPr>
        <w:t>类份额）。</w:t>
      </w:r>
    </w:p>
    <w:p w:rsidR="003D48AF" w:rsidRDefault="00B46B5F">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宋体" w:hAnsi="宋体"/>
          <w:bCs/>
          <w:sz w:val="18"/>
          <w:szCs w:val="18"/>
        </w:rPr>
        <w:t>Z7002021000098</w:t>
      </w:r>
      <w:r>
        <w:rPr>
          <w:rFonts w:ascii="宋体" w:hAnsi="宋体" w:cs="仿宋_GB2312" w:hint="eastAsia"/>
          <w:kern w:val="0"/>
          <w:sz w:val="18"/>
          <w:szCs w:val="18"/>
        </w:rPr>
        <w:t>】。</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3D48AF" w:rsidRDefault="00B46B5F">
      <w:pPr>
        <w:ind w:firstLineChars="299" w:firstLine="538"/>
        <w:rPr>
          <w:rFonts w:ascii="宋体" w:hAnsi="宋体" w:cs="仿宋_GB2312"/>
          <w:kern w:val="0"/>
          <w:sz w:val="18"/>
          <w:szCs w:val="18"/>
        </w:rPr>
      </w:pPr>
      <w:r>
        <w:rPr>
          <w:rFonts w:ascii="宋体" w:hAnsi="宋体" w:cs="仿宋_GB2312" w:hint="eastAsia"/>
          <w:kern w:val="0"/>
          <w:sz w:val="18"/>
          <w:szCs w:val="18"/>
        </w:rPr>
        <w:t>公募、开放式、【固定收益类】、非保本浮动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【无固定</w:t>
      </w:r>
      <w:r>
        <w:rPr>
          <w:rFonts w:ascii="宋体" w:hAnsi="宋体" w:cs="仿宋_GB2312"/>
          <w:kern w:val="0"/>
          <w:sz w:val="18"/>
          <w:szCs w:val="18"/>
        </w:rPr>
        <w:t>期限</w:t>
      </w:r>
      <w:r>
        <w:rPr>
          <w:rFonts w:ascii="宋体" w:hAnsi="宋体" w:cs="仿宋_GB2312" w:hint="eastAsia"/>
          <w:kern w:val="0"/>
          <w:sz w:val="18"/>
          <w:szCs w:val="18"/>
        </w:rPr>
        <w:t>】</w:t>
      </w:r>
      <w:r>
        <w:rPr>
          <w:rFonts w:ascii="宋体" w:hAnsi="宋体" w:cs="仿宋_GB2312"/>
          <w:kern w:val="0"/>
          <w:sz w:val="18"/>
          <w:szCs w:val="18"/>
        </w:rPr>
        <w:t>。</w:t>
      </w:r>
    </w:p>
    <w:p w:rsidR="003D48AF" w:rsidRDefault="00B46B5F">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3D48AF" w:rsidRDefault="00B46B5F">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3D48AF" w:rsidRDefault="00B46B5F">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；代理销售机构定义的产品风险评级为【</w:t>
      </w:r>
      <w:r>
        <w:rPr>
          <w:rFonts w:asciiTheme="majorEastAsia" w:eastAsiaTheme="majorEastAsia" w:hAnsiTheme="majorEastAsia"/>
          <w:bCs/>
          <w:color w:val="000000" w:themeColor="text1"/>
          <w:sz w:val="18"/>
          <w:szCs w:val="18"/>
        </w:rPr>
        <w:t>R2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3D48AF" w:rsidRDefault="00B46B5F">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3D48AF" w:rsidRDefault="00B46B5F">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3D48AF" w:rsidRDefault="00B46B5F">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hint="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C2</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C3</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C4</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C6</w:t>
      </w:r>
      <w:r>
        <w:rPr>
          <w:rFonts w:asciiTheme="majorEastAsia" w:eastAsiaTheme="majorEastAsia" w:hAnsiTheme="majorEastAsia" w:hint="eastAsia"/>
          <w:bCs/>
          <w:color w:val="000000" w:themeColor="text1"/>
          <w:sz w:val="18"/>
          <w:szCs w:val="18"/>
        </w:rPr>
        <w:t>】。</w:t>
      </w:r>
    </w:p>
    <w:p w:rsidR="003D48AF" w:rsidRDefault="00B46B5F">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3D48AF" w:rsidRDefault="00B46B5F">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3D48AF" w:rsidRDefault="00B46B5F">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3D48AF" w:rsidRDefault="00B46B5F">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3D48AF" w:rsidRDefault="00B46B5F">
      <w:pPr>
        <w:ind w:firstLineChars="200" w:firstLine="360"/>
        <w:rPr>
          <w:rFonts w:ascii="黑体" w:eastAsia="黑体" w:hAnsi="黑体"/>
          <w:sz w:val="18"/>
          <w:szCs w:val="18"/>
        </w:rPr>
      </w:pPr>
      <w:r>
        <w:rPr>
          <w:rFonts w:ascii="黑体" w:eastAsia="黑体" w:hAnsi="黑体" w:hint="eastAsia"/>
          <w:sz w:val="18"/>
          <w:szCs w:val="18"/>
        </w:rPr>
        <w:t>（一）投资者投资本产品可能面临的特定风险主要包括（但不限于）：</w:t>
      </w:r>
    </w:p>
    <w:p w:rsidR="003D48AF" w:rsidRDefault="00B46B5F">
      <w:pPr>
        <w:pStyle w:val="aa"/>
        <w:ind w:firstLineChars="0" w:firstLine="448"/>
        <w:rPr>
          <w:rFonts w:ascii="黑体" w:eastAsia="黑体" w:hAnsi="黑体"/>
          <w:sz w:val="18"/>
          <w:szCs w:val="18"/>
        </w:rPr>
      </w:pPr>
      <w:r>
        <w:rPr>
          <w:rFonts w:ascii="黑体" w:eastAsia="黑体" w:hAnsi="黑体" w:hint="eastAsia"/>
          <w:sz w:val="18"/>
          <w:szCs w:val="18"/>
        </w:rPr>
        <w:t>1.</w:t>
      </w:r>
      <w:r>
        <w:rPr>
          <w:rFonts w:ascii="黑体" w:eastAsia="黑体" w:hAnsi="黑体" w:hint="eastAsia"/>
          <w:sz w:val="18"/>
          <w:szCs w:val="18"/>
        </w:rPr>
        <w:t>拟投资市场和资产的风险：</w:t>
      </w:r>
    </w:p>
    <w:p w:rsidR="003D48AF" w:rsidRDefault="00B46B5F">
      <w:pPr>
        <w:pStyle w:val="aa"/>
        <w:ind w:firstLineChars="0"/>
        <w:rPr>
          <w:rFonts w:ascii="宋体" w:hAnsi="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sz w:val="18"/>
          <w:szCs w:val="18"/>
        </w:rPr>
        <w:t>）投资固定收益类资产的风险</w:t>
      </w:r>
    </w:p>
    <w:p w:rsidR="003D48AF" w:rsidRDefault="00B46B5F">
      <w:pPr>
        <w:pStyle w:val="aa"/>
        <w:ind w:firstLineChars="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投资</w:t>
      </w:r>
      <w:r>
        <w:rPr>
          <w:rFonts w:ascii="宋体" w:hAnsi="宋体" w:hint="eastAsia"/>
          <w:sz w:val="18"/>
          <w:szCs w:val="18"/>
        </w:rPr>
        <w:t>标准化</w:t>
      </w:r>
      <w:r>
        <w:rPr>
          <w:rFonts w:ascii="宋体" w:hAnsi="宋体"/>
          <w:sz w:val="18"/>
          <w:szCs w:val="18"/>
        </w:rPr>
        <w:t>债权类资产的风险</w:t>
      </w:r>
    </w:p>
    <w:p w:rsidR="003D48AF" w:rsidRDefault="00B46B5F">
      <w:pPr>
        <w:pStyle w:val="aa"/>
        <w:ind w:firstLineChars="0"/>
        <w:rPr>
          <w:rFonts w:ascii="宋体" w:hAnsi="宋体"/>
          <w:sz w:val="18"/>
          <w:szCs w:val="18"/>
        </w:rPr>
      </w:pPr>
      <w:r>
        <w:rPr>
          <w:rFonts w:ascii="宋体" w:hAnsi="宋体"/>
          <w:sz w:val="18"/>
          <w:szCs w:val="18"/>
        </w:rPr>
        <w:t>本产品投资债券</w:t>
      </w:r>
      <w:r>
        <w:rPr>
          <w:rFonts w:ascii="宋体" w:hAnsi="宋体" w:hint="eastAsia"/>
          <w:sz w:val="18"/>
          <w:szCs w:val="18"/>
        </w:rPr>
        <w:t>、资产支持证券等固定收益类资产时可能面临以下风险：</w:t>
      </w:r>
      <w:r>
        <w:rPr>
          <w:rFonts w:ascii="宋体" w:hAnsi="宋体"/>
          <w:sz w:val="18"/>
          <w:szCs w:val="18"/>
        </w:rPr>
        <w:t>国家政策、经济周期、利率、汇率等因素可</w:t>
      </w:r>
      <w:r>
        <w:rPr>
          <w:rFonts w:ascii="宋体" w:hAnsi="宋体"/>
          <w:sz w:val="18"/>
          <w:szCs w:val="18"/>
        </w:rPr>
        <w:t>能发生的变化导致的市场风险；债券发行人的经营状况、信用质量降低等可能发生的变化导致的信用风险；可能因市场成交量不足、缺乏交易对手导致的流动性风险等。</w:t>
      </w:r>
    </w:p>
    <w:p w:rsidR="003D48AF" w:rsidRDefault="00B46B5F">
      <w:pPr>
        <w:pStyle w:val="aa"/>
        <w:ind w:firstLineChars="0"/>
        <w:rPr>
          <w:rFonts w:ascii="宋体" w:hAnsi="宋体"/>
          <w:sz w:val="18"/>
          <w:szCs w:val="18"/>
        </w:rPr>
      </w:pPr>
      <w:r>
        <w:rPr>
          <w:rFonts w:ascii="宋体" w:hAnsi="宋体"/>
          <w:sz w:val="18"/>
          <w:szCs w:val="18"/>
        </w:rPr>
        <w:t>2</w:t>
      </w:r>
      <w:r>
        <w:rPr>
          <w:rFonts w:ascii="宋体" w:hAnsi="宋体"/>
          <w:sz w:val="18"/>
          <w:szCs w:val="18"/>
        </w:rPr>
        <w:t>）投资非标准化债权类资产</w:t>
      </w:r>
      <w:r>
        <w:rPr>
          <w:rFonts w:ascii="宋体" w:hAnsi="宋体" w:hint="eastAsia"/>
          <w:sz w:val="18"/>
          <w:szCs w:val="18"/>
        </w:rPr>
        <w:t>的</w:t>
      </w:r>
      <w:r>
        <w:rPr>
          <w:rFonts w:ascii="宋体" w:hAnsi="宋体"/>
          <w:sz w:val="18"/>
          <w:szCs w:val="18"/>
        </w:rPr>
        <w:t>风险</w:t>
      </w:r>
    </w:p>
    <w:p w:rsidR="003D48AF" w:rsidRDefault="00B46B5F">
      <w:pPr>
        <w:pStyle w:val="aa"/>
        <w:ind w:firstLineChars="0"/>
        <w:rPr>
          <w:rFonts w:ascii="宋体" w:hAnsi="宋体"/>
          <w:sz w:val="18"/>
          <w:szCs w:val="18"/>
        </w:rPr>
      </w:pPr>
      <w:r>
        <w:rPr>
          <w:rFonts w:ascii="宋体" w:hAnsi="宋体" w:hint="eastAsia"/>
          <w:sz w:val="18"/>
          <w:szCs w:val="18"/>
        </w:rPr>
        <w:t>本产品投资非标债权类资产时可能面临以下风险：由于融资主体</w:t>
      </w:r>
      <w:r>
        <w:rPr>
          <w:rFonts w:ascii="宋体" w:hAnsi="宋体" w:hint="eastAsia"/>
          <w:sz w:val="18"/>
          <w:szCs w:val="18"/>
        </w:rPr>
        <w:t>/</w:t>
      </w:r>
      <w:r>
        <w:rPr>
          <w:rFonts w:ascii="宋体" w:hAnsi="宋体" w:hint="eastAsia"/>
          <w:sz w:val="18"/>
          <w:szCs w:val="18"/>
        </w:rPr>
        <w:t>增信主体</w:t>
      </w:r>
      <w:r>
        <w:rPr>
          <w:rFonts w:ascii="宋体" w:hAnsi="宋体" w:hint="eastAsia"/>
          <w:sz w:val="18"/>
          <w:szCs w:val="18"/>
        </w:rPr>
        <w:t>/</w:t>
      </w:r>
      <w:r>
        <w:rPr>
          <w:rFonts w:ascii="宋体" w:hAnsi="宋体" w:hint="eastAsia"/>
          <w:sz w:val="18"/>
          <w:szCs w:val="18"/>
        </w:rPr>
        <w:t>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w:t>
      </w:r>
      <w:r>
        <w:rPr>
          <w:rFonts w:ascii="宋体" w:hAnsi="宋体" w:hint="eastAsia"/>
          <w:sz w:val="18"/>
          <w:szCs w:val="18"/>
        </w:rPr>
        <w:t>中登记和独立托管、缺乏公允性定价和流动机制不完善、未在银行间市场、证券交易所市场等国务院同意设立的交易市场交易等原因，从而缺乏交易对手，导致流动性风险等。</w:t>
      </w:r>
    </w:p>
    <w:p w:rsidR="003D48AF" w:rsidRDefault="00B46B5F">
      <w:pPr>
        <w:pStyle w:val="aa"/>
        <w:ind w:firstLineChars="0"/>
        <w:rPr>
          <w:rFonts w:ascii="宋体" w:hAnsi="宋体"/>
          <w:sz w:val="18"/>
          <w:szCs w:val="18"/>
        </w:rPr>
      </w:pPr>
      <w:r>
        <w:rPr>
          <w:rFonts w:ascii="宋体" w:hAnsi="宋体" w:hint="eastAsia"/>
          <w:sz w:val="18"/>
          <w:szCs w:val="18"/>
        </w:rPr>
        <w:t>（</w:t>
      </w:r>
      <w:r>
        <w:rPr>
          <w:rFonts w:ascii="宋体" w:hAnsi="宋体" w:hint="eastAsia"/>
          <w:sz w:val="18"/>
          <w:szCs w:val="18"/>
        </w:rPr>
        <w:t>2</w:t>
      </w:r>
      <w:r>
        <w:rPr>
          <w:rFonts w:ascii="宋体" w:hAnsi="宋体" w:hint="eastAsia"/>
          <w:sz w:val="18"/>
          <w:szCs w:val="18"/>
        </w:rPr>
        <w:t>）投资</w:t>
      </w:r>
      <w:r>
        <w:rPr>
          <w:rFonts w:ascii="宋体" w:hAnsi="宋体"/>
          <w:sz w:val="18"/>
          <w:szCs w:val="18"/>
        </w:rPr>
        <w:t>权益类资产</w:t>
      </w:r>
      <w:r>
        <w:rPr>
          <w:rFonts w:ascii="宋体" w:hAnsi="宋体" w:hint="eastAsia"/>
          <w:sz w:val="18"/>
          <w:szCs w:val="18"/>
        </w:rPr>
        <w:t>的</w:t>
      </w:r>
      <w:r>
        <w:rPr>
          <w:rFonts w:ascii="宋体" w:hAnsi="宋体"/>
          <w:sz w:val="18"/>
          <w:szCs w:val="18"/>
        </w:rPr>
        <w:t>风险</w:t>
      </w:r>
    </w:p>
    <w:p w:rsidR="003D48AF" w:rsidRDefault="00B46B5F">
      <w:pPr>
        <w:pStyle w:val="aa"/>
        <w:ind w:firstLineChars="0"/>
        <w:rPr>
          <w:rFonts w:ascii="宋体" w:hAnsi="宋体"/>
          <w:sz w:val="18"/>
          <w:szCs w:val="18"/>
        </w:rPr>
      </w:pPr>
      <w:r>
        <w:rPr>
          <w:rFonts w:ascii="宋体" w:hAnsi="宋体" w:hint="eastAsia"/>
          <w:sz w:val="18"/>
          <w:szCs w:val="18"/>
        </w:rPr>
        <w:t>1</w:t>
      </w:r>
      <w:r>
        <w:rPr>
          <w:rFonts w:ascii="宋体" w:hAnsi="宋体" w:hint="eastAsia"/>
          <w:sz w:val="18"/>
          <w:szCs w:val="18"/>
        </w:rPr>
        <w:t>）投资股票类资产的风险</w:t>
      </w:r>
    </w:p>
    <w:p w:rsidR="003D48AF" w:rsidRDefault="00B46B5F">
      <w:pPr>
        <w:pStyle w:val="aa"/>
        <w:ind w:firstLineChars="0"/>
        <w:rPr>
          <w:rFonts w:ascii="宋体" w:hAnsi="宋体"/>
          <w:sz w:val="18"/>
          <w:szCs w:val="18"/>
        </w:rPr>
      </w:pPr>
      <w:r>
        <w:rPr>
          <w:rFonts w:ascii="宋体" w:hAnsi="宋体"/>
          <w:sz w:val="18"/>
          <w:szCs w:val="18"/>
        </w:rPr>
        <w:t>本产品投资股票类资产时可能面临以下风险</w:t>
      </w:r>
      <w:r>
        <w:rPr>
          <w:rFonts w:ascii="宋体" w:hAnsi="宋体" w:hint="eastAsia"/>
          <w:sz w:val="18"/>
          <w:szCs w:val="18"/>
        </w:rPr>
        <w:t>：</w:t>
      </w:r>
      <w:r>
        <w:rPr>
          <w:rFonts w:ascii="宋体" w:hAnsi="宋体"/>
          <w:sz w:val="18"/>
          <w:szCs w:val="18"/>
        </w:rPr>
        <w:t>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rsidR="003D48AF" w:rsidRDefault="00B46B5F">
      <w:pPr>
        <w:pStyle w:val="aa"/>
        <w:ind w:firstLineChars="0"/>
        <w:rPr>
          <w:rFonts w:ascii="宋体" w:hAnsi="宋体"/>
          <w:sz w:val="18"/>
          <w:szCs w:val="18"/>
        </w:rPr>
      </w:pPr>
      <w:r>
        <w:rPr>
          <w:rFonts w:ascii="宋体" w:hAnsi="宋体" w:hint="eastAsia"/>
          <w:sz w:val="18"/>
          <w:szCs w:val="18"/>
        </w:rPr>
        <w:t>2</w:t>
      </w:r>
      <w:r>
        <w:rPr>
          <w:rFonts w:ascii="宋体" w:hAnsi="宋体" w:hint="eastAsia"/>
          <w:sz w:val="18"/>
          <w:szCs w:val="18"/>
        </w:rPr>
        <w:t>）投资股权类资产的风险</w:t>
      </w:r>
    </w:p>
    <w:p w:rsidR="003D48AF" w:rsidRDefault="00B46B5F">
      <w:pPr>
        <w:rPr>
          <w:rFonts w:ascii="宋体" w:hAnsi="宋体"/>
          <w:sz w:val="18"/>
          <w:szCs w:val="18"/>
        </w:rPr>
      </w:pPr>
      <w:r>
        <w:rPr>
          <w:rFonts w:ascii="宋体" w:hAnsi="宋体"/>
          <w:sz w:val="18"/>
          <w:szCs w:val="18"/>
        </w:rPr>
        <w:t>本产品投资未上市股权类资产时可能面临以下风险</w:t>
      </w:r>
      <w:r>
        <w:rPr>
          <w:rFonts w:ascii="宋体" w:hAnsi="宋体" w:hint="eastAsia"/>
          <w:sz w:val="18"/>
          <w:szCs w:val="18"/>
        </w:rPr>
        <w:t>：</w:t>
      </w:r>
      <w:r>
        <w:rPr>
          <w:rFonts w:ascii="宋体" w:hAnsi="宋体"/>
          <w:sz w:val="18"/>
          <w:szCs w:val="18"/>
        </w:rPr>
        <w:t>国家政策、经济周期、行业政策</w:t>
      </w:r>
      <w:r>
        <w:rPr>
          <w:rFonts w:ascii="宋体" w:hAnsi="宋体" w:hint="eastAsia"/>
          <w:sz w:val="18"/>
          <w:szCs w:val="18"/>
        </w:rPr>
        <w:t>等因素可能发生变化导致的市场风险；</w:t>
      </w:r>
      <w:r>
        <w:rPr>
          <w:rFonts w:ascii="宋体" w:hAnsi="宋体"/>
          <w:sz w:val="18"/>
          <w:szCs w:val="18"/>
        </w:rPr>
        <w:t>因市场、技术、竞争、管理、财务等导致公司盈利发生变化，其</w:t>
      </w:r>
      <w:r>
        <w:rPr>
          <w:rFonts w:ascii="宋体" w:hAnsi="宋体" w:hint="eastAsia"/>
          <w:sz w:val="18"/>
          <w:szCs w:val="18"/>
        </w:rPr>
        <w:t>股权</w:t>
      </w:r>
      <w:r>
        <w:rPr>
          <w:rFonts w:ascii="宋体" w:hAnsi="宋体"/>
          <w:sz w:val="18"/>
          <w:szCs w:val="18"/>
        </w:rPr>
        <w:t>价值可能下跌，影响投资者收益</w:t>
      </w:r>
      <w:r>
        <w:rPr>
          <w:rFonts w:ascii="宋体" w:hAnsi="宋体" w:hint="eastAsia"/>
          <w:sz w:val="18"/>
          <w:szCs w:val="18"/>
        </w:rPr>
        <w:t>；</w:t>
      </w:r>
      <w:r>
        <w:rPr>
          <w:rFonts w:ascii="宋体" w:hAnsi="宋体"/>
          <w:sz w:val="18"/>
          <w:szCs w:val="18"/>
        </w:rPr>
        <w:t>因股权未上市或存在相关限制股权转让的协议导致的流动性风险等</w:t>
      </w:r>
      <w:r>
        <w:rPr>
          <w:rFonts w:ascii="宋体" w:hAnsi="宋体" w:hint="eastAsia"/>
          <w:sz w:val="18"/>
          <w:szCs w:val="18"/>
        </w:rPr>
        <w:t>。</w:t>
      </w:r>
    </w:p>
    <w:p w:rsidR="003D48AF" w:rsidRDefault="00B46B5F">
      <w:pPr>
        <w:pStyle w:val="aa"/>
        <w:ind w:firstLineChars="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sz w:val="18"/>
          <w:szCs w:val="18"/>
        </w:rPr>
        <w:t>）投资商品和金融衍生品类资产</w:t>
      </w:r>
      <w:r>
        <w:rPr>
          <w:rFonts w:ascii="宋体" w:hAnsi="宋体" w:hint="eastAsia"/>
          <w:sz w:val="18"/>
          <w:szCs w:val="18"/>
        </w:rPr>
        <w:t>的</w:t>
      </w:r>
      <w:r>
        <w:rPr>
          <w:rFonts w:ascii="宋体" w:hAnsi="宋体"/>
          <w:sz w:val="18"/>
          <w:szCs w:val="18"/>
        </w:rPr>
        <w:t>风险</w:t>
      </w:r>
    </w:p>
    <w:p w:rsidR="003D48AF" w:rsidRDefault="00B46B5F">
      <w:pPr>
        <w:pStyle w:val="aa"/>
        <w:ind w:firstLineChars="0"/>
        <w:rPr>
          <w:rFonts w:ascii="宋体" w:hAnsi="宋体"/>
          <w:sz w:val="18"/>
          <w:szCs w:val="18"/>
        </w:rPr>
      </w:pPr>
      <w:r>
        <w:rPr>
          <w:rFonts w:ascii="宋体" w:hAnsi="宋体"/>
          <w:sz w:val="18"/>
          <w:szCs w:val="18"/>
        </w:rPr>
        <w:t>本产品投资商品和金融衍生品类资产时</w:t>
      </w:r>
      <w:r>
        <w:rPr>
          <w:rFonts w:ascii="宋体" w:hAnsi="宋体" w:hint="eastAsia"/>
          <w:sz w:val="18"/>
          <w:szCs w:val="18"/>
        </w:rPr>
        <w:t>可能面临以下风险：该衍生品资产</w:t>
      </w:r>
      <w:r>
        <w:rPr>
          <w:rFonts w:ascii="宋体" w:hAnsi="宋体"/>
          <w:sz w:val="18"/>
          <w:szCs w:val="18"/>
        </w:rPr>
        <w:t>可能实行保证金交易制度，具有高杠杆性，高杠杆效应放大了价格波动风险；若本产品运作中出现基差</w:t>
      </w:r>
      <w:r>
        <w:rPr>
          <w:rFonts w:ascii="宋体" w:hAnsi="宋体" w:hint="eastAsia"/>
          <w:sz w:val="18"/>
          <w:szCs w:val="18"/>
        </w:rPr>
        <w:t>（注：</w:t>
      </w:r>
      <w:r>
        <w:rPr>
          <w:rFonts w:ascii="宋体" w:hAnsi="宋体"/>
          <w:sz w:val="18"/>
          <w:szCs w:val="18"/>
        </w:rPr>
        <w:t>基差是指现货价格与期货价格</w:t>
      </w:r>
      <w:r>
        <w:rPr>
          <w:rFonts w:ascii="宋体" w:hAnsi="宋体"/>
          <w:sz w:val="18"/>
          <w:szCs w:val="18"/>
        </w:rPr>
        <w:t>之间的差额</w:t>
      </w:r>
      <w:r>
        <w:rPr>
          <w:rFonts w:ascii="宋体" w:hAnsi="宋体" w:hint="eastAsia"/>
          <w:sz w:val="18"/>
          <w:szCs w:val="18"/>
        </w:rPr>
        <w:t>）</w:t>
      </w:r>
      <w:r>
        <w:rPr>
          <w:rFonts w:ascii="宋体" w:hAnsi="宋体"/>
          <w:sz w:val="18"/>
          <w:szCs w:val="18"/>
        </w:rPr>
        <w:t>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3D48AF" w:rsidRDefault="00B46B5F">
      <w:pPr>
        <w:pStyle w:val="aa"/>
        <w:ind w:firstLine="361"/>
        <w:rPr>
          <w:rFonts w:ascii="黑体" w:eastAsia="黑体" w:hAnsi="黑体"/>
          <w:sz w:val="18"/>
          <w:szCs w:val="18"/>
        </w:rPr>
      </w:pPr>
      <w:r>
        <w:rPr>
          <w:rFonts w:ascii="黑体" w:eastAsia="黑体" w:hAnsi="黑体" w:cs="仿宋_GB2312" w:hint="eastAsia"/>
          <w:b/>
          <w:kern w:val="0"/>
          <w:sz w:val="18"/>
          <w:szCs w:val="18"/>
        </w:rPr>
        <w:t>★</w:t>
      </w:r>
      <w:r>
        <w:rPr>
          <w:rFonts w:ascii="黑体" w:eastAsia="黑体" w:hAnsi="黑体" w:hint="eastAsia"/>
          <w:sz w:val="18"/>
          <w:szCs w:val="18"/>
        </w:rPr>
        <w:t>注：以上特定风险仅为列举性质，未能详尽列明投资本产品可能面临的全部风险和可能导致投资者投资本金及收益损失的所有因素。</w:t>
      </w:r>
      <w:r>
        <w:rPr>
          <w:rFonts w:ascii="黑体" w:eastAsia="黑体" w:hAnsi="黑体" w:hint="eastAsia"/>
          <w:sz w:val="18"/>
          <w:szCs w:val="18"/>
        </w:rPr>
        <w:t xml:space="preserve">  </w:t>
      </w:r>
    </w:p>
    <w:p w:rsidR="003D48AF" w:rsidRDefault="00B46B5F">
      <w:pPr>
        <w:pStyle w:val="aa"/>
        <w:ind w:firstLineChars="0" w:firstLine="426"/>
        <w:rPr>
          <w:rFonts w:ascii="宋体" w:hAnsi="宋体"/>
          <w:sz w:val="18"/>
          <w:szCs w:val="18"/>
        </w:rPr>
      </w:pPr>
      <w:r>
        <w:rPr>
          <w:rFonts w:ascii="宋体" w:hAnsi="宋体" w:hint="eastAsia"/>
          <w:sz w:val="18"/>
          <w:szCs w:val="18"/>
        </w:rPr>
        <w:t>（二）投资者投资本产品可能面临的一般风险主要包括（但不限于）：</w:t>
      </w:r>
      <w:r>
        <w:rPr>
          <w:rFonts w:ascii="宋体" w:hAnsi="宋体" w:hint="eastAsia"/>
          <w:sz w:val="18"/>
          <w:szCs w:val="18"/>
        </w:rPr>
        <w:t xml:space="preserve"> </w:t>
      </w:r>
    </w:p>
    <w:p w:rsidR="003D48AF" w:rsidRDefault="00B46B5F">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3D48AF" w:rsidRDefault="00B46B5F">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3D48AF" w:rsidRDefault="00B46B5F">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3D48AF" w:rsidRDefault="00B46B5F">
      <w:pPr>
        <w:pStyle w:val="aa"/>
        <w:ind w:firstLineChars="0" w:firstLine="426"/>
        <w:rPr>
          <w:rFonts w:ascii="宋体" w:hAnsi="宋体" w:cs="仿宋_GB2312"/>
          <w:bCs/>
          <w:kern w:val="0"/>
          <w:sz w:val="18"/>
          <w:szCs w:val="18"/>
        </w:rPr>
      </w:pPr>
      <w:r>
        <w:rPr>
          <w:rFonts w:ascii="宋体" w:hAnsi="宋体" w:cs="仿宋_GB2312" w:hint="eastAsia"/>
          <w:b/>
          <w:kern w:val="0"/>
          <w:sz w:val="18"/>
          <w:szCs w:val="18"/>
        </w:rPr>
        <w:t>4.</w:t>
      </w:r>
      <w:r>
        <w:rPr>
          <w:rFonts w:ascii="宋体" w:hAnsi="宋体" w:cs="仿宋_GB2312" w:hint="eastAsia"/>
          <w:b/>
          <w:kern w:val="0"/>
          <w:sz w:val="18"/>
          <w:szCs w:val="18"/>
        </w:rPr>
        <w:t>流动性风险：</w:t>
      </w:r>
      <w:r>
        <w:rPr>
          <w:rFonts w:ascii="宋体" w:hAnsi="宋体" w:cs="仿宋_GB2312" w:hint="eastAsia"/>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w:t>
      </w:r>
      <w:r>
        <w:rPr>
          <w:rFonts w:ascii="宋体" w:hAnsi="宋体" w:cs="仿宋_GB2312" w:hint="eastAsia"/>
          <w:bCs/>
          <w:kern w:val="0"/>
          <w:sz w:val="18"/>
          <w:szCs w:val="18"/>
        </w:rPr>
        <w:lastRenderedPageBreak/>
        <w:t>赎回、暂停交易、缺乏意愿交易对手等原因，出现特定投</w:t>
      </w:r>
      <w:r>
        <w:rPr>
          <w:rFonts w:ascii="宋体" w:hAnsi="宋体" w:cs="仿宋_GB2312" w:hint="eastAsia"/>
          <w:bCs/>
          <w:kern w:val="0"/>
          <w:sz w:val="18"/>
          <w:szCs w:val="18"/>
        </w:rPr>
        <w:t>资标的流动性较差的情况下时，可能导致本产品的投资组合存在无法及时变现及其他流动性风险。</w:t>
      </w:r>
    </w:p>
    <w:p w:rsidR="003D48AF" w:rsidRDefault="00B46B5F">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3D48AF" w:rsidRDefault="00B46B5F">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3D48AF" w:rsidRDefault="00B46B5F">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w:t>
      </w:r>
      <w:r>
        <w:rPr>
          <w:rFonts w:ascii="宋体" w:hAnsi="宋体" w:cs="仿宋_GB2312" w:hint="eastAsia"/>
          <w:kern w:val="0"/>
          <w:sz w:val="18"/>
          <w:szCs w:val="18"/>
        </w:rPr>
        <w:t>止、或者司法机关要求、或发生其他产品管理人认为需要提前终止本产品等情况，产品管理人有权部分或全部提前终止本产品，投资者将面临再投资机会风险。</w:t>
      </w:r>
    </w:p>
    <w:p w:rsidR="003D48AF" w:rsidRDefault="00B46B5F">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w:t>
      </w:r>
      <w:r>
        <w:rPr>
          <w:rFonts w:ascii="宋体" w:hAnsi="宋体" w:cs="仿宋_GB2312"/>
          <w:kern w:val="0"/>
          <w:sz w:val="18"/>
          <w:szCs w:val="18"/>
        </w:rPr>
        <w:t>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3D48AF" w:rsidRDefault="00B46B5F">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3D48AF" w:rsidRDefault="00B46B5F">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理财产品管理人或理财投资资产相关服务机构受经验、技能等因素的限制，或者上述主体处理事务不当等，可能导致投资者遭受损失。</w:t>
      </w:r>
    </w:p>
    <w:p w:rsidR="003D48AF" w:rsidRDefault="00B46B5F">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3D48AF" w:rsidRDefault="00B46B5F">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3D48AF" w:rsidRDefault="00B46B5F">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w:t>
      </w:r>
      <w:r>
        <w:rPr>
          <w:rFonts w:asciiTheme="majorEastAsia" w:eastAsiaTheme="majorEastAsia" w:hAnsiTheme="majorEastAsia" w:hint="eastAsia"/>
          <w:bCs/>
          <w:color w:val="000000" w:themeColor="text1"/>
          <w:kern w:val="0"/>
          <w:sz w:val="18"/>
          <w:szCs w:val="18"/>
        </w:rPr>
        <w:t>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3D48AF" w:rsidRDefault="00B46B5F">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3D48AF" w:rsidRDefault="00B46B5F">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3D48AF" w:rsidRDefault="00B46B5F">
      <w:pPr>
        <w:pStyle w:val="aa"/>
        <w:ind w:firstLineChars="0"/>
        <w:rPr>
          <w:rFonts w:ascii="黑体" w:eastAsia="黑体" w:hAnsi="黑体" w:cs="仿宋_GB2312"/>
          <w:kern w:val="0"/>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w:t>
      </w:r>
      <w:r>
        <w:rPr>
          <w:rFonts w:ascii="黑体" w:eastAsia="黑体" w:hAnsi="黑体" w:hint="eastAsia"/>
          <w:sz w:val="18"/>
          <w:szCs w:val="18"/>
        </w:rPr>
        <w:t>收费方式、</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w:t>
      </w:r>
      <w:r>
        <w:rPr>
          <w:rFonts w:ascii="黑体" w:eastAsia="黑体" w:hAnsi="黑体" w:cs="仿宋_GB2312" w:hint="eastAsia"/>
          <w:kern w:val="0"/>
          <w:sz w:val="18"/>
          <w:szCs w:val="18"/>
        </w:rPr>
        <w:t>赎回的数量限制、</w:t>
      </w:r>
      <w:r>
        <w:rPr>
          <w:rFonts w:ascii="黑体" w:eastAsia="黑体" w:hAnsi="黑体" w:hint="eastAsia"/>
          <w:sz w:val="18"/>
          <w:szCs w:val="18"/>
        </w:rPr>
        <w:t>投资者持有本产品的最高限额最低限额、</w:t>
      </w:r>
      <w:r>
        <w:rPr>
          <w:rFonts w:ascii="黑体" w:eastAsia="黑体" w:hAnsi="黑体" w:cs="仿宋_GB2312" w:hint="eastAsia"/>
          <w:kern w:val="0"/>
          <w:sz w:val="18"/>
          <w:szCs w:val="18"/>
        </w:rPr>
        <w:t>计算和公告产品份额净值方面存在差异。</w:t>
      </w:r>
    </w:p>
    <w:p w:rsidR="003D48AF" w:rsidRDefault="00B46B5F">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w:t>
      </w:r>
      <w:r>
        <w:rPr>
          <w:rFonts w:ascii="黑体" w:eastAsia="黑体" w:hAnsi="黑体" w:hint="eastAsia"/>
          <w:sz w:val="18"/>
          <w:szCs w:val="18"/>
          <w:u w:val="single"/>
        </w:rPr>
        <w:lastRenderedPageBreak/>
        <w:t>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3D48AF" w:rsidRDefault="00B46B5F">
      <w:pPr>
        <w:autoSpaceDE w:val="0"/>
        <w:autoSpaceDN w:val="0"/>
        <w:adjustRightInd w:val="0"/>
        <w:ind w:firstLine="420"/>
        <w:jc w:val="left"/>
        <w:rPr>
          <w:rFonts w:ascii="黑体" w:eastAsia="黑体" w:hAnsi="黑体"/>
          <w:b/>
          <w:sz w:val="18"/>
          <w:szCs w:val="18"/>
        </w:rPr>
      </w:pPr>
      <w:r>
        <w:rPr>
          <w:rFonts w:ascii="黑体" w:eastAsia="黑体" w:hAnsi="黑体" w:cs="仿宋_GB2312" w:hint="eastAsia"/>
          <w:b/>
          <w:kern w:val="0"/>
          <w:sz w:val="18"/>
          <w:szCs w:val="18"/>
        </w:rPr>
        <w:t>（三）</w:t>
      </w:r>
      <w:r>
        <w:rPr>
          <w:rFonts w:hAnsi="宋体" w:hint="eastAsia"/>
          <w:b/>
          <w:sz w:val="18"/>
          <w:szCs w:val="18"/>
        </w:rPr>
        <w:t>★</w:t>
      </w:r>
      <w:r>
        <w:rPr>
          <w:rFonts w:ascii="黑体" w:eastAsia="黑体" w:hAnsi="黑体" w:cs="仿宋_GB2312" w:hint="eastAsia"/>
          <w:b/>
          <w:kern w:val="0"/>
          <w:sz w:val="18"/>
          <w:szCs w:val="18"/>
        </w:rPr>
        <w:t>最不利投资情形下的投资结果示例：</w:t>
      </w:r>
      <w:r>
        <w:rPr>
          <w:rFonts w:ascii="黑体" w:eastAsia="黑体" w:hAnsi="黑体" w:hint="eastAsia"/>
          <w:b/>
          <w:bCs/>
          <w:sz w:val="18"/>
          <w:szCs w:val="18"/>
        </w:rPr>
        <w:t>产品管理人对本产品的理财本金和收益不提供保证承诺，</w:t>
      </w:r>
      <w:r>
        <w:rPr>
          <w:rFonts w:ascii="黑体" w:eastAsia="黑体" w:hAnsi="黑体" w:hint="eastAsia"/>
          <w:b/>
          <w:sz w:val="18"/>
          <w:szCs w:val="18"/>
        </w:rPr>
        <w:t>若理财产品运作期间，该理财产品投资标的出现风险，则投资者可能无法获得理财收益</w:t>
      </w:r>
      <w:r>
        <w:rPr>
          <w:rFonts w:ascii="黑体" w:eastAsia="黑体" w:hAnsi="黑体"/>
          <w:b/>
          <w:sz w:val="18"/>
          <w:szCs w:val="18"/>
        </w:rPr>
        <w:t>，甚至投资者的投资本金将遭受损失，在最不利的极端情况下，投资者可能损失全部本金。</w:t>
      </w:r>
    </w:p>
    <w:p w:rsidR="003D48AF" w:rsidRDefault="00B46B5F">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3D48AF" w:rsidRDefault="003D48AF">
      <w:pPr>
        <w:ind w:left="540"/>
        <w:jc w:val="right"/>
        <w:rPr>
          <w:rFonts w:ascii="宋体" w:hAnsi="宋体"/>
          <w:sz w:val="18"/>
          <w:szCs w:val="18"/>
        </w:rPr>
      </w:pPr>
    </w:p>
    <w:p w:rsidR="003D48AF" w:rsidRDefault="00B46B5F">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3D48AF" w:rsidRDefault="00B46B5F">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3D48AF" w:rsidRDefault="00B46B5F">
      <w:pPr>
        <w:widowControl/>
        <w:jc w:val="left"/>
        <w:rPr>
          <w:rFonts w:ascii="宋体" w:hAnsi="宋体"/>
          <w:sz w:val="18"/>
          <w:szCs w:val="18"/>
        </w:rPr>
      </w:pPr>
      <w:r>
        <w:rPr>
          <w:rFonts w:ascii="宋体" w:hAnsi="宋体"/>
          <w:sz w:val="18"/>
          <w:szCs w:val="18"/>
        </w:rPr>
        <w:br w:type="page"/>
      </w:r>
    </w:p>
    <w:p w:rsidR="003D48AF" w:rsidRDefault="003D48AF">
      <w:pPr>
        <w:ind w:left="540"/>
        <w:jc w:val="right"/>
        <w:rPr>
          <w:rFonts w:ascii="宋体" w:hAnsi="宋体"/>
          <w:sz w:val="18"/>
          <w:szCs w:val="18"/>
        </w:rPr>
      </w:pPr>
    </w:p>
    <w:p w:rsidR="003D48AF" w:rsidRDefault="003D48AF">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3D48AF">
        <w:trPr>
          <w:trHeight w:val="627"/>
        </w:trPr>
        <w:tc>
          <w:tcPr>
            <w:tcW w:w="8371" w:type="dxa"/>
          </w:tcPr>
          <w:p w:rsidR="003D48AF" w:rsidRDefault="00B46B5F">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3D48AF" w:rsidRDefault="00B46B5F">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3D48AF">
        <w:trPr>
          <w:trHeight w:val="6283"/>
        </w:trPr>
        <w:tc>
          <w:tcPr>
            <w:tcW w:w="8371" w:type="dxa"/>
          </w:tcPr>
          <w:p w:rsidR="003D48AF" w:rsidRDefault="00B46B5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3D48AF" w:rsidRDefault="003D48AF">
            <w:pPr>
              <w:spacing w:line="280" w:lineRule="atLeast"/>
              <w:jc w:val="left"/>
              <w:rPr>
                <w:rFonts w:ascii="宋体" w:hAnsi="宋体" w:cs="Arial"/>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kern w:val="0"/>
                <w:sz w:val="18"/>
                <w:szCs w:val="18"/>
                <w:u w:val="single"/>
              </w:rPr>
            </w:pPr>
            <w:r>
              <w:rPr>
                <w:rFonts w:ascii="宋体" w:hAnsi="宋体" w:cs="Arial" w:hint="eastAsia"/>
                <w:kern w:val="0"/>
                <w:sz w:val="18"/>
                <w:szCs w:val="18"/>
              </w:rPr>
              <w:t>请投资者在此抄录：</w:t>
            </w:r>
          </w:p>
          <w:p w:rsidR="003D48AF" w:rsidRDefault="003D48AF">
            <w:pPr>
              <w:spacing w:line="280" w:lineRule="atLeast"/>
              <w:jc w:val="left"/>
              <w:rPr>
                <w:kern w:val="0"/>
                <w:sz w:val="18"/>
                <w:szCs w:val="18"/>
                <w:u w:val="single"/>
              </w:rPr>
            </w:pPr>
          </w:p>
          <w:p w:rsidR="003D48AF" w:rsidRDefault="00B46B5F">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3D48AF" w:rsidRDefault="003D48AF">
            <w:pPr>
              <w:spacing w:line="280" w:lineRule="atLeast"/>
              <w:ind w:left="4200" w:firstLineChars="600" w:firstLine="1080"/>
              <w:jc w:val="left"/>
              <w:rPr>
                <w:rFonts w:ascii="宋体" w:hAnsi="宋体" w:cs="Arial"/>
                <w:kern w:val="0"/>
                <w:sz w:val="18"/>
                <w:szCs w:val="18"/>
              </w:rPr>
            </w:pPr>
          </w:p>
          <w:p w:rsidR="003D48AF" w:rsidRDefault="00B46B5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D48AF" w:rsidRDefault="003D48AF">
            <w:pPr>
              <w:spacing w:line="280" w:lineRule="atLeast"/>
              <w:ind w:left="4200" w:firstLineChars="600" w:firstLine="1080"/>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3D48AF" w:rsidRDefault="003D48AF">
            <w:pPr>
              <w:spacing w:line="280" w:lineRule="atLeast"/>
              <w:jc w:val="right"/>
              <w:rPr>
                <w:rFonts w:ascii="宋体" w:hAnsi="宋体"/>
                <w:kern w:val="0"/>
                <w:sz w:val="18"/>
                <w:szCs w:val="18"/>
              </w:rPr>
            </w:pPr>
          </w:p>
        </w:tc>
      </w:tr>
    </w:tbl>
    <w:p w:rsidR="003D48AF" w:rsidRDefault="003D48AF">
      <w:pPr>
        <w:autoSpaceDE w:val="0"/>
        <w:autoSpaceDN w:val="0"/>
        <w:adjustRightInd w:val="0"/>
        <w:spacing w:line="360" w:lineRule="auto"/>
        <w:ind w:firstLine="420"/>
        <w:jc w:val="left"/>
        <w:rPr>
          <w:rFonts w:ascii="宋体" w:hAnsi="宋体"/>
          <w:sz w:val="24"/>
        </w:rPr>
      </w:pPr>
    </w:p>
    <w:p w:rsidR="003D48AF" w:rsidRDefault="003D48AF">
      <w:pPr>
        <w:autoSpaceDE w:val="0"/>
        <w:autoSpaceDN w:val="0"/>
        <w:adjustRightInd w:val="0"/>
        <w:spacing w:line="360" w:lineRule="auto"/>
        <w:ind w:firstLine="420"/>
        <w:jc w:val="left"/>
        <w:rPr>
          <w:rFonts w:ascii="宋体" w:hAnsi="宋体"/>
          <w:sz w:val="24"/>
        </w:rPr>
      </w:pPr>
    </w:p>
    <w:p w:rsidR="003D48AF" w:rsidRDefault="003D48AF">
      <w:pPr>
        <w:autoSpaceDE w:val="0"/>
        <w:autoSpaceDN w:val="0"/>
        <w:adjustRightInd w:val="0"/>
        <w:spacing w:line="360" w:lineRule="auto"/>
        <w:ind w:firstLine="420"/>
        <w:jc w:val="left"/>
        <w:rPr>
          <w:rFonts w:ascii="宋体" w:hAnsi="宋体"/>
          <w:sz w:val="24"/>
        </w:rPr>
      </w:pPr>
    </w:p>
    <w:p w:rsidR="003D48AF" w:rsidRDefault="003D48AF">
      <w:pPr>
        <w:autoSpaceDE w:val="0"/>
        <w:autoSpaceDN w:val="0"/>
        <w:adjustRightInd w:val="0"/>
        <w:spacing w:line="360" w:lineRule="auto"/>
        <w:ind w:firstLine="420"/>
        <w:jc w:val="left"/>
        <w:rPr>
          <w:rFonts w:ascii="宋体" w:hAnsi="宋体"/>
          <w:sz w:val="24"/>
        </w:rPr>
      </w:pPr>
    </w:p>
    <w:p w:rsidR="003D48AF" w:rsidRDefault="003D48AF">
      <w:pPr>
        <w:rPr>
          <w:rFonts w:ascii="宋体" w:hAnsi="宋体" w:cs="Arial"/>
          <w:sz w:val="24"/>
        </w:rPr>
      </w:pPr>
    </w:p>
    <w:p w:rsidR="003D48AF" w:rsidRDefault="003D48AF">
      <w:pPr>
        <w:rPr>
          <w:rFonts w:ascii="宋体" w:hAnsi="宋体" w:cs="Arial"/>
          <w:sz w:val="24"/>
        </w:rPr>
      </w:pPr>
    </w:p>
    <w:p w:rsidR="003D48AF" w:rsidRDefault="003D48AF">
      <w:pPr>
        <w:rPr>
          <w:rFonts w:ascii="宋体" w:hAnsi="宋体" w:cs="Arial"/>
          <w:sz w:val="24"/>
        </w:rPr>
      </w:pPr>
    </w:p>
    <w:p w:rsidR="003D48AF" w:rsidRDefault="003D48AF">
      <w:pPr>
        <w:rPr>
          <w:rFonts w:ascii="宋体" w:hAnsi="宋体" w:cs="Arial"/>
          <w:sz w:val="24"/>
        </w:rPr>
      </w:pPr>
    </w:p>
    <w:p w:rsidR="003D48AF" w:rsidRDefault="003D48AF">
      <w:pPr>
        <w:rPr>
          <w:rFonts w:ascii="宋体" w:hAnsi="宋体" w:cs="Arial"/>
          <w:sz w:val="24"/>
        </w:rPr>
      </w:pPr>
    </w:p>
    <w:p w:rsidR="003D48AF" w:rsidRDefault="003D48AF">
      <w:pPr>
        <w:rPr>
          <w:rFonts w:ascii="宋体" w:hAnsi="宋体" w:cs="Arial"/>
          <w:sz w:val="24"/>
        </w:rPr>
      </w:pPr>
    </w:p>
    <w:p w:rsidR="003D48AF" w:rsidRDefault="00B46B5F">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3D48AF">
        <w:trPr>
          <w:trHeight w:val="823"/>
        </w:trPr>
        <w:tc>
          <w:tcPr>
            <w:tcW w:w="8413" w:type="dxa"/>
          </w:tcPr>
          <w:p w:rsidR="003D48AF" w:rsidRDefault="00B46B5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3D48AF" w:rsidRDefault="00B46B5F">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3D48AF">
        <w:trPr>
          <w:trHeight w:val="7355"/>
        </w:trPr>
        <w:tc>
          <w:tcPr>
            <w:tcW w:w="8413" w:type="dxa"/>
          </w:tcPr>
          <w:p w:rsidR="003D48AF" w:rsidRDefault="00B46B5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3D48AF" w:rsidRDefault="003D48AF">
            <w:pPr>
              <w:spacing w:line="280" w:lineRule="atLeast"/>
              <w:ind w:firstLineChars="200" w:firstLine="360"/>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3D48AF" w:rsidRDefault="003D48AF">
            <w:pPr>
              <w:spacing w:line="280" w:lineRule="atLeast"/>
              <w:ind w:firstLineChars="200" w:firstLine="360"/>
              <w:jc w:val="left"/>
              <w:rPr>
                <w:rFonts w:ascii="宋体" w:hAnsi="宋体" w:cs="Arial"/>
                <w:kern w:val="0"/>
                <w:sz w:val="18"/>
                <w:szCs w:val="18"/>
              </w:rPr>
            </w:pPr>
          </w:p>
          <w:p w:rsidR="003D48AF" w:rsidRDefault="00B46B5F">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3D48AF" w:rsidRDefault="003D48AF">
            <w:pPr>
              <w:spacing w:line="280" w:lineRule="atLeast"/>
              <w:ind w:left="4200" w:firstLineChars="600" w:firstLine="1080"/>
              <w:jc w:val="left"/>
              <w:rPr>
                <w:rFonts w:ascii="宋体" w:hAnsi="宋体" w:cs="Arial"/>
                <w:kern w:val="0"/>
                <w:sz w:val="18"/>
                <w:szCs w:val="18"/>
              </w:rPr>
            </w:pPr>
          </w:p>
          <w:p w:rsidR="003D48AF" w:rsidRDefault="00B46B5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D48AF" w:rsidRDefault="003D48AF">
            <w:pPr>
              <w:spacing w:line="280" w:lineRule="atLeast"/>
              <w:rPr>
                <w:kern w:val="0"/>
                <w:sz w:val="20"/>
                <w:szCs w:val="20"/>
              </w:rPr>
            </w:pPr>
          </w:p>
          <w:p w:rsidR="003D48AF" w:rsidRDefault="00B46B5F">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3D48AF" w:rsidRDefault="00B46B5F">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3D48AF">
        <w:trPr>
          <w:trHeight w:val="673"/>
        </w:trPr>
        <w:tc>
          <w:tcPr>
            <w:tcW w:w="8388" w:type="dxa"/>
          </w:tcPr>
          <w:p w:rsidR="003D48AF" w:rsidRDefault="00B46B5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3D48AF" w:rsidRDefault="00B46B5F">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3D48AF">
        <w:trPr>
          <w:trHeight w:val="6016"/>
        </w:trPr>
        <w:tc>
          <w:tcPr>
            <w:tcW w:w="8388" w:type="dxa"/>
          </w:tcPr>
          <w:p w:rsidR="003D48AF" w:rsidRDefault="00B46B5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3D48AF" w:rsidRDefault="003D48AF">
            <w:pPr>
              <w:spacing w:line="280" w:lineRule="atLeast"/>
              <w:ind w:firstLineChars="200" w:firstLine="360"/>
              <w:jc w:val="left"/>
              <w:rPr>
                <w:rFonts w:ascii="宋体" w:hAnsi="宋体" w:cs="Arial"/>
                <w:kern w:val="0"/>
                <w:sz w:val="18"/>
                <w:szCs w:val="18"/>
              </w:rPr>
            </w:pPr>
          </w:p>
          <w:p w:rsidR="003D48AF" w:rsidRDefault="00B46B5F">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3D48AF" w:rsidRDefault="003D48AF">
            <w:pPr>
              <w:spacing w:line="280" w:lineRule="atLeast"/>
              <w:jc w:val="left"/>
              <w:rPr>
                <w:rFonts w:ascii="宋体" w:hAnsi="宋体" w:cs="Arial"/>
                <w:kern w:val="0"/>
                <w:sz w:val="18"/>
                <w:szCs w:val="18"/>
              </w:rPr>
            </w:pPr>
          </w:p>
          <w:p w:rsidR="003D48AF" w:rsidRDefault="00B46B5F">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3D48AF" w:rsidRDefault="003D48AF">
            <w:pPr>
              <w:spacing w:line="280" w:lineRule="atLeast"/>
              <w:ind w:left="4200" w:firstLineChars="600" w:firstLine="1080"/>
              <w:jc w:val="left"/>
              <w:rPr>
                <w:rFonts w:ascii="宋体" w:hAnsi="宋体" w:cs="Arial"/>
                <w:kern w:val="0"/>
                <w:sz w:val="18"/>
                <w:szCs w:val="18"/>
              </w:rPr>
            </w:pPr>
          </w:p>
          <w:p w:rsidR="003D48AF" w:rsidRDefault="00B46B5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D48AF" w:rsidRDefault="003D48AF">
            <w:pPr>
              <w:spacing w:line="280" w:lineRule="atLeast"/>
              <w:rPr>
                <w:kern w:val="0"/>
                <w:sz w:val="20"/>
                <w:szCs w:val="20"/>
              </w:rPr>
            </w:pPr>
          </w:p>
          <w:p w:rsidR="003D48AF" w:rsidRDefault="00B46B5F">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3D48AF" w:rsidRDefault="003D48AF"/>
    <w:sectPr w:rsidR="003D48AF" w:rsidSect="003D48AF">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8AF" w:rsidRDefault="003D48AF" w:rsidP="003D48AF">
      <w:r>
        <w:separator/>
      </w:r>
    </w:p>
  </w:endnote>
  <w:endnote w:type="continuationSeparator" w:id="1">
    <w:p w:rsidR="003D48AF" w:rsidRDefault="003D48AF" w:rsidP="003D48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8AF" w:rsidRDefault="003D48AF" w:rsidP="003D48AF">
      <w:r>
        <w:separator/>
      </w:r>
    </w:p>
  </w:footnote>
  <w:footnote w:type="continuationSeparator" w:id="1">
    <w:p w:rsidR="003D48AF" w:rsidRDefault="003D48AF" w:rsidP="003D48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AF" w:rsidRDefault="00B46B5F">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3D48AF" w:rsidRDefault="00B46B5F">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96AC8"/>
    <w:rsid w:val="000A244A"/>
    <w:rsid w:val="000B16F1"/>
    <w:rsid w:val="000B357F"/>
    <w:rsid w:val="000F0566"/>
    <w:rsid w:val="00101FDE"/>
    <w:rsid w:val="0010530C"/>
    <w:rsid w:val="001104E8"/>
    <w:rsid w:val="001241F6"/>
    <w:rsid w:val="00152999"/>
    <w:rsid w:val="001C5047"/>
    <w:rsid w:val="002114AF"/>
    <w:rsid w:val="002354DB"/>
    <w:rsid w:val="00257DCB"/>
    <w:rsid w:val="00262560"/>
    <w:rsid w:val="002B4BDD"/>
    <w:rsid w:val="002B63FC"/>
    <w:rsid w:val="002C604E"/>
    <w:rsid w:val="002F0B15"/>
    <w:rsid w:val="003403E6"/>
    <w:rsid w:val="00346ED2"/>
    <w:rsid w:val="00374070"/>
    <w:rsid w:val="003D48AF"/>
    <w:rsid w:val="003E1A68"/>
    <w:rsid w:val="003F1C32"/>
    <w:rsid w:val="00420D74"/>
    <w:rsid w:val="0045040F"/>
    <w:rsid w:val="00455EE5"/>
    <w:rsid w:val="004636CC"/>
    <w:rsid w:val="00466605"/>
    <w:rsid w:val="004A236B"/>
    <w:rsid w:val="004B4026"/>
    <w:rsid w:val="004C7F5E"/>
    <w:rsid w:val="00510BA5"/>
    <w:rsid w:val="00527A03"/>
    <w:rsid w:val="005369F4"/>
    <w:rsid w:val="00563E8F"/>
    <w:rsid w:val="005804B9"/>
    <w:rsid w:val="005A0E14"/>
    <w:rsid w:val="005C6FCB"/>
    <w:rsid w:val="005D062B"/>
    <w:rsid w:val="005F48BE"/>
    <w:rsid w:val="00623A45"/>
    <w:rsid w:val="00640FDE"/>
    <w:rsid w:val="006538E1"/>
    <w:rsid w:val="00672BF5"/>
    <w:rsid w:val="006D6BB1"/>
    <w:rsid w:val="007143CD"/>
    <w:rsid w:val="007303F6"/>
    <w:rsid w:val="00732C8C"/>
    <w:rsid w:val="00747259"/>
    <w:rsid w:val="007A4C26"/>
    <w:rsid w:val="007B017F"/>
    <w:rsid w:val="007C7189"/>
    <w:rsid w:val="0080662E"/>
    <w:rsid w:val="00836C1F"/>
    <w:rsid w:val="00866E74"/>
    <w:rsid w:val="00894EE6"/>
    <w:rsid w:val="008A707D"/>
    <w:rsid w:val="008D3E86"/>
    <w:rsid w:val="008F2B54"/>
    <w:rsid w:val="009117A6"/>
    <w:rsid w:val="00955293"/>
    <w:rsid w:val="00981E5B"/>
    <w:rsid w:val="009B13AF"/>
    <w:rsid w:val="00A95D0C"/>
    <w:rsid w:val="00AE5AA3"/>
    <w:rsid w:val="00B06267"/>
    <w:rsid w:val="00B07DEF"/>
    <w:rsid w:val="00B35BED"/>
    <w:rsid w:val="00B35D81"/>
    <w:rsid w:val="00B3723D"/>
    <w:rsid w:val="00B46B5F"/>
    <w:rsid w:val="00BB513F"/>
    <w:rsid w:val="00BC1259"/>
    <w:rsid w:val="00BC2076"/>
    <w:rsid w:val="00BC398E"/>
    <w:rsid w:val="00BE1A3A"/>
    <w:rsid w:val="00C01696"/>
    <w:rsid w:val="00C4233D"/>
    <w:rsid w:val="00CE3D8F"/>
    <w:rsid w:val="00D03CCD"/>
    <w:rsid w:val="00D33509"/>
    <w:rsid w:val="00D46533"/>
    <w:rsid w:val="00D91389"/>
    <w:rsid w:val="00D914AD"/>
    <w:rsid w:val="00DA2C69"/>
    <w:rsid w:val="00DC4ABB"/>
    <w:rsid w:val="00DD246D"/>
    <w:rsid w:val="00DD5ABC"/>
    <w:rsid w:val="00DE3630"/>
    <w:rsid w:val="00E27A39"/>
    <w:rsid w:val="00E504DE"/>
    <w:rsid w:val="00E764F5"/>
    <w:rsid w:val="00E767F1"/>
    <w:rsid w:val="00E80603"/>
    <w:rsid w:val="00EB34F9"/>
    <w:rsid w:val="00F1747E"/>
    <w:rsid w:val="00F34E57"/>
    <w:rsid w:val="00F47B29"/>
    <w:rsid w:val="00F57B20"/>
    <w:rsid w:val="00F7745C"/>
    <w:rsid w:val="00F8077D"/>
    <w:rsid w:val="00FB3140"/>
    <w:rsid w:val="00FD7473"/>
    <w:rsid w:val="0F4E0910"/>
    <w:rsid w:val="16E0244F"/>
    <w:rsid w:val="1ABC3843"/>
    <w:rsid w:val="1D9858FD"/>
    <w:rsid w:val="23024B39"/>
    <w:rsid w:val="23F23E77"/>
    <w:rsid w:val="30D07848"/>
    <w:rsid w:val="3F8C50A2"/>
    <w:rsid w:val="40523766"/>
    <w:rsid w:val="435B2EBF"/>
    <w:rsid w:val="601969DF"/>
    <w:rsid w:val="6AAE1918"/>
    <w:rsid w:val="6BD57C8B"/>
    <w:rsid w:val="73E91C2D"/>
    <w:rsid w:val="748151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AF"/>
    <w:pPr>
      <w:widowControl w:val="0"/>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3D48AF"/>
    <w:pPr>
      <w:jc w:val="left"/>
    </w:pPr>
  </w:style>
  <w:style w:type="paragraph" w:styleId="a4">
    <w:name w:val="Balloon Text"/>
    <w:basedOn w:val="a"/>
    <w:link w:val="Char0"/>
    <w:uiPriority w:val="99"/>
    <w:semiHidden/>
    <w:unhideWhenUsed/>
    <w:qFormat/>
    <w:rsid w:val="003D48AF"/>
    <w:rPr>
      <w:sz w:val="18"/>
      <w:szCs w:val="18"/>
    </w:rPr>
  </w:style>
  <w:style w:type="paragraph" w:styleId="a5">
    <w:name w:val="footer"/>
    <w:basedOn w:val="a"/>
    <w:link w:val="Char1"/>
    <w:uiPriority w:val="99"/>
    <w:unhideWhenUsed/>
    <w:qFormat/>
    <w:rsid w:val="003D48AF"/>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3D48A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3D48AF"/>
    <w:rPr>
      <w:b/>
      <w:bCs/>
    </w:rPr>
  </w:style>
  <w:style w:type="table" w:styleId="a8">
    <w:name w:val="Table Grid"/>
    <w:basedOn w:val="a1"/>
    <w:qFormat/>
    <w:rsid w:val="003D48AF"/>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unhideWhenUsed/>
    <w:qFormat/>
    <w:rsid w:val="003D48AF"/>
    <w:rPr>
      <w:sz w:val="21"/>
      <w:szCs w:val="21"/>
    </w:rPr>
  </w:style>
  <w:style w:type="character" w:customStyle="1" w:styleId="Char2">
    <w:name w:val="页眉 Char"/>
    <w:basedOn w:val="a0"/>
    <w:link w:val="a6"/>
    <w:uiPriority w:val="99"/>
    <w:qFormat/>
    <w:rsid w:val="003D48AF"/>
    <w:rPr>
      <w:sz w:val="18"/>
      <w:szCs w:val="18"/>
    </w:rPr>
  </w:style>
  <w:style w:type="character" w:customStyle="1" w:styleId="Char1">
    <w:name w:val="页脚 Char"/>
    <w:basedOn w:val="a0"/>
    <w:link w:val="a5"/>
    <w:uiPriority w:val="99"/>
    <w:qFormat/>
    <w:rsid w:val="003D48AF"/>
    <w:rPr>
      <w:sz w:val="18"/>
      <w:szCs w:val="18"/>
    </w:rPr>
  </w:style>
  <w:style w:type="paragraph" w:styleId="aa">
    <w:name w:val="List Paragraph"/>
    <w:basedOn w:val="a"/>
    <w:qFormat/>
    <w:rsid w:val="003D48AF"/>
    <w:pPr>
      <w:ind w:firstLineChars="200" w:firstLine="420"/>
    </w:pPr>
  </w:style>
  <w:style w:type="character" w:customStyle="1" w:styleId="Char">
    <w:name w:val="批注文字 Char"/>
    <w:basedOn w:val="a0"/>
    <w:link w:val="a3"/>
    <w:uiPriority w:val="99"/>
    <w:qFormat/>
    <w:rsid w:val="003D48AF"/>
    <w:rPr>
      <w:rFonts w:ascii="Calibri" w:eastAsia="宋体" w:hAnsi="Calibri" w:cs="宋体"/>
    </w:rPr>
  </w:style>
  <w:style w:type="character" w:customStyle="1" w:styleId="Char3">
    <w:name w:val="批注主题 Char"/>
    <w:basedOn w:val="Char"/>
    <w:link w:val="a7"/>
    <w:uiPriority w:val="99"/>
    <w:semiHidden/>
    <w:qFormat/>
    <w:rsid w:val="003D48AF"/>
    <w:rPr>
      <w:rFonts w:ascii="Calibri" w:eastAsia="宋体" w:hAnsi="Calibri" w:cs="宋体"/>
      <w:b/>
      <w:bCs/>
    </w:rPr>
  </w:style>
  <w:style w:type="character" w:customStyle="1" w:styleId="Char0">
    <w:name w:val="批注框文本 Char"/>
    <w:basedOn w:val="a0"/>
    <w:link w:val="a4"/>
    <w:uiPriority w:val="99"/>
    <w:semiHidden/>
    <w:qFormat/>
    <w:rsid w:val="003D48AF"/>
    <w:rPr>
      <w:rFonts w:ascii="Calibri" w:eastAsia="宋体" w:hAnsi="Calibri" w:cs="宋体"/>
      <w:sz w:val="18"/>
      <w:szCs w:val="18"/>
    </w:rPr>
  </w:style>
  <w:style w:type="paragraph" w:customStyle="1" w:styleId="1">
    <w:name w:val="修订1"/>
    <w:hidden/>
    <w:uiPriority w:val="99"/>
    <w:semiHidden/>
    <w:qFormat/>
    <w:rsid w:val="003D48AF"/>
    <w:rPr>
      <w:rFonts w:ascii="Calibri" w:eastAsia="宋体"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B263D8-3268-4089-BC29-134C0EAF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5630</Words>
  <Characters>298</Characters>
  <Application>Microsoft Office Word</Application>
  <DocSecurity>0</DocSecurity>
  <Lines>2</Lines>
  <Paragraphs>11</Paragraphs>
  <ScaleCrop>false</ScaleCrop>
  <Company>神州网信技术有限公司</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吴姗珊</cp:lastModifiedBy>
  <cp:revision>65</cp:revision>
  <dcterms:created xsi:type="dcterms:W3CDTF">2021-06-16T13:02:00Z</dcterms:created>
  <dcterms:modified xsi:type="dcterms:W3CDTF">2022-10-20T04:55:00Z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8C3451F4A9D547188BD69B541900499D</vt:lpwstr>
  </property>
</Properties>
</file>