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276" w:lineRule="auto"/>
        <w:ind w:firstLine="422"/>
        <w:jc w:val="center"/>
        <w:rPr>
          <w:rFonts w:ascii="黑体" w:hAnsi="黑体" w:eastAsia="黑体"/>
          <w:b/>
          <w:bCs/>
          <w:sz w:val="28"/>
          <w:szCs w:val="28"/>
        </w:rPr>
      </w:pPr>
      <w:bookmarkStart w:id="0" w:name="_GoBack"/>
      <w:bookmarkEnd w:id="0"/>
      <w:r>
        <w:rPr>
          <w:rFonts w:hint="eastAsia" w:ascii="黑体" w:hAnsi="黑体" w:eastAsia="黑体"/>
          <w:b/>
          <w:bCs/>
          <w:sz w:val="28"/>
          <w:szCs w:val="28"/>
        </w:rPr>
        <w:t>兴银理财【</w:t>
      </w:r>
      <w:r>
        <w:rPr>
          <w:rFonts w:hint="eastAsia" w:ascii="黑体" w:hAnsi="黑体" w:eastAsia="黑体"/>
          <w:b/>
          <w:bCs/>
          <w:sz w:val="28"/>
          <w:szCs w:val="28"/>
          <w:lang w:val="en-US" w:eastAsia="zh-CN"/>
        </w:rPr>
        <w:t>添利</w:t>
      </w:r>
      <w:r>
        <w:rPr>
          <w:rFonts w:hint="eastAsia" w:ascii="黑体" w:hAnsi="黑体" w:eastAsia="黑体"/>
          <w:b/>
          <w:bCs/>
          <w:sz w:val="28"/>
          <w:szCs w:val="28"/>
        </w:rPr>
        <w:t>】</w:t>
      </w:r>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bCs/>
          <w:kern w:val="0"/>
          <w:sz w:val="18"/>
          <w:szCs w:val="18"/>
        </w:rPr>
        <w:t>【</w:t>
      </w:r>
      <w:r>
        <w:rPr>
          <w:rFonts w:hint="eastAsia" w:ascii="宋体" w:hAnsi="宋体" w:cs="仿宋_GB2312"/>
          <w:kern w:val="0"/>
          <w:sz w:val="18"/>
          <w:szCs w:val="18"/>
        </w:rPr>
        <w:t>兴银理财添利10号</w:t>
      </w:r>
      <w:r>
        <w:rPr>
          <w:rFonts w:ascii="宋体" w:hAnsi="宋体" w:cs="仿宋_GB2312"/>
          <w:kern w:val="0"/>
          <w:sz w:val="18"/>
          <w:szCs w:val="18"/>
        </w:rPr>
        <w:t>净值型理财产品</w:t>
      </w:r>
      <w:r>
        <w:rPr>
          <w:rFonts w:hint="eastAsia" w:ascii="宋体" w:hAnsi="宋体" w:cs="仿宋_GB2312"/>
          <w:bCs/>
          <w:kern w:val="0"/>
          <w:sz w:val="18"/>
          <w:szCs w:val="18"/>
        </w:rPr>
        <w:t>】</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宋体" w:hAnsi="宋体"/>
          <w:bCs/>
          <w:sz w:val="18"/>
          <w:szCs w:val="18"/>
        </w:rPr>
        <w:t>【兴银添利10号</w:t>
      </w:r>
      <w:r>
        <w:rPr>
          <w:rFonts w:ascii="宋体" w:hAnsi="宋体"/>
          <w:bCs/>
          <w:sz w:val="18"/>
          <w:szCs w:val="18"/>
        </w:rPr>
        <w:t>C</w:t>
      </w:r>
      <w:r>
        <w:rPr>
          <w:rFonts w:hint="eastAsia" w:ascii="宋体" w:hAnsi="宋体"/>
          <w:bCs/>
          <w:sz w:val="18"/>
          <w:szCs w:val="18"/>
        </w:rPr>
        <w:t>】（适用【</w:t>
      </w:r>
      <w:r>
        <w:rPr>
          <w:rFonts w:ascii="宋体" w:hAnsi="宋体"/>
          <w:bCs/>
          <w:sz w:val="18"/>
          <w:szCs w:val="18"/>
        </w:rPr>
        <w:t>C</w:t>
      </w:r>
      <w:r>
        <w:rPr>
          <w:rFonts w:hint="eastAsia" w:ascii="宋体" w:hAnsi="宋体"/>
          <w:bCs/>
          <w:sz w:val="18"/>
          <w:szCs w:val="18"/>
        </w:rPr>
        <w:t>】类份额）</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r>
        <w:rPr>
          <w:rFonts w:hint="eastAsia" w:ascii="宋体" w:hAnsi="宋体"/>
          <w:bCs/>
          <w:sz w:val="18"/>
          <w:szCs w:val="18"/>
        </w:rPr>
        <w:t>【</w:t>
      </w:r>
      <w:r>
        <w:rPr>
          <w:rFonts w:ascii="宋体" w:hAnsi="宋体"/>
          <w:bCs/>
          <w:sz w:val="18"/>
          <w:szCs w:val="18"/>
        </w:rPr>
        <w:t>Z7002021000107</w:t>
      </w:r>
      <w:r>
        <w:rPr>
          <w:rFonts w:hint="eastAsia" w:ascii="宋体" w:hAnsi="宋体"/>
          <w:bCs/>
          <w:sz w:val="18"/>
          <w:szCs w:val="18"/>
        </w:rPr>
        <w:t>】</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r>
        <w:rPr>
          <w:rFonts w:hint="eastAsia" w:ascii="宋体" w:hAnsi="宋体" w:cs="仿宋_GB2312"/>
          <w:kern w:val="0"/>
          <w:sz w:val="18"/>
          <w:szCs w:val="18"/>
        </w:rPr>
        <w:t>【公募、开放式、固定收益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w:t>
      </w:r>
      <w:r>
        <w:rPr>
          <w:rFonts w:ascii="宋体" w:hAnsi="宋体" w:cs="仿宋_GB2312"/>
          <w:kern w:val="0"/>
          <w:sz w:val="18"/>
          <w:szCs w:val="18"/>
        </w:rPr>
        <w:t>期限</w:t>
      </w:r>
      <w:r>
        <w:rPr>
          <w:rFonts w:hint="eastAsia" w:ascii="宋体" w:hAnsi="宋体" w:cs="仿宋_GB2312"/>
          <w:kern w:val="0"/>
          <w:sz w:val="18"/>
          <w:szCs w:val="18"/>
        </w:rPr>
        <w:t>】</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本理财产品风险评级最终定义为【R1</w:t>
      </w:r>
      <w:r>
        <w:rPr>
          <w:rFonts w:ascii="宋体" w:hAnsi="宋体" w:cs="仿宋_GB2312"/>
          <w:kern w:val="0"/>
          <w:sz w:val="18"/>
          <w:szCs w:val="18"/>
        </w:rPr>
        <w:t>】</w:t>
      </w:r>
      <w:r>
        <w:rPr>
          <w:rFonts w:hint="eastAsia" w:ascii="宋体" w:hAnsi="宋体" w:cs="仿宋_GB2312"/>
          <w:kern w:val="0"/>
          <w:sz w:val="18"/>
          <w:szCs w:val="18"/>
        </w:rPr>
        <w:t>（产品管理人定义的产品风险评级为】；代理销售机构定义的产品风险评级为【R1】）。</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rPr>
        <w:t>销售机构认为本产品适合以下投资者类型：</w:t>
      </w:r>
    </w:p>
    <w:p>
      <w:pPr>
        <w:ind w:firstLine="360" w:firstLineChars="200"/>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■个人投资者</w:t>
      </w:r>
      <w:r>
        <w:rPr>
          <w:rFonts w:asciiTheme="majorEastAsia" w:hAnsiTheme="majorEastAsia" w:eastAsiaTheme="majorEastAsia"/>
          <w:bCs/>
          <w:color w:val="000000" w:themeColor="text1"/>
          <w:sz w:val="18"/>
          <w:szCs w:val="18"/>
        </w:rPr>
        <w:t>：</w:t>
      </w:r>
      <w:r>
        <w:rPr>
          <w:rFonts w:hint="eastAsia" w:asciiTheme="majorEastAsia" w:hAnsiTheme="majorEastAsia" w:eastAsiaTheme="majorEastAsia"/>
          <w:bCs/>
          <w:color w:val="000000" w:themeColor="text1"/>
          <w:sz w:val="18"/>
          <w:szCs w:val="18"/>
        </w:rPr>
        <w:t>【■</w:t>
      </w:r>
      <w:r>
        <w:rPr>
          <w:rFonts w:asciiTheme="majorEastAsia" w:hAnsiTheme="majorEastAsia" w:eastAsiaTheme="majorEastAsia"/>
          <w:bCs/>
          <w:color w:val="000000" w:themeColor="text1"/>
          <w:sz w:val="18"/>
          <w:szCs w:val="18"/>
        </w:rPr>
        <w:t xml:space="preserve"> C1、</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C2、</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C3、</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C4、</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C5】</w:t>
      </w:r>
      <w:r>
        <w:rPr>
          <w:rFonts w:hint="eastAsia" w:asciiTheme="majorEastAsia" w:hAnsiTheme="majorEastAsia" w:eastAsiaTheme="majorEastAsia"/>
          <w:bCs/>
          <w:color w:val="000000" w:themeColor="text1"/>
          <w:sz w:val="18"/>
          <w:szCs w:val="18"/>
        </w:rPr>
        <w:t>。</w:t>
      </w:r>
    </w:p>
    <w:p>
      <w:pPr>
        <w:ind w:firstLine="360" w:firstLineChars="200"/>
        <w:rPr>
          <w:rFonts w:asciiTheme="majorEastAsia" w:hAnsiTheme="majorEastAsia" w:eastAsiaTheme="majorEastAsia"/>
          <w:bCs/>
          <w:color w:val="000000" w:themeColor="text1"/>
          <w:sz w:val="18"/>
          <w:szCs w:val="18"/>
        </w:rPr>
      </w:pPr>
      <w:r>
        <w:rPr>
          <w:rFonts w:hint="eastAsia" w:asciiTheme="majorEastAsia" w:hAnsiTheme="majorEastAsia" w:eastAsiaTheme="majorEastAsia"/>
          <w:bCs/>
          <w:color w:val="000000" w:themeColor="text1"/>
          <w:sz w:val="18"/>
          <w:szCs w:val="18"/>
        </w:rPr>
        <w:t>■机构投资者：□一般</w:t>
      </w:r>
      <w:r>
        <w:rPr>
          <w:rFonts w:asciiTheme="majorEastAsia" w:hAnsiTheme="majorEastAsia" w:eastAsiaTheme="majorEastAsia"/>
          <w:bCs/>
          <w:color w:val="000000" w:themeColor="text1"/>
          <w:sz w:val="18"/>
          <w:szCs w:val="18"/>
        </w:rPr>
        <w:t>机构</w:t>
      </w:r>
      <w:r>
        <w:rPr>
          <w:rFonts w:hint="eastAsia" w:asciiTheme="majorEastAsia" w:hAnsiTheme="majorEastAsia" w:eastAsiaTheme="majorEastAsia"/>
          <w:bCs/>
          <w:color w:val="000000" w:themeColor="text1"/>
          <w:sz w:val="18"/>
          <w:szCs w:val="18"/>
        </w:rPr>
        <w:t>客户【□</w:t>
      </w:r>
      <w:r>
        <w:rPr>
          <w:rFonts w:asciiTheme="majorEastAsia" w:hAnsiTheme="majorEastAsia" w:eastAsiaTheme="majorEastAsia"/>
          <w:bCs/>
          <w:color w:val="000000" w:themeColor="text1"/>
          <w:sz w:val="18"/>
          <w:szCs w:val="18"/>
        </w:rPr>
        <w:t xml:space="preserve"> C1、</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C2、</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C3、</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C4、</w:t>
      </w:r>
      <w:r>
        <w:rPr>
          <w:rFonts w:hint="eastAsia" w:asciiTheme="majorEastAsia" w:hAnsiTheme="majorEastAsia" w:eastAsiaTheme="majorEastAsia"/>
          <w:bCs/>
          <w:color w:val="000000" w:themeColor="text1"/>
          <w:sz w:val="18"/>
          <w:szCs w:val="18"/>
        </w:rPr>
        <w:t xml:space="preserve">□ </w:t>
      </w:r>
      <w:r>
        <w:rPr>
          <w:rFonts w:asciiTheme="majorEastAsia" w:hAnsiTheme="majorEastAsia" w:eastAsiaTheme="majorEastAsia"/>
          <w:bCs/>
          <w:color w:val="000000" w:themeColor="text1"/>
          <w:sz w:val="18"/>
          <w:szCs w:val="18"/>
        </w:rPr>
        <w:t>C5】</w:t>
      </w:r>
      <w:r>
        <w:rPr>
          <w:rFonts w:hint="eastAsia" w:asciiTheme="majorEastAsia" w:hAnsiTheme="majorEastAsia" w:eastAsiaTheme="majorEastAsia"/>
          <w:bCs/>
          <w:color w:val="000000" w:themeColor="text1"/>
          <w:sz w:val="18"/>
          <w:szCs w:val="18"/>
        </w:rPr>
        <w:t>，■金融同业客户。</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448" w:firstLineChars="249"/>
        <w:rPr>
          <w:rFonts w:hint="eastAsia" w:cs="仿宋_GB2312" w:asciiTheme="minorEastAsia" w:hAnsiTheme="minorEastAsia"/>
          <w:b w:val="0"/>
          <w:bCs w:val="0"/>
          <w:kern w:val="0"/>
          <w:sz w:val="18"/>
          <w:szCs w:val="18"/>
        </w:rPr>
      </w:pPr>
      <w:r>
        <w:rPr>
          <w:rFonts w:hint="eastAsia" w:cs="仿宋_GB2312" w:asciiTheme="minorEastAsia" w:hAnsiTheme="minorEastAsia"/>
          <w:b w:val="0"/>
          <w:bCs w:val="0"/>
          <w:kern w:val="0"/>
          <w:sz w:val="18"/>
          <w:szCs w:val="18"/>
        </w:rPr>
        <w:t>（一）投资者投资本产品可能面临的特定风险主要包括（但不限于）：</w:t>
      </w:r>
    </w:p>
    <w:p>
      <w:pPr>
        <w:ind w:firstLine="448" w:firstLineChars="249"/>
        <w:rPr>
          <w:rFonts w:hint="eastAsia" w:cs="仿宋_GB2312" w:asciiTheme="minorEastAsia" w:hAnsiTheme="minorEastAsia"/>
          <w:kern w:val="0"/>
          <w:sz w:val="18"/>
          <w:szCs w:val="18"/>
        </w:rPr>
      </w:pPr>
      <w:r>
        <w:rPr>
          <w:rFonts w:hint="eastAsia" w:cs="仿宋_GB2312" w:asciiTheme="minorEastAsia" w:hAnsiTheme="minorEastAsia"/>
          <w:kern w:val="0"/>
          <w:sz w:val="18"/>
          <w:szCs w:val="18"/>
        </w:rPr>
        <w:t>1.拟投资市场和资产的风险：</w:t>
      </w:r>
    </w:p>
    <w:p>
      <w:pPr>
        <w:ind w:firstLine="448" w:firstLineChars="249"/>
        <w:rPr>
          <w:rFonts w:hint="eastAsia"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ind w:firstLine="448" w:firstLineChars="249"/>
        <w:rPr>
          <w:rFonts w:hint="eastAsia"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ind w:firstLine="448" w:firstLineChars="249"/>
        <w:rPr>
          <w:rFonts w:hint="eastAsia" w:cs="仿宋_GB2312" w:asciiTheme="minorEastAsia" w:hAnsiTheme="minorEastAsia" w:eastAsiaTheme="minorEastAsia"/>
          <w:kern w:val="0"/>
          <w:sz w:val="18"/>
          <w:szCs w:val="18"/>
          <w:lang w:eastAsia="zh-CN"/>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pStyle w:val="13"/>
        <w:ind w:firstLine="361"/>
        <w:rPr>
          <w:rFonts w:ascii="黑体" w:hAnsi="黑体" w:eastAsia="黑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w:t>
      </w:r>
      <w:r>
        <w:rPr>
          <w:rFonts w:hint="eastAsia" w:ascii="黑体" w:hAnsi="黑体" w:eastAsia="黑体"/>
          <w:sz w:val="18"/>
          <w:szCs w:val="18"/>
          <w:lang w:val="en-US" w:eastAsia="zh-CN"/>
        </w:rPr>
        <w:t>特定</w:t>
      </w:r>
      <w:r>
        <w:rPr>
          <w:rFonts w:hint="eastAsia" w:ascii="黑体" w:hAnsi="黑体" w:eastAsia="黑体"/>
          <w:sz w:val="18"/>
          <w:szCs w:val="18"/>
        </w:rPr>
        <w:t xml:space="preserve">风险仅为列举性质，未能详尽列明投资本产品可能面临的全部风险和可能导致投资者投资本金及收益损失的所有因素。 </w:t>
      </w:r>
    </w:p>
    <w:p>
      <w:pPr>
        <w:pStyle w:val="13"/>
        <w:ind w:firstLine="426" w:firstLineChars="0"/>
        <w:rPr>
          <w:rFonts w:ascii="宋体" w:hAnsi="宋体" w:cs="仿宋_GB2312"/>
          <w:kern w:val="0"/>
          <w:sz w:val="18"/>
          <w:szCs w:val="18"/>
        </w:rPr>
      </w:pPr>
      <w:r>
        <w:rPr>
          <w:rFonts w:hint="eastAsia" w:ascii="宋体" w:hAnsi="宋体"/>
          <w:b w:val="0"/>
          <w:bCs w:val="0"/>
          <w:sz w:val="18"/>
          <w:szCs w:val="18"/>
          <w:highlight w:val="none"/>
          <w:u w:val="none"/>
        </w:rPr>
        <w:t>（</w:t>
      </w:r>
      <w:r>
        <w:rPr>
          <w:rFonts w:hint="eastAsia" w:ascii="宋体" w:hAnsi="宋体"/>
          <w:b w:val="0"/>
          <w:bCs w:val="0"/>
          <w:sz w:val="18"/>
          <w:szCs w:val="18"/>
          <w:highlight w:val="none"/>
          <w:u w:val="none"/>
          <w:lang w:val="en-US" w:eastAsia="zh-CN"/>
        </w:rPr>
        <w:t>二</w:t>
      </w:r>
      <w:r>
        <w:rPr>
          <w:rFonts w:hint="eastAsia" w:ascii="宋体" w:hAnsi="宋体"/>
          <w:b w:val="0"/>
          <w:bCs w:val="0"/>
          <w:sz w:val="18"/>
          <w:szCs w:val="18"/>
          <w:highlight w:val="none"/>
          <w:u w:val="none"/>
        </w:rPr>
        <w:t xml:space="preserve">）投资者投资本产品可能面临的一般风险主要包括（但不限于）： </w:t>
      </w:r>
    </w:p>
    <w:p>
      <w:pPr>
        <w:pStyle w:val="13"/>
        <w:ind w:firstLine="426" w:firstLineChars="0"/>
        <w:rPr>
          <w:rFonts w:ascii="宋体" w:hAnsi="宋体" w:cs="仿宋_GB2312"/>
          <w:kern w:val="0"/>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3"/>
        <w:ind w:firstLine="426" w:firstLineChars="0"/>
        <w:rPr>
          <w:rFonts w:ascii="宋体" w:hAnsi="宋体" w:cs="仿宋_GB2312"/>
          <w:kern w:val="0"/>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3"/>
        <w:ind w:firstLine="426" w:firstLineChars="0"/>
        <w:rPr>
          <w:rFonts w:ascii="宋体" w:hAnsi="宋体" w:cs="仿宋_GB2312"/>
          <w:kern w:val="0"/>
          <w:sz w:val="18"/>
          <w:szCs w:val="18"/>
        </w:rPr>
      </w:pPr>
      <w:r>
        <w:rPr>
          <w:rFonts w:hint="eastAsia" w:ascii="宋体" w:hAnsi="宋体"/>
          <w:b/>
          <w:bCs/>
          <w:sz w:val="18"/>
          <w:szCs w:val="18"/>
          <w:lang w:val="en-US" w:eastAsia="zh-CN"/>
        </w:rPr>
        <w:t>3</w:t>
      </w:r>
      <w:r>
        <w:rPr>
          <w:rFonts w:hint="eastAsia" w:ascii="宋体" w:hAnsi="宋体"/>
          <w:b/>
          <w:bCs/>
          <w:sz w:val="18"/>
          <w:szCs w:val="18"/>
        </w:rPr>
        <w:t>.市场</w:t>
      </w:r>
      <w:r>
        <w:rPr>
          <w:rFonts w:ascii="宋体" w:hAnsi="宋体"/>
          <w:b/>
          <w:bCs/>
          <w:sz w:val="18"/>
          <w:szCs w:val="18"/>
        </w:rPr>
        <w:t>风险：</w:t>
      </w: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3"/>
        <w:ind w:firstLine="426" w:firstLineChars="0"/>
        <w:rPr>
          <w:rFonts w:hint="eastAsia" w:ascii="宋体" w:hAnsi="宋体" w:cs="仿宋_GB2312"/>
          <w:b/>
          <w:kern w:val="0"/>
          <w:sz w:val="18"/>
          <w:szCs w:val="18"/>
          <w:lang w:val="en-US" w:eastAsia="zh-CN"/>
        </w:rPr>
      </w:pPr>
      <w:r>
        <w:rPr>
          <w:rFonts w:hint="eastAsia" w:ascii="宋体" w:hAnsi="宋体" w:cs="仿宋_GB2312"/>
          <w:b/>
          <w:kern w:val="0"/>
          <w:sz w:val="18"/>
          <w:szCs w:val="18"/>
          <w:lang w:val="en-US" w:eastAsia="zh-CN"/>
        </w:rPr>
        <w:t>4.流动性风险：</w:t>
      </w:r>
      <w:r>
        <w:rPr>
          <w:rFonts w:hint="eastAsia" w:ascii="宋体" w:hAnsi="宋体" w:cs="仿宋_GB2312"/>
          <w:b w:val="0"/>
          <w:bCs/>
          <w:kern w:val="0"/>
          <w:sz w:val="18"/>
          <w:szCs w:val="18"/>
          <w:lang w:val="en-US" w:eastAsia="zh-CN"/>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3"/>
        <w:ind w:firstLine="426" w:firstLineChars="0"/>
        <w:rPr>
          <w:rFonts w:ascii="宋体" w:hAnsi="宋体" w:cs="仿宋_GB2312"/>
          <w:kern w:val="0"/>
          <w:sz w:val="18"/>
          <w:szCs w:val="18"/>
        </w:rPr>
      </w:pPr>
      <w:r>
        <w:rPr>
          <w:rFonts w:hint="eastAsia" w:ascii="宋体" w:hAnsi="宋体" w:cs="仿宋_GB2312"/>
          <w:b/>
          <w:kern w:val="0"/>
          <w:sz w:val="18"/>
          <w:szCs w:val="18"/>
          <w:lang w:val="en-US" w:eastAsia="zh-CN"/>
        </w:rPr>
        <w:t>5</w:t>
      </w:r>
      <w:r>
        <w:rPr>
          <w:rFonts w:hint="eastAsia" w:ascii="宋体" w:hAnsi="宋体" w:cs="仿宋_GB2312"/>
          <w:b/>
          <w:kern w:val="0"/>
          <w:sz w:val="18"/>
          <w:szCs w:val="18"/>
        </w:rPr>
        <w:t>.</w:t>
      </w:r>
      <w:r>
        <w:rPr>
          <w:rFonts w:ascii="宋体" w:hAnsi="宋体" w:cs="仿宋_GB2312"/>
          <w:b/>
          <w:kern w:val="0"/>
          <w:sz w:val="18"/>
          <w:szCs w:val="18"/>
        </w:rPr>
        <w:t>法律与政策风险：</w:t>
      </w: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3"/>
        <w:ind w:firstLine="426" w:firstLineChars="0"/>
        <w:rPr>
          <w:rFonts w:ascii="宋体" w:hAnsi="宋体" w:cs="仿宋_GB2312"/>
          <w:kern w:val="0"/>
          <w:sz w:val="18"/>
          <w:szCs w:val="18"/>
        </w:rPr>
      </w:pPr>
      <w:r>
        <w:rPr>
          <w:rFonts w:hint="eastAsia" w:ascii="宋体" w:hAnsi="宋体"/>
          <w:b/>
          <w:bCs/>
          <w:sz w:val="18"/>
          <w:szCs w:val="18"/>
          <w:lang w:val="en-US" w:eastAsia="zh-CN"/>
        </w:rPr>
        <w:t>6</w:t>
      </w:r>
      <w:r>
        <w:rPr>
          <w:rFonts w:hint="eastAsia" w:ascii="宋体" w:hAnsi="宋体"/>
          <w:b/>
          <w:bCs/>
          <w:sz w:val="18"/>
          <w:szCs w:val="18"/>
        </w:rPr>
        <w:t>.</w:t>
      </w:r>
      <w:r>
        <w:rPr>
          <w:rFonts w:ascii="宋体" w:hAnsi="宋体"/>
          <w:b/>
          <w:bCs/>
          <w:sz w:val="18"/>
          <w:szCs w:val="18"/>
        </w:rPr>
        <w:t>延期</w:t>
      </w:r>
      <w:r>
        <w:rPr>
          <w:rFonts w:hint="eastAsia" w:ascii="宋体" w:hAnsi="宋体"/>
          <w:b/>
          <w:bCs/>
          <w:sz w:val="18"/>
          <w:szCs w:val="18"/>
        </w:rPr>
        <w:t>分配</w:t>
      </w:r>
      <w:r>
        <w:rPr>
          <w:rFonts w:ascii="宋体" w:hAnsi="宋体"/>
          <w:b/>
          <w:bCs/>
          <w:sz w:val="18"/>
          <w:szCs w:val="18"/>
        </w:rPr>
        <w:t>风险：</w:t>
      </w: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3"/>
        <w:ind w:firstLine="426" w:firstLineChars="0"/>
        <w:rPr>
          <w:rFonts w:ascii="宋体" w:hAnsi="宋体" w:cs="仿宋_GB2312"/>
          <w:kern w:val="0"/>
          <w:sz w:val="18"/>
          <w:szCs w:val="18"/>
        </w:rPr>
      </w:pPr>
      <w:r>
        <w:rPr>
          <w:rFonts w:hint="eastAsia" w:ascii="宋体" w:hAnsi="宋体" w:cs="仿宋_GB2312"/>
          <w:b/>
          <w:kern w:val="0"/>
          <w:sz w:val="18"/>
          <w:szCs w:val="18"/>
          <w:lang w:val="en-US" w:eastAsia="zh-CN"/>
        </w:rPr>
        <w:t>7</w:t>
      </w:r>
      <w:r>
        <w:rPr>
          <w:rFonts w:hint="eastAsia" w:ascii="宋体" w:hAnsi="宋体" w:cs="仿宋_GB2312"/>
          <w:b/>
          <w:kern w:val="0"/>
          <w:sz w:val="18"/>
          <w:szCs w:val="18"/>
        </w:rPr>
        <w:t>.</w:t>
      </w:r>
      <w:r>
        <w:rPr>
          <w:rFonts w:ascii="宋体" w:hAnsi="宋体" w:cs="仿宋_GB2312"/>
          <w:b/>
          <w:kern w:val="0"/>
          <w:sz w:val="18"/>
          <w:szCs w:val="18"/>
        </w:rPr>
        <w:t>早偿风险：</w:t>
      </w:r>
      <w:r>
        <w:rPr>
          <w:rFonts w:hint="eastAsia" w:ascii="宋体" w:hAnsi="宋体" w:cs="仿宋_GB2312"/>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pStyle w:val="13"/>
        <w:ind w:firstLine="426" w:firstLineChars="0"/>
        <w:rPr>
          <w:rFonts w:ascii="宋体" w:hAnsi="宋体" w:cs="仿宋_GB2312"/>
          <w:kern w:val="0"/>
          <w:sz w:val="18"/>
          <w:szCs w:val="18"/>
        </w:rPr>
      </w:pPr>
      <w:r>
        <w:rPr>
          <w:rFonts w:hint="eastAsia" w:ascii="宋体" w:hAnsi="宋体"/>
          <w:b/>
          <w:bCs/>
          <w:sz w:val="18"/>
          <w:szCs w:val="18"/>
          <w:lang w:val="en-US" w:eastAsia="zh-CN"/>
        </w:rPr>
        <w:t>8</w:t>
      </w:r>
      <w:r>
        <w:rPr>
          <w:rFonts w:hint="eastAsia" w:ascii="宋体" w:hAnsi="宋体"/>
          <w:b/>
          <w:bCs/>
          <w:sz w:val="18"/>
          <w:szCs w:val="18"/>
        </w:rPr>
        <w:t>.</w:t>
      </w:r>
      <w:r>
        <w:rPr>
          <w:rFonts w:ascii="宋体" w:hAnsi="宋体"/>
          <w:b/>
          <w:bCs/>
          <w:sz w:val="18"/>
          <w:szCs w:val="18"/>
        </w:rPr>
        <w:t>信息传递风险：</w:t>
      </w:r>
      <w:r>
        <w:rPr>
          <w:rFonts w:hint="eastAsia" w:ascii="宋体" w:hAnsi="宋体" w:cs="仿宋_GB2312"/>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hint="eastAsia" w:ascii="黑体" w:hAnsi="黑体" w:eastAsia="黑体" w:cs="仿宋_GB2312"/>
          <w:bCs/>
          <w:kern w:val="0"/>
          <w:sz w:val="18"/>
          <w:szCs w:val="18"/>
        </w:rPr>
        <w:t>★</w:t>
      </w:r>
      <w:r>
        <w:rPr>
          <w:rFonts w:ascii="黑体" w:hAnsi="黑体" w:eastAsia="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hint="eastAsia" w:ascii="宋体" w:hAnsi="宋体" w:cs="仿宋_GB2312"/>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pPr>
        <w:ind w:firstLine="450" w:firstLineChars="249"/>
        <w:rPr>
          <w:rFonts w:ascii="宋体" w:hAnsi="宋体"/>
          <w:bCs/>
          <w:sz w:val="18"/>
          <w:szCs w:val="18"/>
        </w:rPr>
      </w:pPr>
      <w:r>
        <w:rPr>
          <w:rFonts w:hint="eastAsia" w:ascii="宋体" w:hAnsi="宋体"/>
          <w:b/>
          <w:bCs/>
          <w:sz w:val="18"/>
          <w:szCs w:val="18"/>
          <w:lang w:val="en-US" w:eastAsia="zh-CN"/>
        </w:rPr>
        <w:t>9</w:t>
      </w:r>
      <w:r>
        <w:rPr>
          <w:rFonts w:hint="eastAsia" w:ascii="宋体" w:hAnsi="宋体"/>
          <w:b/>
          <w:bCs/>
          <w:sz w:val="18"/>
          <w:szCs w:val="18"/>
        </w:rPr>
        <w:t>.</w:t>
      </w:r>
      <w:r>
        <w:rPr>
          <w:rFonts w:ascii="宋体" w:hAnsi="宋体"/>
          <w:b/>
          <w:bCs/>
          <w:sz w:val="18"/>
          <w:szCs w:val="18"/>
        </w:rPr>
        <w:t>不可抗力及意外事件风险：</w:t>
      </w:r>
      <w:r>
        <w:rPr>
          <w:rFonts w:hint="eastAsia" w:ascii="宋体" w:hAnsi="宋体"/>
          <w:bCs/>
          <w:sz w:val="18"/>
          <w:szCs w:val="18"/>
        </w:rPr>
        <w:t>因战争、自然灾害、重大政治事件等不可抗力以及其他不可预见的意外事件可能致使理财产品面临损失的风险。</w:t>
      </w:r>
    </w:p>
    <w:p>
      <w:pPr>
        <w:pStyle w:val="13"/>
        <w:ind w:firstLine="426" w:firstLineChars="0"/>
        <w:rPr>
          <w:rFonts w:ascii="宋体" w:hAnsi="宋体"/>
          <w:bCs/>
          <w:sz w:val="18"/>
          <w:szCs w:val="18"/>
        </w:rPr>
      </w:pPr>
      <w:r>
        <w:rPr>
          <w:rFonts w:ascii="宋体" w:hAnsi="宋体"/>
          <w:b/>
          <w:bCs/>
          <w:sz w:val="18"/>
          <w:szCs w:val="18"/>
        </w:rPr>
        <w:t>1</w:t>
      </w:r>
      <w:r>
        <w:rPr>
          <w:rFonts w:hint="eastAsia" w:ascii="宋体" w:hAnsi="宋体"/>
          <w:b/>
          <w:bCs/>
          <w:sz w:val="18"/>
          <w:szCs w:val="18"/>
          <w:lang w:val="en-US" w:eastAsia="zh-CN"/>
        </w:rPr>
        <w:t>0</w:t>
      </w:r>
      <w:r>
        <w:rPr>
          <w:rFonts w:hint="eastAsia" w:ascii="宋体" w:hAnsi="宋体"/>
          <w:b/>
          <w:bCs/>
          <w:sz w:val="18"/>
          <w:szCs w:val="18"/>
        </w:rPr>
        <w:t>.</w:t>
      </w:r>
      <w:r>
        <w:rPr>
          <w:rFonts w:ascii="宋体" w:hAnsi="宋体"/>
          <w:b/>
          <w:bCs/>
          <w:sz w:val="18"/>
          <w:szCs w:val="18"/>
        </w:rPr>
        <w:t>管理人风险：</w:t>
      </w: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3"/>
        <w:ind w:firstLineChars="0"/>
        <w:rPr>
          <w:rFonts w:ascii="宋体" w:hAnsi="宋体"/>
          <w:bCs/>
          <w:sz w:val="18"/>
          <w:szCs w:val="18"/>
        </w:rPr>
      </w:pPr>
      <w:r>
        <w:rPr>
          <w:rFonts w:ascii="宋体" w:hAnsi="宋体"/>
          <w:b/>
          <w:bCs/>
          <w:sz w:val="18"/>
          <w:szCs w:val="18"/>
        </w:rPr>
        <w:t>1</w:t>
      </w:r>
      <w:r>
        <w:rPr>
          <w:rFonts w:hint="eastAsia" w:ascii="宋体" w:hAnsi="宋体"/>
          <w:b/>
          <w:bCs/>
          <w:sz w:val="18"/>
          <w:szCs w:val="18"/>
          <w:lang w:val="en-US" w:eastAsia="zh-CN"/>
        </w:rPr>
        <w:t>1</w:t>
      </w:r>
      <w:r>
        <w:rPr>
          <w:rFonts w:hint="eastAsia" w:ascii="宋体" w:hAnsi="宋体"/>
          <w:b/>
          <w:bCs/>
          <w:sz w:val="18"/>
          <w:szCs w:val="18"/>
        </w:rPr>
        <w:t>.理财产品不成立风险：</w:t>
      </w: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3"/>
        <w:ind w:firstLineChars="0"/>
        <w:rPr>
          <w:rFonts w:ascii="宋体" w:hAnsi="宋体"/>
          <w:bCs/>
          <w:sz w:val="18"/>
          <w:szCs w:val="18"/>
        </w:rPr>
      </w:pPr>
      <w:r>
        <w:rPr>
          <w:rFonts w:ascii="宋体" w:hAnsi="宋体"/>
          <w:b/>
          <w:bCs/>
          <w:sz w:val="18"/>
          <w:szCs w:val="18"/>
        </w:rPr>
        <w:t>1</w:t>
      </w:r>
      <w:r>
        <w:rPr>
          <w:rFonts w:hint="eastAsia" w:ascii="宋体" w:hAnsi="宋体"/>
          <w:b/>
          <w:bCs/>
          <w:sz w:val="18"/>
          <w:szCs w:val="18"/>
          <w:lang w:val="en-US" w:eastAsia="zh-CN"/>
        </w:rPr>
        <w:t>2</w:t>
      </w:r>
      <w:r>
        <w:rPr>
          <w:rFonts w:hint="eastAsia" w:ascii="宋体" w:hAnsi="宋体"/>
          <w:b/>
          <w:bCs/>
          <w:sz w:val="18"/>
          <w:szCs w:val="18"/>
        </w:rPr>
        <w:t>.</w:t>
      </w:r>
      <w:r>
        <w:rPr>
          <w:rFonts w:ascii="宋体" w:hAnsi="宋体"/>
          <w:b/>
          <w:bCs/>
          <w:sz w:val="18"/>
          <w:szCs w:val="18"/>
        </w:rPr>
        <w:t>操作风险：</w:t>
      </w: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3"/>
        <w:ind w:firstLineChars="0"/>
        <w:rPr>
          <w:rFonts w:ascii="宋体" w:hAnsi="宋体"/>
          <w:bCs/>
          <w:sz w:val="18"/>
          <w:szCs w:val="18"/>
        </w:rPr>
      </w:pPr>
      <w:r>
        <w:rPr>
          <w:rFonts w:ascii="宋体" w:hAnsi="宋体"/>
          <w:b/>
          <w:bCs/>
          <w:sz w:val="18"/>
          <w:szCs w:val="18"/>
        </w:rPr>
        <w:t>1</w:t>
      </w:r>
      <w:r>
        <w:rPr>
          <w:rFonts w:hint="eastAsia" w:ascii="宋体" w:hAnsi="宋体"/>
          <w:b/>
          <w:bCs/>
          <w:sz w:val="18"/>
          <w:szCs w:val="18"/>
          <w:lang w:val="en-US" w:eastAsia="zh-CN"/>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r>
        <w:rPr>
          <w:rFonts w:hint="eastAsia" w:asciiTheme="majorEastAsia" w:hAnsiTheme="majorEastAsia" w:eastAsiaTheme="majorEastAsia"/>
          <w:bCs/>
          <w:color w:val="000000" w:themeColor="text1"/>
          <w:sz w:val="18"/>
          <w:szCs w:val="18"/>
        </w:rPr>
        <w:t>本理财产品可能</w:t>
      </w:r>
      <w:r>
        <w:rPr>
          <w:rFonts w:asciiTheme="majorEastAsia" w:hAnsiTheme="majorEastAsia" w:eastAsiaTheme="majorEastAsia"/>
          <w:bCs/>
          <w:color w:val="000000" w:themeColor="text1"/>
          <w:sz w:val="18"/>
          <w:szCs w:val="18"/>
        </w:rPr>
        <w:t>投资符合监管</w:t>
      </w:r>
      <w:r>
        <w:rPr>
          <w:rFonts w:hint="eastAsia" w:asciiTheme="majorEastAsia" w:hAnsiTheme="majorEastAsia" w:eastAsiaTheme="majorEastAsia"/>
          <w:bCs/>
          <w:color w:val="000000" w:themeColor="text1"/>
          <w:sz w:val="18"/>
          <w:szCs w:val="18"/>
        </w:rPr>
        <w:t>要求的资产管理产品（包括但不限于信托计划、</w:t>
      </w:r>
      <w:r>
        <w:rPr>
          <w:rFonts w:hint="eastAsia" w:asciiTheme="majorEastAsia" w:hAnsiTheme="majorEastAsia" w:eastAsiaTheme="majorEastAsia"/>
          <w:bCs/>
          <w:color w:val="000000" w:themeColor="text1"/>
          <w:kern w:val="0"/>
          <w:sz w:val="18"/>
          <w:szCs w:val="18"/>
        </w:rPr>
        <w:t>公募基金、基金公司或子公司资产管理计划、证券公司资产管理计划、</w:t>
      </w:r>
      <w:r>
        <w:rPr>
          <w:rFonts w:hint="eastAsia" w:asciiTheme="majorEastAsia" w:hAnsiTheme="majorEastAsia" w:eastAsiaTheme="majorEastAsia"/>
          <w:bCs/>
          <w:color w:val="000000" w:themeColor="text1"/>
          <w:sz w:val="18"/>
          <w:szCs w:val="18"/>
        </w:rPr>
        <w:t>期货资产管理计划、</w:t>
      </w:r>
      <w:r>
        <w:rPr>
          <w:rFonts w:hint="eastAsia" w:asciiTheme="majorEastAsia" w:hAnsiTheme="majorEastAsia" w:eastAsiaTheme="majorEastAsia"/>
          <w:bCs/>
          <w:color w:val="000000" w:themeColor="text1"/>
          <w:kern w:val="0"/>
          <w:sz w:val="18"/>
          <w:szCs w:val="18"/>
        </w:rPr>
        <w:t>保险资产管理计划</w:t>
      </w:r>
      <w:r>
        <w:rPr>
          <w:rFonts w:hint="eastAsia" w:asciiTheme="majorEastAsia" w:hAnsiTheme="majorEastAsia" w:eastAsiaTheme="majorEastAsia"/>
          <w:bCs/>
          <w:color w:val="000000" w:themeColor="text1"/>
          <w:sz w:val="18"/>
          <w:szCs w:val="18"/>
        </w:rPr>
        <w:t>等），前述资产管理产品的管理人可能收取</w:t>
      </w:r>
      <w:r>
        <w:rPr>
          <w:rFonts w:asciiTheme="majorEastAsia" w:hAnsiTheme="majorEastAsia" w:eastAsiaTheme="majorEastAsia"/>
          <w:bCs/>
          <w:color w:val="000000" w:themeColor="text1"/>
          <w:sz w:val="18"/>
          <w:szCs w:val="18"/>
        </w:rPr>
        <w:t>业绩报酬，</w:t>
      </w:r>
      <w:r>
        <w:rPr>
          <w:rFonts w:hint="eastAsia" w:asciiTheme="majorEastAsia" w:hAnsiTheme="majorEastAsia" w:eastAsiaTheme="majorEastAsia"/>
          <w:bCs/>
          <w:color w:val="000000" w:themeColor="text1"/>
          <w:sz w:val="18"/>
          <w:szCs w:val="18"/>
        </w:rPr>
        <w:t>当前述资产管理产品计提业绩报酬时，本理财产品的</w:t>
      </w:r>
      <w:r>
        <w:rPr>
          <w:rFonts w:hint="eastAsia" w:asciiTheme="minorEastAsia" w:hAnsiTheme="minorEastAsia" w:eastAsiaTheme="minorEastAsia"/>
          <w:sz w:val="18"/>
          <w:szCs w:val="18"/>
        </w:rPr>
        <w:t>每万份理财已实现收益和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Theme="majorEastAsia" w:hAnsiTheme="majorEastAsia" w:eastAsiaTheme="majorEastAsia"/>
          <w:bCs/>
          <w:color w:val="000000" w:themeColor="text1"/>
          <w:sz w:val="18"/>
          <w:szCs w:val="18"/>
        </w:rPr>
        <w:t>存在下跌的风险。</w:t>
      </w:r>
    </w:p>
    <w:p>
      <w:pPr>
        <w:pStyle w:val="13"/>
        <w:ind w:firstLineChars="0"/>
        <w:rPr>
          <w:rFonts w:ascii="宋体" w:hAnsi="宋体"/>
          <w:bCs/>
          <w:sz w:val="18"/>
          <w:szCs w:val="18"/>
        </w:rPr>
      </w:pPr>
      <w:r>
        <w:rPr>
          <w:rFonts w:ascii="宋体" w:hAnsi="宋体"/>
          <w:b/>
          <w:bCs/>
          <w:sz w:val="18"/>
          <w:szCs w:val="18"/>
        </w:rPr>
        <w:t>1</w:t>
      </w:r>
      <w:r>
        <w:rPr>
          <w:rFonts w:hint="eastAsia" w:ascii="宋体" w:hAnsi="宋体"/>
          <w:b/>
          <w:bCs/>
          <w:sz w:val="18"/>
          <w:szCs w:val="18"/>
          <w:lang w:val="en-US" w:eastAsia="zh-CN"/>
        </w:rPr>
        <w:t>4</w:t>
      </w:r>
      <w:r>
        <w:rPr>
          <w:rFonts w:hint="eastAsia" w:ascii="宋体" w:hAnsi="宋体"/>
          <w:b/>
          <w:bCs/>
          <w:sz w:val="18"/>
          <w:szCs w:val="18"/>
        </w:rPr>
        <w:t>.</w:t>
      </w:r>
      <w:r>
        <w:rPr>
          <w:rFonts w:ascii="宋体" w:hAnsi="宋体"/>
          <w:b/>
          <w:bCs/>
          <w:sz w:val="18"/>
          <w:szCs w:val="18"/>
        </w:rPr>
        <w:t>估值差错风险：</w:t>
      </w: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w:t>
      </w:r>
      <w:r>
        <w:rPr>
          <w:rFonts w:hint="eastAsia" w:asciiTheme="minorEastAsia" w:hAnsiTheme="minorEastAsia" w:eastAsiaTheme="minorEastAsia"/>
          <w:sz w:val="18"/>
          <w:szCs w:val="18"/>
        </w:rPr>
        <w:t>每万份理财已实现收益和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bCs/>
          <w:sz w:val="18"/>
          <w:szCs w:val="18"/>
        </w:rPr>
        <w:t>。</w:t>
      </w:r>
    </w:p>
    <w:p>
      <w:pPr>
        <w:pStyle w:val="13"/>
        <w:ind w:firstLineChars="0"/>
        <w:rPr>
          <w:rFonts w:ascii="黑体" w:hAnsi="黑体" w:eastAsia="黑体"/>
          <w:bCs/>
          <w:sz w:val="18"/>
          <w:szCs w:val="18"/>
          <w:u w:val="single"/>
        </w:rPr>
      </w:pPr>
      <w:r>
        <w:rPr>
          <w:rFonts w:ascii="宋体" w:hAnsi="宋体"/>
          <w:b/>
          <w:bCs/>
          <w:sz w:val="18"/>
          <w:szCs w:val="18"/>
        </w:rPr>
        <w:t>1</w:t>
      </w:r>
      <w:r>
        <w:rPr>
          <w:rFonts w:hint="eastAsia" w:ascii="宋体" w:hAnsi="宋体"/>
          <w:b/>
          <w:bCs/>
          <w:sz w:val="18"/>
          <w:szCs w:val="18"/>
          <w:lang w:val="en-US" w:eastAsia="zh-CN"/>
        </w:rPr>
        <w:t>5</w:t>
      </w:r>
      <w:r>
        <w:rPr>
          <w:rFonts w:hint="eastAsia" w:ascii="宋体" w:hAnsi="宋体"/>
          <w:b/>
          <w:bCs/>
          <w:sz w:val="18"/>
          <w:szCs w:val="18"/>
        </w:rPr>
        <w:t>.</w:t>
      </w:r>
      <w:r>
        <w:rPr>
          <w:rFonts w:hint="eastAsia" w:hAnsi="宋体"/>
          <w:sz w:val="18"/>
          <w:szCs w:val="18"/>
        </w:rPr>
        <w:t>★</w:t>
      </w:r>
      <w:r>
        <w:rPr>
          <w:rFonts w:hint="eastAsia" w:ascii="宋体" w:hAnsi="宋体"/>
          <w:b/>
          <w:bCs/>
          <w:sz w:val="18"/>
          <w:szCs w:val="18"/>
        </w:rPr>
        <w:t>代销风险：</w:t>
      </w:r>
      <w:r>
        <w:rPr>
          <w:rFonts w:hint="eastAsia" w:ascii="黑体" w:hAnsi="黑体" w:eastAsia="黑体"/>
          <w:bCs/>
          <w:sz w:val="18"/>
          <w:szCs w:val="18"/>
          <w:u w:val="single"/>
        </w:rPr>
        <w:t>本理财产品若通过非产品管理人自有渠道进行销售的属于代理销售，认购</w:t>
      </w:r>
      <w:r>
        <w:rPr>
          <w:rFonts w:ascii="黑体" w:hAnsi="黑体" w:eastAsia="黑体"/>
          <w:bCs/>
          <w:sz w:val="18"/>
          <w:szCs w:val="18"/>
          <w:u w:val="single"/>
        </w:rPr>
        <w:t>/</w:t>
      </w:r>
      <w:r>
        <w:rPr>
          <w:rFonts w:hint="eastAsia" w:ascii="黑体" w:hAnsi="黑体" w:eastAsia="黑体"/>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w:t>
      </w:r>
      <w:r>
        <w:rPr>
          <w:rFonts w:ascii="黑体" w:hAnsi="黑体" w:eastAsia="黑体"/>
          <w:bCs/>
          <w:sz w:val="18"/>
          <w:szCs w:val="18"/>
          <w:u w:val="single"/>
        </w:rPr>
        <w:t>利益</w:t>
      </w:r>
      <w:r>
        <w:rPr>
          <w:rFonts w:hint="eastAsia" w:ascii="黑体" w:hAnsi="黑体" w:eastAsia="黑体"/>
          <w:bCs/>
          <w:sz w:val="18"/>
          <w:szCs w:val="18"/>
          <w:u w:val="single"/>
        </w:rPr>
        <w:t>。不同代理销售机构的销售渠道，其</w:t>
      </w:r>
      <w:r>
        <w:rPr>
          <w:rFonts w:ascii="黑体" w:hAnsi="黑体" w:eastAsia="黑体"/>
          <w:bCs/>
          <w:sz w:val="18"/>
          <w:szCs w:val="18"/>
          <w:u w:val="single"/>
        </w:rPr>
        <w:t>申购</w:t>
      </w:r>
      <w:r>
        <w:rPr>
          <w:rFonts w:hint="eastAsia" w:ascii="黑体" w:hAnsi="黑体" w:eastAsia="黑体"/>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pStyle w:val="13"/>
        <w:ind w:firstLineChars="0"/>
        <w:rPr>
          <w:rFonts w:ascii="黑体" w:hAnsi="黑体" w:eastAsia="黑体" w:cs="仿宋_GB2312"/>
          <w:kern w:val="0"/>
          <w:sz w:val="18"/>
          <w:szCs w:val="18"/>
        </w:rPr>
      </w:pPr>
      <w:r>
        <w:rPr>
          <w:rFonts w:ascii="黑体" w:hAnsi="黑体" w:eastAsia="黑体"/>
          <w:b/>
          <w:bCs/>
          <w:sz w:val="18"/>
          <w:szCs w:val="18"/>
          <w:u w:val="single"/>
        </w:rPr>
        <w:t>1</w:t>
      </w:r>
      <w:r>
        <w:rPr>
          <w:rFonts w:hint="eastAsia" w:ascii="黑体" w:hAnsi="黑体" w:eastAsia="黑体"/>
          <w:b/>
          <w:bCs/>
          <w:sz w:val="18"/>
          <w:szCs w:val="18"/>
          <w:u w:val="single"/>
          <w:lang w:val="en-US" w:eastAsia="zh-CN"/>
        </w:rPr>
        <w:t>6</w:t>
      </w:r>
      <w:r>
        <w:rPr>
          <w:rFonts w:ascii="黑体" w:hAnsi="黑体" w:eastAsia="黑体"/>
          <w:b/>
          <w:bCs/>
          <w:sz w:val="18"/>
          <w:szCs w:val="18"/>
          <w:u w:val="single"/>
        </w:rPr>
        <w:t>.</w:t>
      </w:r>
      <w:r>
        <w:rPr>
          <w:rFonts w:hint="eastAsia" w:ascii="黑体" w:hAnsi="黑体" w:eastAsia="黑体" w:cs="仿宋_GB2312"/>
          <w:b/>
          <w:kern w:val="0"/>
          <w:sz w:val="18"/>
          <w:szCs w:val="18"/>
        </w:rPr>
        <w:t>★不同理财产品份额类别存在差异的风险：</w:t>
      </w: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）、投资者</w:t>
      </w:r>
      <w:r>
        <w:rPr>
          <w:rFonts w:ascii="黑体" w:hAnsi="黑体" w:eastAsia="黑体" w:cs="仿宋_GB2312"/>
          <w:kern w:val="0"/>
          <w:sz w:val="18"/>
          <w:szCs w:val="18"/>
        </w:rPr>
        <w:t>认购申购和</w:t>
      </w:r>
      <w:r>
        <w:rPr>
          <w:rFonts w:hint="eastAsia" w:ascii="黑体" w:hAnsi="黑体" w:eastAsia="黑体" w:cs="仿宋_GB2312"/>
          <w:kern w:val="0"/>
          <w:sz w:val="18"/>
          <w:szCs w:val="18"/>
        </w:rPr>
        <w:t>赎回的数量限制、投资者</w:t>
      </w:r>
      <w:r>
        <w:rPr>
          <w:rFonts w:ascii="黑体" w:hAnsi="黑体" w:eastAsia="黑体" w:cs="仿宋_GB2312"/>
          <w:kern w:val="0"/>
          <w:sz w:val="18"/>
          <w:szCs w:val="18"/>
        </w:rPr>
        <w:t>持有本产品的最高限额</w:t>
      </w:r>
      <w:r>
        <w:rPr>
          <w:rFonts w:hint="eastAsia" w:ascii="黑体" w:hAnsi="黑体" w:eastAsia="黑体" w:cs="仿宋_GB2312"/>
          <w:kern w:val="0"/>
          <w:sz w:val="18"/>
          <w:szCs w:val="18"/>
        </w:rPr>
        <w:t>最低</w:t>
      </w:r>
      <w:r>
        <w:rPr>
          <w:rFonts w:ascii="黑体" w:hAnsi="黑体" w:eastAsia="黑体" w:cs="仿宋_GB2312"/>
          <w:kern w:val="0"/>
          <w:sz w:val="18"/>
          <w:szCs w:val="18"/>
        </w:rPr>
        <w:t>限额、</w:t>
      </w:r>
      <w:r>
        <w:rPr>
          <w:rFonts w:hint="eastAsia" w:ascii="黑体" w:hAnsi="黑体" w:eastAsia="黑体" w:cs="仿宋_GB2312"/>
          <w:kern w:val="0"/>
          <w:sz w:val="18"/>
          <w:szCs w:val="18"/>
        </w:rPr>
        <w:t>计算和公告产品份额净值方面存在差异。</w:t>
      </w:r>
    </w:p>
    <w:p>
      <w:pPr>
        <w:pStyle w:val="13"/>
        <w:ind w:firstLineChars="0"/>
        <w:rPr>
          <w:rFonts w:ascii="黑体" w:hAnsi="黑体" w:eastAsia="黑体"/>
          <w:sz w:val="18"/>
          <w:szCs w:val="18"/>
          <w:u w:val="single"/>
        </w:rPr>
      </w:pPr>
      <w:r>
        <w:rPr>
          <w:rFonts w:ascii="黑体" w:hAnsi="黑体" w:eastAsia="黑体"/>
          <w:b/>
          <w:bCs/>
          <w:sz w:val="18"/>
          <w:szCs w:val="18"/>
          <w:u w:val="single"/>
        </w:rPr>
        <w:t>1</w:t>
      </w:r>
      <w:r>
        <w:rPr>
          <w:rFonts w:hint="eastAsia" w:ascii="黑体" w:hAnsi="黑体" w:eastAsia="黑体"/>
          <w:b/>
          <w:bCs/>
          <w:sz w:val="18"/>
          <w:szCs w:val="18"/>
          <w:u w:val="single"/>
          <w:lang w:val="en-US" w:eastAsia="zh-CN"/>
        </w:rPr>
        <w:t>7</w:t>
      </w:r>
      <w:r>
        <w:rPr>
          <w:rFonts w:ascii="黑体" w:hAnsi="黑体" w:eastAsia="黑体"/>
          <w:b/>
          <w:bCs/>
          <w:sz w:val="18"/>
          <w:szCs w:val="18"/>
          <w:u w:val="single"/>
        </w:rPr>
        <w:t>.</w:t>
      </w:r>
      <w:r>
        <w:rPr>
          <w:rFonts w:hint="eastAsia" w:ascii="黑体" w:hAnsi="黑体" w:eastAsia="黑体"/>
          <w:b/>
          <w:bCs/>
          <w:sz w:val="18"/>
          <w:szCs w:val="18"/>
          <w:u w:val="single"/>
        </w:rPr>
        <w:t>关联交易风险：</w:t>
      </w:r>
      <w:r>
        <w:rPr>
          <w:rFonts w:hint="eastAsia" w:ascii="黑体" w:hAnsi="黑体" w:eastAsia="黑体"/>
          <w:sz w:val="18"/>
          <w:szCs w:val="18"/>
          <w:u w:val="single"/>
        </w:rPr>
        <w:t>若本产品的销售机构为兴业银行股份有限公司（以下简称“兴业银行”），鉴于兴业银行是产品管理人的关联方，尽管兴业银行已建立健全关联方产品销售管理制度，但上述关联</w:t>
      </w:r>
      <w:r>
        <w:rPr>
          <w:rFonts w:ascii="黑体" w:hAnsi="黑体" w:eastAsia="黑体"/>
          <w:sz w:val="18"/>
          <w:szCs w:val="18"/>
          <w:u w:val="single"/>
        </w:rPr>
        <w:t>关系</w:t>
      </w:r>
      <w:r>
        <w:rPr>
          <w:rFonts w:hint="eastAsia" w:ascii="黑体" w:hAnsi="黑体" w:eastAsia="黑体"/>
          <w:sz w:val="18"/>
          <w:szCs w:val="18"/>
          <w:u w:val="single"/>
        </w:rPr>
        <w:t>仍可能产生</w:t>
      </w:r>
      <w:r>
        <w:rPr>
          <w:rFonts w:ascii="黑体" w:hAnsi="黑体" w:eastAsia="黑体"/>
          <w:sz w:val="18"/>
          <w:szCs w:val="18"/>
          <w:u w:val="single"/>
        </w:rPr>
        <w:t>不利影响和投资</w:t>
      </w:r>
      <w:r>
        <w:rPr>
          <w:rFonts w:hint="eastAsia" w:ascii="黑体" w:hAnsi="黑体" w:eastAsia="黑体"/>
          <w:sz w:val="18"/>
          <w:szCs w:val="18"/>
          <w:u w:val="single"/>
        </w:rPr>
        <w:t>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w:t>
      </w:r>
      <w:r>
        <w:rPr>
          <w:rFonts w:ascii="黑体" w:hAnsi="黑体" w:eastAsia="黑体" w:cs="仿宋_GB2312"/>
          <w:kern w:val="0"/>
          <w:sz w:val="18"/>
          <w:szCs w:val="18"/>
        </w:rPr>
        <w:t>三</w:t>
      </w:r>
      <w:r>
        <w:rPr>
          <w:rFonts w:hint="eastAsia" w:ascii="黑体" w:hAnsi="黑体" w:eastAsia="黑体" w:cs="仿宋_GB2312"/>
          <w:kern w:val="0"/>
          <w:sz w:val="18"/>
          <w:szCs w:val="18"/>
        </w:rPr>
        <w:t>）</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cs="仿宋_GB2312"/>
          <w:kern w:val="0"/>
          <w:sz w:val="18"/>
          <w:szCs w:val="18"/>
        </w:rPr>
      </w:pPr>
      <w:r>
        <w:rPr>
          <w:rFonts w:hint="eastAsia" w:ascii="宋体"/>
          <w:b/>
          <w:bCs/>
          <w:color w:val="000000"/>
          <w:kern w:val="0"/>
          <w:sz w:val="18"/>
          <w:szCs w:val="18"/>
        </w:rPr>
        <w:t>五、【投资者适用】</w:t>
      </w:r>
      <w:r>
        <w:rPr>
          <w:rFonts w:hint="eastAsia" w:ascii="宋体" w:hAnsi="宋体" w:cs="仿宋_GB2312"/>
          <w:kern w:val="0"/>
          <w:sz w:val="18"/>
          <w:szCs w:val="18"/>
        </w:rPr>
        <w:t>《投资者风险承受能力评估问卷》用于评估投资者对金融工具及投资目标的相关风险的态度。投资者可根据评估结果确定所属投资者类型，购买适合的理财产品。</w:t>
      </w:r>
      <w:r>
        <w:rPr>
          <w:rFonts w:hint="eastAsia" w:ascii="黑体" w:hAnsi="黑体" w:eastAsia="黑体" w:cs="仿宋_GB2312"/>
          <w:kern w:val="0"/>
          <w:sz w:val="18"/>
          <w:szCs w:val="18"/>
        </w:rPr>
        <w:t>如影响您风险承受能力的因素发生变化，请您及时重新完成风险承受能力评估。</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wordWrap w:val="0"/>
        <w:ind w:left="540"/>
        <w:jc w:val="right"/>
        <w:rPr>
          <w:rFonts w:ascii="宋体" w:hAnsi="宋体"/>
          <w:sz w:val="18"/>
          <w:szCs w:val="18"/>
        </w:rPr>
      </w:pPr>
      <w:r>
        <w:rPr>
          <w:rFonts w:hint="eastAsia" w:ascii="宋体" w:hAnsi="宋体"/>
          <w:sz w:val="18"/>
          <w:szCs w:val="18"/>
        </w:rPr>
        <w:t xml:space="preserve">销售机构（【  </w:t>
      </w:r>
      <w:r>
        <w:rPr>
          <w:rFonts w:ascii="宋体" w:hAnsi="宋体"/>
          <w:sz w:val="18"/>
          <w:szCs w:val="18"/>
        </w:rPr>
        <w:t xml:space="preserve">                 </w:t>
      </w:r>
      <w:r>
        <w:rPr>
          <w:rFonts w:hint="eastAsia" w:ascii="宋体" w:hAnsi="宋体"/>
          <w:sz w:val="18"/>
          <w:szCs w:val="18"/>
        </w:rPr>
        <w:t>】）</w:t>
      </w:r>
    </w:p>
    <w:p>
      <w:pPr>
        <w:widowControl/>
        <w:jc w:val="left"/>
        <w:rPr>
          <w:rFonts w:ascii="宋体" w:hAnsi="宋体"/>
          <w:sz w:val="18"/>
          <w:szCs w:val="18"/>
        </w:rPr>
      </w:pPr>
      <w:r>
        <w:rPr>
          <w:rFonts w:ascii="宋体" w:hAnsi="宋体"/>
          <w:sz w:val="18"/>
          <w:szCs w:val="18"/>
        </w:rPr>
        <w:br w:type="page"/>
      </w:r>
    </w:p>
    <w:p>
      <w:pPr>
        <w:ind w:left="540"/>
        <w:jc w:val="right"/>
        <w:rPr>
          <w:rFonts w:ascii="宋体" w:hAnsi="宋体"/>
          <w:sz w:val="18"/>
          <w:szCs w:val="18"/>
        </w:rPr>
      </w:pPr>
    </w:p>
    <w:p>
      <w:pPr>
        <w:ind w:left="540"/>
        <w:jc w:val="right"/>
        <w:rPr>
          <w:rFonts w:ascii="宋体" w:hAnsi="宋体"/>
          <w:sz w:val="18"/>
          <w:szCs w:val="18"/>
        </w:rPr>
      </w:pPr>
    </w:p>
    <w:tbl>
      <w:tblPr>
        <w:tblStyle w:val="10"/>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6283" w:hRule="atLeast"/>
        </w:trPr>
        <w:tc>
          <w:tcPr>
            <w:tcW w:w="8371" w:type="dxa"/>
          </w:tcPr>
          <w:p>
            <w:pPr>
              <w:spacing w:line="280" w:lineRule="atLeast"/>
              <w:ind w:firstLine="360" w:firstLineChars="200"/>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投资者签字：</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autoSpaceDE w:val="0"/>
        <w:autoSpaceDN w:val="0"/>
        <w:adjustRightInd w:val="0"/>
        <w:spacing w:line="360" w:lineRule="auto"/>
        <w:ind w:firstLine="420"/>
        <w:jc w:val="left"/>
        <w:rPr>
          <w:rFonts w:ascii="宋体" w:hAnsi="宋体"/>
          <w:sz w:val="24"/>
        </w:rPr>
      </w:pPr>
    </w:p>
    <w:p>
      <w:pPr>
        <w:autoSpaceDE w:val="0"/>
        <w:autoSpaceDN w:val="0"/>
        <w:adjustRightInd w:val="0"/>
        <w:spacing w:line="360" w:lineRule="auto"/>
        <w:ind w:firstLine="420"/>
        <w:jc w:val="left"/>
        <w:rPr>
          <w:rFonts w:ascii="宋体" w:hAnsi="宋体"/>
          <w:sz w:val="24"/>
        </w:rPr>
      </w:pPr>
    </w:p>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rPr>
          <w:rFonts w:ascii="宋体" w:hAnsi="宋体" w:cs="Arial"/>
          <w:sz w:val="24"/>
        </w:rPr>
      </w:pPr>
    </w:p>
    <w:p>
      <w:pPr>
        <w:rPr>
          <w:rFonts w:ascii="宋体" w:hAnsi="宋体" w:cs="Arial"/>
          <w:sz w:val="24"/>
        </w:rPr>
      </w:pPr>
    </w:p>
    <w:p>
      <w:pPr>
        <w:rPr>
          <w:rFonts w:ascii="宋体" w:hAnsi="宋体" w:cs="Arial"/>
          <w:sz w:val="24"/>
        </w:rPr>
      </w:pPr>
    </w:p>
    <w:p>
      <w:pPr>
        <w:rPr>
          <w:rFonts w:ascii="宋体" w:hAnsi="宋体" w:cs="Arial"/>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10"/>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r>
              <w:rPr>
                <w:rFonts w:ascii="宋体" w:hAnsi="宋体" w:cs="Arial"/>
                <w:b/>
                <w:kern w:val="0"/>
                <w:sz w:val="20"/>
                <w:szCs w:val="21"/>
              </w:rPr>
              <w:t>一般机构客户</w:t>
            </w:r>
            <w:r>
              <w:rPr>
                <w:rFonts w:hint="eastAsia" w:ascii="宋体" w:hAnsi="宋体" w:cs="Arial"/>
                <w:b/>
                <w:kern w:val="0"/>
                <w:sz w:val="20"/>
                <w:szCs w:val="21"/>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7355" w:hRule="atLeast"/>
        </w:trPr>
        <w:tc>
          <w:tcPr>
            <w:tcW w:w="8413" w:type="dxa"/>
          </w:tcPr>
          <w:p>
            <w:pPr>
              <w:spacing w:line="280" w:lineRule="atLeast"/>
              <w:ind w:firstLine="360" w:firstLineChars="200"/>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（签字或盖章）：</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r>
        <w:rPr>
          <w:rFonts w:ascii="宋体" w:hAnsi="宋体"/>
          <w:b/>
          <w:sz w:val="28"/>
          <w:szCs w:val="28"/>
        </w:rPr>
        <w:br w:type="page"/>
      </w:r>
    </w:p>
    <w:tbl>
      <w:tblPr>
        <w:tblStyle w:val="10"/>
        <w:tblW w:w="8388"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88"/>
      </w:tblGrid>
      <w:tr>
        <w:tblPrEx>
          <w:tblLayout w:type="fixed"/>
          <w:tblCellMar>
            <w:top w:w="0" w:type="dxa"/>
            <w:left w:w="108" w:type="dxa"/>
            <w:bottom w:w="0" w:type="dxa"/>
            <w:right w:w="108" w:type="dxa"/>
          </w:tblCellMar>
        </w:tblPrEx>
        <w:trPr>
          <w:trHeight w:val="673" w:hRule="atLeast"/>
        </w:trPr>
        <w:tc>
          <w:tcPr>
            <w:tcW w:w="8388"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（适用于机构投资者：金融同业</w:t>
            </w:r>
            <w:r>
              <w:rPr>
                <w:rFonts w:ascii="宋体" w:hAnsi="宋体" w:cs="Arial"/>
                <w:b/>
                <w:kern w:val="0"/>
                <w:sz w:val="20"/>
                <w:szCs w:val="21"/>
              </w:rPr>
              <w:t>客户</w:t>
            </w:r>
            <w:r>
              <w:rPr>
                <w:rFonts w:hint="eastAsia" w:ascii="宋体" w:hAnsi="宋体" w:cs="Arial"/>
                <w:b/>
                <w:kern w:val="0"/>
                <w:sz w:val="20"/>
                <w:szCs w:val="21"/>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6016" w:hRule="atLeast"/>
        </w:trPr>
        <w:tc>
          <w:tcPr>
            <w:tcW w:w="8388" w:type="dxa"/>
          </w:tcPr>
          <w:p>
            <w:pPr>
              <w:spacing w:line="280" w:lineRule="atLeast"/>
              <w:ind w:firstLine="360" w:firstLineChars="200"/>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（签字或盖章）：</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thickThinLargeGap" w:color="auto" w:sz="24" w:space="10"/>
      </w:pBdr>
      <w:tabs>
        <w:tab w:val="right" w:pos="8280"/>
      </w:tabs>
      <w:wordWrap w:val="0"/>
      <w:adjustRightInd w:val="0"/>
      <w:ind w:firstLine="180" w:firstLineChars="100"/>
      <w:jc w:val="right"/>
    </w:pPr>
    <w:r>
      <w:rPr>
        <w:rFonts w:hint="eastAsia"/>
      </w:rPr>
      <w:t>风险揭示书</w:t>
    </w:r>
  </w:p>
  <w:p>
    <w:pPr>
      <w:pStyle w:val="6"/>
      <w:pBdr>
        <w:bottom w:val="thickThinLargeGap" w:color="auto" w:sz="24" w:space="10"/>
      </w:pBdr>
      <w:tabs>
        <w:tab w:val="right" w:pos="8280"/>
      </w:tabs>
      <w:wordWrap w:val="0"/>
      <w:adjustRightInd w:val="0"/>
      <w:ind w:firstLine="180" w:firstLineChars="100"/>
      <w:jc w:val="right"/>
    </w:pPr>
    <w:r>
      <w:t>注</w:t>
    </w:r>
    <w:r>
      <w:rPr>
        <w:rFonts w:hint="eastAsia"/>
      </w:rPr>
      <w:t>：</w:t>
    </w:r>
    <w:r>
      <w:t>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E8F"/>
    <w:rsid w:val="00096AC8"/>
    <w:rsid w:val="000A244A"/>
    <w:rsid w:val="000B16F1"/>
    <w:rsid w:val="000B357F"/>
    <w:rsid w:val="001104E8"/>
    <w:rsid w:val="00147C55"/>
    <w:rsid w:val="00152999"/>
    <w:rsid w:val="001E6CCA"/>
    <w:rsid w:val="00262560"/>
    <w:rsid w:val="002B4BDD"/>
    <w:rsid w:val="002B63FC"/>
    <w:rsid w:val="002C604E"/>
    <w:rsid w:val="002F0B15"/>
    <w:rsid w:val="00346ED2"/>
    <w:rsid w:val="003473AC"/>
    <w:rsid w:val="00374070"/>
    <w:rsid w:val="003A74E9"/>
    <w:rsid w:val="003E1A68"/>
    <w:rsid w:val="003F1C32"/>
    <w:rsid w:val="00420D74"/>
    <w:rsid w:val="00466605"/>
    <w:rsid w:val="004C7F5E"/>
    <w:rsid w:val="00527A03"/>
    <w:rsid w:val="00563E8F"/>
    <w:rsid w:val="005A7030"/>
    <w:rsid w:val="005C6FCB"/>
    <w:rsid w:val="005F48BE"/>
    <w:rsid w:val="00631111"/>
    <w:rsid w:val="006538E1"/>
    <w:rsid w:val="00715381"/>
    <w:rsid w:val="007211D5"/>
    <w:rsid w:val="007303F6"/>
    <w:rsid w:val="007A7D23"/>
    <w:rsid w:val="007B017F"/>
    <w:rsid w:val="007C7189"/>
    <w:rsid w:val="007E6837"/>
    <w:rsid w:val="0080662E"/>
    <w:rsid w:val="00836C1F"/>
    <w:rsid w:val="00844DAB"/>
    <w:rsid w:val="0089118C"/>
    <w:rsid w:val="00894EE6"/>
    <w:rsid w:val="008A707D"/>
    <w:rsid w:val="008D3E86"/>
    <w:rsid w:val="008F2B54"/>
    <w:rsid w:val="008F78EB"/>
    <w:rsid w:val="0090633F"/>
    <w:rsid w:val="00955293"/>
    <w:rsid w:val="0095781F"/>
    <w:rsid w:val="00981E5B"/>
    <w:rsid w:val="00A17212"/>
    <w:rsid w:val="00A71196"/>
    <w:rsid w:val="00A95D0C"/>
    <w:rsid w:val="00AE5AA3"/>
    <w:rsid w:val="00B06267"/>
    <w:rsid w:val="00B07DEF"/>
    <w:rsid w:val="00B35D81"/>
    <w:rsid w:val="00B3723D"/>
    <w:rsid w:val="00BB513F"/>
    <w:rsid w:val="00BC1259"/>
    <w:rsid w:val="00BC398E"/>
    <w:rsid w:val="00BE1A3A"/>
    <w:rsid w:val="00BF3C6C"/>
    <w:rsid w:val="00C01696"/>
    <w:rsid w:val="00C12187"/>
    <w:rsid w:val="00C4233D"/>
    <w:rsid w:val="00D03CCD"/>
    <w:rsid w:val="00D46533"/>
    <w:rsid w:val="00D61696"/>
    <w:rsid w:val="00D91389"/>
    <w:rsid w:val="00DA2C69"/>
    <w:rsid w:val="00DD246D"/>
    <w:rsid w:val="00DD5ABC"/>
    <w:rsid w:val="00E2462B"/>
    <w:rsid w:val="00E504DE"/>
    <w:rsid w:val="00E767F1"/>
    <w:rsid w:val="00E80603"/>
    <w:rsid w:val="00EB34F9"/>
    <w:rsid w:val="00F26B46"/>
    <w:rsid w:val="00F34E57"/>
    <w:rsid w:val="00F57B20"/>
    <w:rsid w:val="00F60A85"/>
    <w:rsid w:val="00F8077D"/>
    <w:rsid w:val="00FA5239"/>
    <w:rsid w:val="010D724A"/>
    <w:rsid w:val="07E74602"/>
    <w:rsid w:val="10BC6184"/>
    <w:rsid w:val="15AD0BAD"/>
    <w:rsid w:val="168D0F1A"/>
    <w:rsid w:val="170569C3"/>
    <w:rsid w:val="20083C30"/>
    <w:rsid w:val="23024B39"/>
    <w:rsid w:val="297F1CB5"/>
    <w:rsid w:val="2ADD70B4"/>
    <w:rsid w:val="2BF34560"/>
    <w:rsid w:val="2EAA6E13"/>
    <w:rsid w:val="2F857D62"/>
    <w:rsid w:val="37C37573"/>
    <w:rsid w:val="3D7E057F"/>
    <w:rsid w:val="437E197C"/>
    <w:rsid w:val="4E0603C3"/>
    <w:rsid w:val="5646025A"/>
    <w:rsid w:val="601969DF"/>
    <w:rsid w:val="6080693A"/>
    <w:rsid w:val="63645352"/>
    <w:rsid w:val="72D26379"/>
    <w:rsid w:val="75323B15"/>
    <w:rsid w:val="75DD6A8D"/>
    <w:rsid w:val="79C577A8"/>
    <w:rsid w:val="7A2C20FE"/>
    <w:rsid w:val="7B906998"/>
    <w:rsid w:val="7D0A52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5"/>
    <w:semiHidden/>
    <w:unhideWhenUsed/>
    <w:qFormat/>
    <w:uiPriority w:val="99"/>
    <w:rPr>
      <w:b/>
      <w:bCs/>
    </w:r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annotation reference"/>
    <w:basedOn w:val="7"/>
    <w:semiHidden/>
    <w:unhideWhenUsed/>
    <w:qFormat/>
    <w:uiPriority w:val="99"/>
    <w:rPr>
      <w:sz w:val="21"/>
      <w:szCs w:val="21"/>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1">
    <w:name w:val="页眉 Char"/>
    <w:basedOn w:val="7"/>
    <w:link w:val="6"/>
    <w:qFormat/>
    <w:uiPriority w:val="99"/>
    <w:rPr>
      <w:sz w:val="18"/>
      <w:szCs w:val="18"/>
    </w:rPr>
  </w:style>
  <w:style w:type="character" w:customStyle="1" w:styleId="12">
    <w:name w:val="页脚 Char"/>
    <w:basedOn w:val="7"/>
    <w:link w:val="5"/>
    <w:qFormat/>
    <w:uiPriority w:val="99"/>
    <w:rPr>
      <w:sz w:val="18"/>
      <w:szCs w:val="18"/>
    </w:rPr>
  </w:style>
  <w:style w:type="paragraph" w:styleId="13">
    <w:name w:val="List Paragraph"/>
    <w:basedOn w:val="1"/>
    <w:qFormat/>
    <w:uiPriority w:val="0"/>
    <w:pPr>
      <w:ind w:firstLine="420" w:firstLineChars="200"/>
    </w:pPr>
  </w:style>
  <w:style w:type="character" w:customStyle="1" w:styleId="14">
    <w:name w:val="批注文字 Char"/>
    <w:basedOn w:val="7"/>
    <w:link w:val="3"/>
    <w:semiHidden/>
    <w:qFormat/>
    <w:uiPriority w:val="99"/>
    <w:rPr>
      <w:rFonts w:ascii="Calibri" w:hAnsi="Calibri" w:eastAsia="宋体" w:cs="宋体"/>
    </w:rPr>
  </w:style>
  <w:style w:type="character" w:customStyle="1" w:styleId="15">
    <w:name w:val="批注主题 Char"/>
    <w:basedOn w:val="14"/>
    <w:link w:val="2"/>
    <w:semiHidden/>
    <w:qFormat/>
    <w:uiPriority w:val="99"/>
    <w:rPr>
      <w:rFonts w:ascii="Calibri" w:hAnsi="Calibri" w:eastAsia="宋体" w:cs="宋体"/>
      <w:b/>
      <w:bCs/>
    </w:rPr>
  </w:style>
  <w:style w:type="character" w:customStyle="1" w:styleId="16">
    <w:name w:val="批注框文本 Char"/>
    <w:basedOn w:val="7"/>
    <w:link w:val="4"/>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4653</Words>
  <Characters>4706</Characters>
  <Lines>34</Lines>
  <Paragraphs>9</Paragraphs>
  <TotalTime>0</TotalTime>
  <ScaleCrop>false</ScaleCrop>
  <LinksUpToDate>false</LinksUpToDate>
  <CharactersWithSpaces>4827</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2021-06-16T13:02:00Z</dcterms:created>
  <dc:creator>胡骁潇</dc:creator>
  <cp:lastModifiedBy>朱乐</cp:lastModifiedBy>
  <dcterms:modified xsi:type="dcterms:W3CDTF">2022-05-06T16:52:49Z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D71D26B9ADD3469C95A542751C0AA9E7</vt:lpwstr>
  </property>
</Properties>
</file>