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431" w:rsidRDefault="006769A0">
      <w:pPr>
        <w:widowControl/>
        <w:spacing w:before="156"/>
        <w:jc w:val="center"/>
        <w:rPr>
          <w:rFonts w:ascii="黑体" w:eastAsia="黑体" w:hAnsi="黑体"/>
          <w:b/>
          <w:sz w:val="28"/>
          <w:szCs w:val="28"/>
        </w:rPr>
      </w:pPr>
      <w:bookmarkStart w:id="0" w:name="_GoBack"/>
      <w:bookmarkEnd w:id="0"/>
      <w:r>
        <w:rPr>
          <w:rFonts w:ascii="黑体" w:eastAsia="黑体" w:hAnsi="黑体" w:hint="eastAsia"/>
          <w:b/>
          <w:sz w:val="28"/>
          <w:szCs w:val="28"/>
        </w:rPr>
        <w:t>兴银理财</w:t>
      </w:r>
      <w:r w:rsidR="008E6241">
        <w:rPr>
          <w:rFonts w:ascii="黑体" w:eastAsia="黑体" w:hAnsi="黑体" w:hint="eastAsia"/>
          <w:b/>
          <w:sz w:val="28"/>
          <w:szCs w:val="28"/>
        </w:rPr>
        <w:t>有限责任公司</w:t>
      </w:r>
      <w:r w:rsidR="003672FE">
        <w:rPr>
          <w:rFonts w:ascii="黑体" w:eastAsia="黑体" w:hAnsi="黑体" w:hint="eastAsia"/>
          <w:b/>
          <w:sz w:val="28"/>
          <w:szCs w:val="28"/>
        </w:rPr>
        <w:t>理财产品</w:t>
      </w:r>
    </w:p>
    <w:p w:rsidR="00646431" w:rsidRDefault="003672FE">
      <w:pPr>
        <w:widowControl/>
        <w:spacing w:before="156"/>
        <w:jc w:val="center"/>
        <w:rPr>
          <w:rFonts w:ascii="黑体" w:eastAsia="黑体" w:hAnsi="黑体"/>
          <w:b/>
          <w:sz w:val="28"/>
          <w:szCs w:val="28"/>
        </w:rPr>
      </w:pPr>
      <w:r>
        <w:rPr>
          <w:rFonts w:ascii="黑体" w:eastAsia="黑体" w:hAnsi="黑体" w:hint="eastAsia"/>
          <w:b/>
          <w:sz w:val="28"/>
          <w:szCs w:val="28"/>
        </w:rPr>
        <w:t>（代理）销售协议书</w:t>
      </w:r>
    </w:p>
    <w:p w:rsidR="00646431" w:rsidRDefault="003672FE" w:rsidP="000A1BD6">
      <w:pPr>
        <w:autoSpaceDE w:val="0"/>
        <w:autoSpaceDN w:val="0"/>
        <w:adjustRightInd w:val="0"/>
        <w:snapToGrid w:val="0"/>
        <w:spacing w:beforeLines="50" w:line="320" w:lineRule="exact"/>
        <w:jc w:val="center"/>
        <w:rPr>
          <w:rFonts w:ascii="宋体" w:hAnsi="宋体"/>
          <w:b/>
          <w:sz w:val="32"/>
          <w:szCs w:val="32"/>
        </w:rPr>
      </w:pPr>
      <w:r>
        <w:rPr>
          <w:rFonts w:ascii="宋体" w:hAnsi="宋体" w:hint="eastAsia"/>
          <w:b/>
          <w:sz w:val="24"/>
        </w:rPr>
        <w:t>理财非存款、产品有风险、投资须谨慎</w:t>
      </w:r>
    </w:p>
    <w:p w:rsidR="00646431" w:rsidRDefault="003672FE" w:rsidP="000A1BD6">
      <w:pPr>
        <w:tabs>
          <w:tab w:val="left" w:pos="8070"/>
          <w:tab w:val="right" w:pos="8306"/>
        </w:tabs>
        <w:autoSpaceDE w:val="0"/>
        <w:autoSpaceDN w:val="0"/>
        <w:adjustRightInd w:val="0"/>
        <w:snapToGrid w:val="0"/>
        <w:spacing w:beforeLines="50" w:line="320" w:lineRule="exact"/>
        <w:jc w:val="center"/>
        <w:rPr>
          <w:rFonts w:ascii="宋体" w:hAnsi="宋体"/>
          <w:b/>
          <w:szCs w:val="21"/>
          <w:u w:val="single"/>
        </w:rPr>
      </w:pPr>
      <w:r>
        <w:rPr>
          <w:rFonts w:ascii="宋体" w:hAnsi="宋体" w:hint="eastAsia"/>
          <w:b/>
          <w:szCs w:val="21"/>
        </w:rPr>
        <w:t>协议编号：</w:t>
      </w:r>
    </w:p>
    <w:p w:rsidR="00646431" w:rsidRDefault="00646431">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tbl>
      <w:tblPr>
        <w:tblW w:w="759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solid" w:color="FFFFFF" w:fill="FFFFFF"/>
        <w:tblLayout w:type="fixed"/>
        <w:tblLook w:val="04A0"/>
      </w:tblPr>
      <w:tblGrid>
        <w:gridCol w:w="817"/>
        <w:gridCol w:w="635"/>
        <w:gridCol w:w="1085"/>
        <w:gridCol w:w="1384"/>
        <w:gridCol w:w="1234"/>
        <w:gridCol w:w="2443"/>
      </w:tblGrid>
      <w:tr w:rsidR="00646431">
        <w:trPr>
          <w:cantSplit/>
          <w:trHeight w:hRule="exact" w:val="449"/>
          <w:jc w:val="center"/>
        </w:trPr>
        <w:tc>
          <w:tcPr>
            <w:tcW w:w="7598" w:type="dxa"/>
            <w:gridSpan w:val="6"/>
            <w:tcBorders>
              <w:bottom w:val="single" w:sz="12" w:space="0" w:color="auto"/>
            </w:tcBorders>
            <w:shd w:val="pct10" w:color="FFFFFF" w:fill="D9D9D9" w:themeFill="background1" w:themeFillShade="D9"/>
            <w:vAlign w:val="center"/>
          </w:tcPr>
          <w:p w:rsidR="00646431" w:rsidRDefault="003672FE">
            <w:pPr>
              <w:pBdr>
                <w:bottom w:val="single" w:sz="6" w:space="1" w:color="auto"/>
              </w:pBdr>
              <w:snapToGrid w:val="0"/>
              <w:spacing w:line="320" w:lineRule="exact"/>
              <w:jc w:val="center"/>
              <w:rPr>
                <w:rFonts w:ascii="宋体" w:hAnsi="宋体"/>
                <w:b/>
                <w:bCs/>
                <w:sz w:val="28"/>
                <w:szCs w:val="28"/>
              </w:rPr>
            </w:pPr>
            <w:r>
              <w:rPr>
                <w:rFonts w:ascii="宋体" w:hAnsi="宋体" w:hint="eastAsia"/>
                <w:b/>
                <w:bCs/>
                <w:sz w:val="28"/>
                <w:szCs w:val="28"/>
              </w:rPr>
              <w:t>信息栏</w:t>
            </w:r>
          </w:p>
          <w:p w:rsidR="00646431" w:rsidRDefault="00646431">
            <w:pPr>
              <w:pStyle w:val="a6"/>
              <w:spacing w:line="320" w:lineRule="exact"/>
              <w:rPr>
                <w:rFonts w:ascii="宋体" w:hAnsi="宋体"/>
                <w:b/>
                <w:bCs/>
                <w:sz w:val="28"/>
                <w:szCs w:val="28"/>
              </w:rPr>
            </w:pPr>
          </w:p>
        </w:tc>
      </w:tr>
      <w:tr w:rsidR="00646431">
        <w:trPr>
          <w:cantSplit/>
          <w:trHeight w:hRule="exact" w:val="170"/>
          <w:jc w:val="center"/>
        </w:trPr>
        <w:tc>
          <w:tcPr>
            <w:tcW w:w="7598" w:type="dxa"/>
            <w:gridSpan w:val="6"/>
            <w:shd w:val="pct10" w:color="A6A6A6" w:themeColor="background1" w:themeShade="A6" w:fill="A6A6A6" w:themeFill="background1" w:themeFillShade="A6"/>
            <w:vAlign w:val="center"/>
          </w:tcPr>
          <w:p w:rsidR="00646431" w:rsidRDefault="00646431">
            <w:pPr>
              <w:pStyle w:val="a6"/>
              <w:spacing w:line="320" w:lineRule="exact"/>
              <w:rPr>
                <w:rFonts w:ascii="宋体" w:hAnsi="宋体"/>
                <w:b/>
                <w:bCs/>
                <w:sz w:val="28"/>
                <w:szCs w:val="28"/>
              </w:rPr>
            </w:pPr>
          </w:p>
        </w:tc>
      </w:tr>
      <w:tr w:rsidR="00646431">
        <w:trPr>
          <w:trHeight w:hRule="exact" w:val="340"/>
          <w:jc w:val="center"/>
        </w:trPr>
        <w:tc>
          <w:tcPr>
            <w:tcW w:w="817"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投资者信息</w:t>
            </w:r>
          </w:p>
        </w:tc>
        <w:tc>
          <w:tcPr>
            <w:tcW w:w="635"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个人投资者适用</w:t>
            </w: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姓名</w:t>
            </w:r>
          </w:p>
        </w:tc>
        <w:tc>
          <w:tcPr>
            <w:tcW w:w="5061" w:type="dxa"/>
            <w:gridSpan w:val="3"/>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shd w:val="solid" w:color="FFFFFF" w:fill="FFFFFF"/>
            <w:vAlign w:val="center"/>
          </w:tcPr>
          <w:p w:rsidR="00646431" w:rsidRDefault="00646431">
            <w:pPr>
              <w:spacing w:line="320" w:lineRule="exact"/>
              <w:jc w:val="left"/>
              <w:rPr>
                <w:rFonts w:ascii="宋体" w:hAnsi="宋体"/>
                <w:b/>
                <w:bCs/>
                <w:sz w:val="18"/>
                <w:szCs w:val="18"/>
              </w:rPr>
            </w:pPr>
          </w:p>
        </w:tc>
        <w:tc>
          <w:tcPr>
            <w:tcW w:w="1234"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shd w:val="solid" w:color="FFFFFF" w:fill="FFFFFF"/>
            <w:vAlign w:val="center"/>
          </w:tcPr>
          <w:p w:rsidR="00646431" w:rsidRDefault="00646431">
            <w:pPr>
              <w:spacing w:line="320" w:lineRule="exact"/>
              <w:jc w:val="left"/>
              <w:rPr>
                <w:rFonts w:ascii="宋体" w:hAnsi="宋体"/>
                <w:b/>
                <w:bCs/>
                <w:sz w:val="18"/>
                <w:szCs w:val="18"/>
              </w:rPr>
            </w:pPr>
          </w:p>
        </w:tc>
        <w:tc>
          <w:tcPr>
            <w:tcW w:w="1234"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电子邮箱</w:t>
            </w:r>
          </w:p>
        </w:tc>
        <w:tc>
          <w:tcPr>
            <w:tcW w:w="2443" w:type="dxa"/>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bottom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bottom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val="restart"/>
            <w:tcBorders>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机构投资者适用</w:t>
            </w: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w:t>
            </w:r>
            <w:r>
              <w:rPr>
                <w:rFonts w:ascii="宋体" w:hAnsi="宋体"/>
                <w:b/>
                <w:bCs/>
                <w:sz w:val="18"/>
                <w:szCs w:val="18"/>
              </w:rPr>
              <w:t>名称</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法定代表人或授权代表</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280" w:lineRule="exact"/>
              <w:jc w:val="left"/>
              <w:rPr>
                <w:rFonts w:ascii="宋体" w:hAnsi="宋体"/>
                <w:b/>
                <w:bCs/>
                <w:sz w:val="18"/>
                <w:szCs w:val="18"/>
              </w:rPr>
            </w:pPr>
            <w:r>
              <w:rPr>
                <w:rFonts w:ascii="宋体" w:hAnsi="宋体" w:hint="eastAsia"/>
                <w:b/>
                <w:bCs/>
                <w:sz w:val="18"/>
                <w:szCs w:val="18"/>
              </w:rPr>
              <w:t>电子邮箱</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tcBorders>
              <w:bottom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170"/>
          <w:jc w:val="center"/>
        </w:trPr>
        <w:tc>
          <w:tcPr>
            <w:tcW w:w="7598" w:type="dxa"/>
            <w:gridSpan w:val="6"/>
            <w:shd w:val="pct10" w:color="FFFFFF" w:fill="A6A6A6" w:themeFill="background1" w:themeFillShade="A6"/>
            <w:vAlign w:val="center"/>
          </w:tcPr>
          <w:p w:rsidR="00646431" w:rsidRDefault="00646431">
            <w:pPr>
              <w:pStyle w:val="a6"/>
              <w:pBdr>
                <w:bottom w:val="none" w:sz="0" w:space="0" w:color="auto"/>
              </w:pBdr>
              <w:spacing w:line="320" w:lineRule="exact"/>
              <w:rPr>
                <w:rFonts w:ascii="宋体" w:hAnsi="宋体"/>
                <w:b/>
                <w:bCs/>
                <w:sz w:val="28"/>
                <w:szCs w:val="28"/>
              </w:rPr>
            </w:pPr>
          </w:p>
        </w:tc>
      </w:tr>
      <w:tr w:rsidR="00646431">
        <w:trPr>
          <w:trHeight w:val="402"/>
          <w:jc w:val="center"/>
        </w:trPr>
        <w:tc>
          <w:tcPr>
            <w:tcW w:w="817"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销售</w:t>
            </w:r>
            <w:r>
              <w:rPr>
                <w:rFonts w:ascii="宋体" w:hAnsi="宋体"/>
                <w:b/>
                <w:bCs/>
                <w:sz w:val="18"/>
                <w:szCs w:val="18"/>
              </w:rPr>
              <w:t>机构信息</w:t>
            </w: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hAnsi="宋体" w:hint="eastAsia"/>
                <w:sz w:val="18"/>
                <w:szCs w:val="18"/>
              </w:rPr>
              <w:t>★</w:t>
            </w:r>
            <w:r>
              <w:rPr>
                <w:rFonts w:ascii="宋体" w:hAnsi="宋体" w:hint="eastAsia"/>
                <w:b/>
                <w:bCs/>
                <w:sz w:val="18"/>
                <w:szCs w:val="18"/>
              </w:rPr>
              <w:t>销售性质</w:t>
            </w:r>
          </w:p>
        </w:tc>
        <w:tc>
          <w:tcPr>
            <w:tcW w:w="5061" w:type="dxa"/>
            <w:gridSpan w:val="3"/>
            <w:shd w:val="solid" w:color="FFFFFF" w:fill="FFFFFF"/>
            <w:vAlign w:val="center"/>
          </w:tcPr>
          <w:p w:rsidR="00646431" w:rsidRDefault="003672FE">
            <w:pPr>
              <w:spacing w:line="320" w:lineRule="exact"/>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 直销：产品管理人销售</w:t>
            </w:r>
          </w:p>
          <w:p w:rsidR="00646431" w:rsidRDefault="003672FE">
            <w:pPr>
              <w:spacing w:line="320" w:lineRule="exact"/>
              <w:jc w:val="left"/>
              <w:rPr>
                <w:rFonts w:ascii="宋体" w:hAnsi="宋体"/>
                <w:bCs/>
                <w:sz w:val="18"/>
                <w:szCs w:val="18"/>
              </w:rPr>
            </w:pPr>
            <w:r>
              <w:rPr>
                <w:rFonts w:asciiTheme="majorEastAsia" w:eastAsiaTheme="majorEastAsia" w:hAnsiTheme="majorEastAsia" w:hint="eastAsia"/>
                <w:bCs/>
                <w:sz w:val="18"/>
                <w:szCs w:val="18"/>
              </w:rPr>
              <w:t>□ 代销：代理</w:t>
            </w:r>
            <w:r>
              <w:rPr>
                <w:rFonts w:asciiTheme="majorEastAsia" w:eastAsiaTheme="majorEastAsia" w:hAnsiTheme="majorEastAsia"/>
                <w:bCs/>
                <w:sz w:val="18"/>
                <w:szCs w:val="18"/>
              </w:rPr>
              <w:t>销售机构</w:t>
            </w:r>
            <w:r>
              <w:rPr>
                <w:rFonts w:asciiTheme="majorEastAsia" w:eastAsiaTheme="majorEastAsia" w:hAnsiTheme="majorEastAsia" w:hint="eastAsia"/>
                <w:bCs/>
                <w:sz w:val="18"/>
                <w:szCs w:val="18"/>
              </w:rPr>
              <w:t>销售</w:t>
            </w:r>
          </w:p>
        </w:tc>
      </w:tr>
      <w:tr w:rsidR="00646431">
        <w:trPr>
          <w:trHeight w:val="402"/>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机构名称</w:t>
            </w:r>
          </w:p>
        </w:tc>
        <w:tc>
          <w:tcPr>
            <w:tcW w:w="5061" w:type="dxa"/>
            <w:gridSpan w:val="3"/>
            <w:shd w:val="solid" w:color="FFFFFF" w:fill="FFFFFF"/>
            <w:vAlign w:val="center"/>
          </w:tcPr>
          <w:p w:rsidR="00646431" w:rsidRDefault="003672FE">
            <w:pPr>
              <w:spacing w:line="320" w:lineRule="exact"/>
              <w:jc w:val="left"/>
              <w:rPr>
                <w:rFonts w:ascii="宋体" w:hAnsi="宋体"/>
                <w:bCs/>
                <w:sz w:val="18"/>
                <w:szCs w:val="18"/>
              </w:rPr>
            </w:pPr>
            <w:r>
              <w:rPr>
                <w:rFonts w:ascii="宋体" w:hAnsi="宋体" w:hint="eastAsia"/>
                <w:bCs/>
                <w:sz w:val="18"/>
                <w:szCs w:val="18"/>
              </w:rPr>
              <w:t>【</w:t>
            </w:r>
            <w:r w:rsidR="000A1BD6">
              <w:rPr>
                <w:rFonts w:ascii="宋体" w:hAnsi="宋体" w:hint="eastAsia"/>
                <w:bCs/>
                <w:sz w:val="18"/>
                <w:szCs w:val="18"/>
              </w:rPr>
              <w:t>浙江嵊州农村商业银行股份有限公司</w:t>
            </w:r>
            <w:r>
              <w:rPr>
                <w:rFonts w:ascii="宋体" w:hAnsi="宋体" w:hint="eastAsia"/>
                <w:bCs/>
                <w:sz w:val="18"/>
                <w:szCs w:val="18"/>
              </w:rPr>
              <w:t>】</w:t>
            </w:r>
          </w:p>
        </w:tc>
      </w:tr>
      <w:tr w:rsidR="00646431">
        <w:trPr>
          <w:trHeight w:val="402"/>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机构简介</w:t>
            </w:r>
          </w:p>
        </w:tc>
        <w:tc>
          <w:tcPr>
            <w:tcW w:w="5061" w:type="dxa"/>
            <w:gridSpan w:val="3"/>
            <w:shd w:val="solid" w:color="FFFFFF" w:fill="FFFFFF"/>
            <w:vAlign w:val="center"/>
          </w:tcPr>
          <w:p w:rsidR="00646431" w:rsidRDefault="003672FE">
            <w:pPr>
              <w:pStyle w:val="Default"/>
              <w:jc w:val="both"/>
              <w:rPr>
                <w:rFonts w:hAnsi="宋体"/>
                <w:bCs/>
                <w:sz w:val="18"/>
                <w:szCs w:val="18"/>
              </w:rPr>
            </w:pPr>
            <w:r>
              <w:rPr>
                <w:rFonts w:asciiTheme="majorEastAsia" w:eastAsiaTheme="majorEastAsia" w:hAnsiTheme="majorEastAsia" w:hint="eastAsia"/>
                <w:bCs/>
                <w:sz w:val="18"/>
                <w:szCs w:val="18"/>
              </w:rPr>
              <w:t>【】</w:t>
            </w:r>
          </w:p>
        </w:tc>
      </w:tr>
      <w:tr w:rsidR="00646431">
        <w:trPr>
          <w:trHeight w:hRule="exact" w:val="170"/>
          <w:jc w:val="center"/>
        </w:trPr>
        <w:tc>
          <w:tcPr>
            <w:tcW w:w="7598" w:type="dxa"/>
            <w:gridSpan w:val="6"/>
            <w:shd w:val="pct10" w:color="FFFFFF" w:fill="A6A6A6" w:themeFill="background1" w:themeFillShade="A6"/>
            <w:vAlign w:val="center"/>
          </w:tcPr>
          <w:p w:rsidR="00646431" w:rsidRDefault="00646431">
            <w:pPr>
              <w:spacing w:line="320" w:lineRule="exact"/>
              <w:jc w:val="left"/>
              <w:rPr>
                <w:rFonts w:ascii="宋体" w:hAnsi="宋体"/>
                <w:bCs/>
                <w:sz w:val="18"/>
                <w:szCs w:val="18"/>
              </w:rPr>
            </w:pPr>
          </w:p>
        </w:tc>
      </w:tr>
      <w:tr w:rsidR="00646431">
        <w:trPr>
          <w:trHeight w:val="402"/>
          <w:jc w:val="center"/>
        </w:trPr>
        <w:tc>
          <w:tcPr>
            <w:tcW w:w="817" w:type="dxa"/>
            <w:shd w:val="solid" w:color="FFFFFF" w:fill="FFFFFF"/>
            <w:vAlign w:val="center"/>
          </w:tcPr>
          <w:p w:rsidR="00646431" w:rsidRDefault="003672FE">
            <w:pPr>
              <w:pStyle w:val="a6"/>
              <w:pBdr>
                <w:bottom w:val="none" w:sz="0" w:space="0" w:color="auto"/>
              </w:pBdr>
              <w:tabs>
                <w:tab w:val="clear" w:pos="4153"/>
                <w:tab w:val="clear" w:pos="8306"/>
              </w:tabs>
              <w:snapToGrid/>
              <w:spacing w:line="320" w:lineRule="exact"/>
              <w:rPr>
                <w:rFonts w:ascii="宋体" w:hAnsi="宋体"/>
                <w:b/>
              </w:rPr>
            </w:pPr>
            <w:r>
              <w:rPr>
                <w:rFonts w:ascii="宋体" w:hAnsi="宋体" w:hint="eastAsia"/>
                <w:b/>
              </w:rPr>
              <w:t>理财产品指定账户信息</w:t>
            </w:r>
          </w:p>
        </w:tc>
        <w:tc>
          <w:tcPr>
            <w:tcW w:w="6781" w:type="dxa"/>
            <w:gridSpan w:val="5"/>
            <w:shd w:val="solid" w:color="FFFFFF" w:fill="FFFFFF"/>
            <w:vAlign w:val="center"/>
          </w:tcPr>
          <w:p w:rsidR="00646431" w:rsidRDefault="003672FE">
            <w:pPr>
              <w:pStyle w:val="a6"/>
              <w:pBdr>
                <w:bottom w:val="none" w:sz="0" w:space="0" w:color="auto"/>
              </w:pBdr>
              <w:tabs>
                <w:tab w:val="clear" w:pos="4153"/>
                <w:tab w:val="clear" w:pos="8306"/>
              </w:tabs>
              <w:snapToGrid/>
              <w:spacing w:line="320" w:lineRule="exact"/>
              <w:jc w:val="left"/>
              <w:rPr>
                <w:rFonts w:ascii="宋体" w:hAnsi="宋体"/>
                <w:b/>
              </w:rPr>
            </w:pPr>
            <w:r>
              <w:rPr>
                <w:rFonts w:ascii="宋体" w:hAnsi="宋体" w:hint="eastAsia"/>
              </w:rPr>
              <w:t>投资者</w:t>
            </w:r>
            <w:r>
              <w:rPr>
                <w:rFonts w:ascii="宋体" w:hAnsi="宋体"/>
              </w:rPr>
              <w:t>在销售机构开立</w:t>
            </w:r>
            <w:r>
              <w:rPr>
                <w:rFonts w:ascii="宋体" w:hAnsi="宋体" w:hint="eastAsia"/>
              </w:rPr>
              <w:t>理财卡结算账户</w:t>
            </w:r>
            <w:r>
              <w:rPr>
                <w:rFonts w:ascii="宋体" w:hAnsi="宋体" w:hint="eastAsia"/>
                <w:spacing w:val="-6"/>
              </w:rPr>
              <w:t>或存折结算账户（</w:t>
            </w:r>
            <w:r>
              <w:rPr>
                <w:rFonts w:ascii="宋体" w:hAnsi="宋体" w:hint="eastAsia"/>
              </w:rPr>
              <w:t>以下简称“指定账户”），</w:t>
            </w:r>
            <w:r>
              <w:rPr>
                <w:rFonts w:ascii="宋体" w:hAnsi="宋体"/>
              </w:rPr>
              <w:t>用于</w:t>
            </w:r>
            <w:r>
              <w:rPr>
                <w:rFonts w:ascii="宋体" w:hAnsi="宋体" w:hint="eastAsia"/>
              </w:rPr>
              <w:t>本产品的</w:t>
            </w:r>
            <w:r>
              <w:rPr>
                <w:rFonts w:ascii="宋体" w:hAnsi="宋体"/>
              </w:rPr>
              <w:t>资金划转及</w:t>
            </w:r>
            <w:r>
              <w:rPr>
                <w:rFonts w:ascii="宋体" w:hAnsi="宋体" w:hint="eastAsia"/>
              </w:rPr>
              <w:t>产品分配，账号：</w:t>
            </w:r>
            <w:r>
              <w:rPr>
                <w:rFonts w:ascii="宋体" w:hAnsi="宋体"/>
                <w:u w:val="single"/>
              </w:rPr>
              <w:t xml:space="preserve">　                     </w:t>
            </w:r>
            <w:r>
              <w:rPr>
                <w:rFonts w:ascii="宋体" w:hAnsi="宋体" w:hint="eastAsia"/>
              </w:rPr>
              <w:t>。</w:t>
            </w:r>
          </w:p>
        </w:tc>
      </w:tr>
    </w:tbl>
    <w:p w:rsidR="00646431" w:rsidRDefault="00646431">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p w:rsidR="00646431" w:rsidRDefault="003672FE">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ascii="宋体" w:hAnsi="宋体" w:cs="仿宋_GB2312"/>
          <w:b/>
          <w:kern w:val="0"/>
          <w:sz w:val="18"/>
          <w:szCs w:val="18"/>
        </w:rPr>
        <w:br w:type="page"/>
      </w:r>
      <w:r>
        <w:rPr>
          <w:rFonts w:ascii="宋体" w:hAnsi="宋体" w:cs="仿宋_GB2312" w:hint="eastAsia"/>
          <w:b/>
          <w:kern w:val="0"/>
          <w:sz w:val="18"/>
          <w:szCs w:val="18"/>
        </w:rPr>
        <w:lastRenderedPageBreak/>
        <w:t>尊敬的投资者：</w:t>
      </w:r>
    </w:p>
    <w:p w:rsidR="00646431" w:rsidRDefault="003672FE">
      <w:pPr>
        <w:tabs>
          <w:tab w:val="left" w:pos="8070"/>
          <w:tab w:val="right" w:pos="8306"/>
        </w:tabs>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甲方(即“投资者”)自愿从乙方</w:t>
      </w:r>
      <w:r>
        <w:rPr>
          <w:rFonts w:ascii="宋体" w:hAnsi="宋体" w:cs="仿宋_GB2312"/>
          <w:kern w:val="0"/>
          <w:sz w:val="18"/>
          <w:szCs w:val="18"/>
        </w:rPr>
        <w:t>（</w:t>
      </w:r>
      <w:r>
        <w:rPr>
          <w:rFonts w:ascii="宋体" w:hAnsi="宋体" w:cs="仿宋_GB2312" w:hint="eastAsia"/>
          <w:kern w:val="0"/>
          <w:sz w:val="18"/>
          <w:szCs w:val="18"/>
        </w:rPr>
        <w:t>即“</w:t>
      </w:r>
      <w:r>
        <w:rPr>
          <w:rFonts w:ascii="宋体" w:hAnsi="宋体" w:cs="仿宋_GB2312"/>
          <w:kern w:val="0"/>
          <w:sz w:val="18"/>
          <w:szCs w:val="18"/>
        </w:rPr>
        <w:t>销售机构</w:t>
      </w:r>
      <w:r>
        <w:rPr>
          <w:rFonts w:ascii="宋体" w:hAnsi="宋体" w:cs="仿宋_GB2312" w:hint="eastAsia"/>
          <w:kern w:val="0"/>
          <w:sz w:val="18"/>
          <w:szCs w:val="18"/>
        </w:rPr>
        <w:t>”</w:t>
      </w:r>
      <w:r>
        <w:rPr>
          <w:rFonts w:ascii="宋体" w:hAnsi="宋体" w:cs="仿宋_GB2312"/>
          <w:kern w:val="0"/>
          <w:sz w:val="18"/>
          <w:szCs w:val="18"/>
        </w:rPr>
        <w:t>）</w:t>
      </w:r>
      <w:r>
        <w:rPr>
          <w:rFonts w:ascii="宋体" w:hAnsi="宋体" w:cs="仿宋_GB2312" w:hint="eastAsia"/>
          <w:kern w:val="0"/>
          <w:sz w:val="18"/>
          <w:szCs w:val="18"/>
        </w:rPr>
        <w:t>购买兴银理财</w:t>
      </w:r>
      <w:r>
        <w:rPr>
          <w:rFonts w:ascii="宋体" w:hAnsi="宋体" w:cs="仿宋_GB2312"/>
          <w:kern w:val="0"/>
          <w:sz w:val="18"/>
          <w:szCs w:val="18"/>
        </w:rPr>
        <w:t>有限责任公司</w:t>
      </w:r>
      <w:r>
        <w:rPr>
          <w:rFonts w:ascii="宋体" w:hAnsi="宋体" w:cs="仿宋_GB2312" w:hint="eastAsia"/>
          <w:kern w:val="0"/>
          <w:sz w:val="18"/>
          <w:szCs w:val="18"/>
        </w:rPr>
        <w:t>（即</w:t>
      </w:r>
      <w:r>
        <w:rPr>
          <w:rFonts w:ascii="宋体" w:hAnsi="宋体" w:cs="仿宋_GB2312"/>
          <w:kern w:val="0"/>
          <w:sz w:val="18"/>
          <w:szCs w:val="18"/>
        </w:rPr>
        <w:t>“</w:t>
      </w:r>
      <w:r>
        <w:rPr>
          <w:rFonts w:ascii="宋体" w:hAnsi="宋体" w:cs="仿宋_GB2312" w:hint="eastAsia"/>
          <w:kern w:val="0"/>
          <w:sz w:val="18"/>
          <w:szCs w:val="18"/>
        </w:rPr>
        <w:t>产品</w:t>
      </w:r>
      <w:r>
        <w:rPr>
          <w:rFonts w:ascii="宋体" w:hAnsi="宋体" w:cs="仿宋_GB2312"/>
          <w:kern w:val="0"/>
          <w:sz w:val="18"/>
          <w:szCs w:val="18"/>
        </w:rPr>
        <w:t>管理人”</w:t>
      </w:r>
      <w:r>
        <w:rPr>
          <w:rFonts w:ascii="宋体" w:hAnsi="宋体" w:cs="仿宋_GB2312" w:hint="eastAsia"/>
          <w:kern w:val="0"/>
          <w:sz w:val="18"/>
          <w:szCs w:val="18"/>
        </w:rPr>
        <w:t>）管理</w:t>
      </w:r>
      <w:r>
        <w:rPr>
          <w:rFonts w:ascii="宋体" w:hAnsi="宋体" w:cs="仿宋_GB2312"/>
          <w:kern w:val="0"/>
          <w:sz w:val="18"/>
          <w:szCs w:val="18"/>
        </w:rPr>
        <w:t>的</w:t>
      </w:r>
      <w:r>
        <w:rPr>
          <w:rFonts w:ascii="宋体" w:hAnsi="宋体" w:cs="仿宋_GB2312" w:hint="eastAsia"/>
          <w:kern w:val="0"/>
          <w:sz w:val="18"/>
          <w:szCs w:val="18"/>
        </w:rPr>
        <w:t>理财产品</w:t>
      </w:r>
      <w:r>
        <w:rPr>
          <w:rFonts w:ascii="宋体" w:hAnsi="宋体" w:cs="仿宋_GB2312"/>
          <w:kern w:val="0"/>
          <w:sz w:val="18"/>
          <w:szCs w:val="18"/>
        </w:rPr>
        <w:t>，</w:t>
      </w:r>
      <w:r>
        <w:rPr>
          <w:rFonts w:ascii="宋体" w:hAnsi="宋体" w:hint="eastAsia"/>
          <w:sz w:val="18"/>
          <w:szCs w:val="18"/>
        </w:rPr>
        <w:t>甲乙双方经友好协商，本着平等自愿、诚实信用的原则，达成协议如下：</w:t>
      </w:r>
    </w:p>
    <w:p w:rsidR="00646431" w:rsidRDefault="00646431">
      <w:pPr>
        <w:tabs>
          <w:tab w:val="left" w:pos="8070"/>
          <w:tab w:val="right" w:pos="8306"/>
        </w:tabs>
        <w:autoSpaceDE w:val="0"/>
        <w:autoSpaceDN w:val="0"/>
        <w:adjustRightInd w:val="0"/>
        <w:snapToGrid w:val="0"/>
        <w:spacing w:line="360" w:lineRule="auto"/>
        <w:ind w:firstLineChars="200" w:firstLine="361"/>
        <w:rPr>
          <w:rFonts w:ascii="宋体" w:hAnsi="宋体" w:cs="仿宋_GB2312"/>
          <w:b/>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第一条 重要提示</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kern w:val="0"/>
          <w:sz w:val="18"/>
          <w:szCs w:val="18"/>
        </w:rPr>
        <w:t>1</w:t>
      </w:r>
      <w:r>
        <w:rPr>
          <w:rFonts w:ascii="宋体" w:hAnsi="宋体" w:cs="仿宋_GB2312" w:hint="eastAsia"/>
          <w:kern w:val="0"/>
          <w:sz w:val="18"/>
          <w:szCs w:val="18"/>
        </w:rPr>
        <w:t>、</w:t>
      </w:r>
      <w:r>
        <w:rPr>
          <w:rFonts w:ascii="宋体" w:hAnsi="宋体" w:cs="仿宋_GB2312"/>
          <w:kern w:val="0"/>
          <w:sz w:val="18"/>
          <w:szCs w:val="18"/>
        </w:rPr>
        <w:t>乙方销售性质</w:t>
      </w:r>
    </w:p>
    <w:p w:rsidR="00646431" w:rsidRDefault="003672FE" w:rsidP="00BB236F">
      <w:pPr>
        <w:widowControl/>
        <w:spacing w:line="360" w:lineRule="auto"/>
        <w:jc w:val="left"/>
        <w:rPr>
          <w:rFonts w:ascii="宋体" w:hAnsi="宋体" w:cs="仿宋_GB2312"/>
          <w:kern w:val="0"/>
          <w:sz w:val="18"/>
          <w:szCs w:val="18"/>
        </w:rPr>
      </w:pPr>
      <w:r>
        <w:rPr>
          <w:rFonts w:asciiTheme="majorEastAsia" w:eastAsiaTheme="majorEastAsia" w:hAnsiTheme="majorEastAsia" w:hint="eastAsia"/>
          <w:bCs/>
          <w:sz w:val="18"/>
          <w:szCs w:val="18"/>
        </w:rPr>
        <w:t xml:space="preserve">□ </w:t>
      </w:r>
      <w:r>
        <w:rPr>
          <w:rFonts w:ascii="宋体" w:hAnsi="宋体" w:cs="仿宋_GB2312" w:hint="eastAsia"/>
          <w:kern w:val="0"/>
          <w:sz w:val="18"/>
          <w:szCs w:val="18"/>
        </w:rPr>
        <w:t>直销适用</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为乙方所发行的理财产品，乙方既作为理财产品的销售机构，又是理财产品管理人，对理财产品的业绩不承担任何保证和其他经济责任，不承担理财产品的投资、分配和风险管理责任。乙方受理的销售理财产品业务申请，以产品管理人的最终确认结果为准。</w:t>
      </w:r>
    </w:p>
    <w:p w:rsidR="00646431" w:rsidRDefault="003672FE" w:rsidP="00BB236F">
      <w:pPr>
        <w:widowControl/>
        <w:spacing w:line="360" w:lineRule="auto"/>
        <w:jc w:val="left"/>
        <w:rPr>
          <w:rFonts w:ascii="宋体" w:hAnsi="宋体" w:cs="仿宋_GB2312"/>
          <w:kern w:val="0"/>
          <w:sz w:val="18"/>
          <w:szCs w:val="18"/>
        </w:rPr>
      </w:pPr>
      <w:r>
        <w:rPr>
          <w:rFonts w:asciiTheme="majorEastAsia" w:eastAsiaTheme="majorEastAsia" w:hAnsiTheme="majorEastAsia" w:hint="eastAsia"/>
          <w:bCs/>
          <w:sz w:val="18"/>
          <w:szCs w:val="18"/>
        </w:rPr>
        <w:t xml:space="preserve">□ </w:t>
      </w:r>
      <w:r>
        <w:rPr>
          <w:rFonts w:ascii="宋体" w:hAnsi="宋体" w:cs="仿宋_GB2312" w:hint="eastAsia"/>
          <w:kern w:val="0"/>
          <w:sz w:val="18"/>
          <w:szCs w:val="18"/>
        </w:rPr>
        <w:t>代销适用</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非乙方所发行的理财产品，乙方仅作为理财产品的代理销售机构，非理财产品管理人，对理财产品的业绩不承担任何保证和其他经济责任，不承担理财产品的投资、分配和风险管理责任。乙方受理的销售理财产品业务申请，以产品管理人的最终确认结果为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2、本理财产品可能面临信用风险、市场风险、流动性风险等风险因素，具体详见《风险揭示书》。甲方在签署本协议前，应当详细阅读《投资</w:t>
      </w:r>
      <w:r>
        <w:rPr>
          <w:rFonts w:ascii="宋体" w:hAnsi="宋体" w:cs="仿宋_GB2312"/>
          <w:kern w:val="0"/>
          <w:sz w:val="18"/>
          <w:szCs w:val="18"/>
        </w:rPr>
        <w:t>协议书</w:t>
      </w:r>
      <w:r>
        <w:rPr>
          <w:rFonts w:ascii="宋体" w:hAnsi="宋体" w:cs="仿宋_GB2312" w:hint="eastAsia"/>
          <w:kern w:val="0"/>
          <w:sz w:val="18"/>
          <w:szCs w:val="18"/>
        </w:rPr>
        <w:t>》、《产品说明书》、《（代理）销售</w:t>
      </w:r>
      <w:r>
        <w:rPr>
          <w:rFonts w:ascii="宋体" w:hAnsi="宋体" w:cs="仿宋_GB2312"/>
          <w:kern w:val="0"/>
          <w:sz w:val="18"/>
          <w:szCs w:val="18"/>
        </w:rPr>
        <w:t>协议书</w:t>
      </w:r>
      <w:r>
        <w:rPr>
          <w:rFonts w:ascii="宋体" w:hAnsi="宋体" w:cs="仿宋_GB2312" w:hint="eastAsia"/>
          <w:kern w:val="0"/>
          <w:sz w:val="18"/>
          <w:szCs w:val="18"/>
        </w:rPr>
        <w:t>》、《风险揭示书》、《投资者权益须知》等完整</w:t>
      </w:r>
      <w:r>
        <w:rPr>
          <w:rFonts w:ascii="宋体" w:hAnsi="宋体" w:cs="仿宋_GB2312"/>
          <w:kern w:val="0"/>
          <w:sz w:val="18"/>
          <w:szCs w:val="18"/>
        </w:rPr>
        <w:t>的</w:t>
      </w:r>
      <w:r>
        <w:rPr>
          <w:rFonts w:ascii="宋体" w:hAnsi="宋体" w:cs="仿宋_GB2312" w:hint="eastAsia"/>
          <w:kern w:val="0"/>
          <w:sz w:val="18"/>
          <w:szCs w:val="18"/>
        </w:rPr>
        <w:t>理财产品销售文件，并充分了解投资者的全部权利与义务以及理财产品的全部风险。</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3、根据理财产品投资范围、风险收益特点、流动性等不同因素，乙方作为</w:t>
      </w:r>
      <w:r>
        <w:rPr>
          <w:rFonts w:ascii="宋体" w:hAnsi="宋体" w:cs="仿宋_GB2312"/>
          <w:kern w:val="0"/>
          <w:sz w:val="18"/>
          <w:szCs w:val="18"/>
        </w:rPr>
        <w:t>销售机构</w:t>
      </w:r>
      <w:r>
        <w:rPr>
          <w:rFonts w:ascii="宋体" w:hAnsi="宋体" w:cs="仿宋_GB2312" w:hint="eastAsia"/>
          <w:kern w:val="0"/>
          <w:sz w:val="18"/>
          <w:szCs w:val="18"/>
        </w:rPr>
        <w:t>将理财产品分为【</w:t>
      </w:r>
      <w:r w:rsidR="000A1BD6">
        <w:rPr>
          <w:rFonts w:ascii="宋体" w:hAnsi="宋体" w:cs="仿宋_GB2312" w:hint="eastAsia"/>
          <w:kern w:val="0"/>
          <w:sz w:val="18"/>
          <w:szCs w:val="18"/>
        </w:rPr>
        <w:t>5</w:t>
      </w:r>
      <w:r>
        <w:rPr>
          <w:rFonts w:ascii="宋体" w:hAnsi="宋体" w:cs="仿宋_GB2312" w:hint="eastAsia"/>
          <w:kern w:val="0"/>
          <w:sz w:val="18"/>
          <w:szCs w:val="18"/>
        </w:rPr>
        <w:t>】个风险等级</w:t>
      </w:r>
      <w:r>
        <w:rPr>
          <w:rFonts w:ascii="宋体" w:hAnsi="宋体" w:cs="仿宋_GB2312"/>
          <w:kern w:val="0"/>
          <w:sz w:val="18"/>
          <w:szCs w:val="18"/>
        </w:rPr>
        <w:t>：</w:t>
      </w:r>
      <w:r>
        <w:rPr>
          <w:rFonts w:ascii="宋体" w:hAnsi="宋体" w:cs="仿宋_GB2312" w:hint="eastAsia"/>
          <w:kern w:val="0"/>
          <w:sz w:val="18"/>
          <w:szCs w:val="18"/>
        </w:rPr>
        <w:t>【</w:t>
      </w:r>
      <w:r w:rsidR="000A1BD6" w:rsidRPr="00C46B08">
        <w:rPr>
          <w:rFonts w:ascii="宋体" w:hAnsi="宋体" w:cs="仿宋_GB2312" w:hint="eastAsia"/>
          <w:kern w:val="0"/>
          <w:sz w:val="18"/>
          <w:szCs w:val="18"/>
        </w:rPr>
        <w:t>PR1级（低风险）、PR2级（中低风险）、PR3级（中等风险）、PR4级（中高风险）、PR5级（高风险）</w:t>
      </w:r>
      <w:r>
        <w:rPr>
          <w:rFonts w:ascii="宋体" w:hAnsi="宋体" w:cs="仿宋_GB2312" w:hint="eastAsia"/>
          <w:kern w:val="0"/>
          <w:sz w:val="18"/>
          <w:szCs w:val="18"/>
        </w:rPr>
        <w:t>】；根据投资者在乙方评估的风险承受能力，</w:t>
      </w:r>
      <w:r>
        <w:rPr>
          <w:rFonts w:ascii="宋体" w:hAnsi="宋体" w:cs="仿宋_GB2312"/>
          <w:kern w:val="0"/>
          <w:sz w:val="18"/>
          <w:szCs w:val="18"/>
        </w:rPr>
        <w:t>乙方将投资者风险承受能力分为</w:t>
      </w:r>
      <w:r>
        <w:rPr>
          <w:rFonts w:ascii="宋体" w:hAnsi="宋体" w:cs="仿宋_GB2312" w:hint="eastAsia"/>
          <w:kern w:val="0"/>
          <w:sz w:val="18"/>
          <w:szCs w:val="18"/>
        </w:rPr>
        <w:t>【</w:t>
      </w:r>
      <w:r w:rsidR="000A1BD6">
        <w:rPr>
          <w:rFonts w:ascii="宋体" w:hAnsi="宋体" w:cs="仿宋_GB2312" w:hint="eastAsia"/>
          <w:kern w:val="0"/>
          <w:sz w:val="18"/>
          <w:szCs w:val="18"/>
        </w:rPr>
        <w:t>5</w:t>
      </w:r>
      <w:r>
        <w:rPr>
          <w:rFonts w:ascii="宋体" w:hAnsi="宋体" w:cs="仿宋_GB2312" w:hint="eastAsia"/>
          <w:kern w:val="0"/>
          <w:sz w:val="18"/>
          <w:szCs w:val="18"/>
        </w:rPr>
        <w:t>】</w:t>
      </w:r>
      <w:r>
        <w:rPr>
          <w:rFonts w:ascii="宋体" w:hAnsi="宋体" w:cs="仿宋_GB2312"/>
          <w:kern w:val="0"/>
          <w:sz w:val="18"/>
          <w:szCs w:val="18"/>
        </w:rPr>
        <w:t>个</w:t>
      </w:r>
      <w:r>
        <w:rPr>
          <w:rFonts w:ascii="宋体" w:hAnsi="宋体" w:cs="仿宋_GB2312" w:hint="eastAsia"/>
          <w:kern w:val="0"/>
          <w:sz w:val="18"/>
          <w:szCs w:val="18"/>
        </w:rPr>
        <w:t>等级：【</w:t>
      </w:r>
      <w:r w:rsidR="000A1BD6" w:rsidRPr="00C46B08">
        <w:rPr>
          <w:rFonts w:ascii="宋体" w:hAnsi="宋体" w:cs="仿宋_GB2312" w:hint="eastAsia"/>
          <w:kern w:val="0"/>
          <w:sz w:val="18"/>
          <w:szCs w:val="18"/>
        </w:rPr>
        <w:t>01-保守型、02-谨慎型、03-稳健型、04-进取型、05-激进型</w:t>
      </w:r>
      <w:r>
        <w:rPr>
          <w:rFonts w:ascii="宋体" w:hAnsi="宋体" w:cs="仿宋_GB2312" w:hint="eastAsia"/>
          <w:kern w:val="0"/>
          <w:sz w:val="18"/>
          <w:szCs w:val="18"/>
        </w:rPr>
        <w:t>】。</w:t>
      </w:r>
    </w:p>
    <w:p w:rsidR="00646431" w:rsidRDefault="003672FE" w:rsidP="00BB236F">
      <w:pPr>
        <w:widowControl/>
        <w:spacing w:line="360" w:lineRule="auto"/>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理财产品风险等级为产品管理人和销售机构经过审慎评估后确定的产品风险等级。若本产品通过代理销售机构销售的，理财产品评级以代理销售机构最终披露的评级结果为准。产品管理人和代理销售机构对理财产品的风险等级评估结果不一致时，代理</w:t>
      </w:r>
      <w:r>
        <w:rPr>
          <w:rFonts w:asciiTheme="majorEastAsia" w:eastAsiaTheme="majorEastAsia" w:hAnsiTheme="majorEastAsia"/>
          <w:bCs/>
          <w:sz w:val="18"/>
          <w:szCs w:val="18"/>
        </w:rPr>
        <w:t>销售机构</w:t>
      </w:r>
      <w:r>
        <w:rPr>
          <w:rFonts w:asciiTheme="majorEastAsia" w:eastAsiaTheme="majorEastAsia" w:hAnsiTheme="majorEastAsia" w:hint="eastAsia"/>
          <w:bCs/>
          <w:sz w:val="18"/>
          <w:szCs w:val="18"/>
        </w:rPr>
        <w:t>应采用对应较高风险的评级结果。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（2）投资者风险承受能力等级为销售机构对投资者的风险承受能力进行评价的结果。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1）销售机构在销售本产品时，其对投资者风险承受能力等级的划分与表述可能与产品管理人存在差异，即采用销售机构设置的标准。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2）销售机构应以书面的方式向投资者明示其对投资者风险承受能力等级的划分与“适合投资者类型”的表述。</w:t>
      </w:r>
    </w:p>
    <w:p w:rsidR="00646431" w:rsidRDefault="003672FE" w:rsidP="00BB236F">
      <w:pPr>
        <w:pStyle w:val="Default"/>
        <w:spacing w:line="360" w:lineRule="auto"/>
        <w:rPr>
          <w:rFonts w:asciiTheme="majorEastAsia" w:eastAsiaTheme="majorEastAsia" w:hAnsiTheme="majorEastAsia"/>
          <w:bCs/>
          <w:sz w:val="18"/>
          <w:szCs w:val="18"/>
        </w:rPr>
      </w:pPr>
      <w:r>
        <w:rPr>
          <w:rFonts w:asciiTheme="majorEastAsia" w:eastAsiaTheme="majorEastAsia" w:hAnsiTheme="majorEastAsia" w:hint="eastAsia"/>
          <w:bCs/>
          <w:color w:val="auto"/>
          <w:sz w:val="18"/>
          <w:szCs w:val="18"/>
        </w:rPr>
        <w:lastRenderedPageBreak/>
        <w:t>（3）</w:t>
      </w:r>
      <w:r>
        <w:rPr>
          <w:rFonts w:hAnsi="宋体" w:cs="仿宋_GB2312" w:hint="eastAsia"/>
          <w:sz w:val="18"/>
          <w:szCs w:val="18"/>
        </w:rPr>
        <w:t>甲方应根据风险承受能力评估结果选择与其风险承受能力相匹配的风险等级的理财产品，不得购买高于甲方风险承受能力的理财产品。</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4、甲方购买乙方</w:t>
      </w:r>
      <w:r>
        <w:rPr>
          <w:rFonts w:ascii="宋体" w:hAnsi="宋体" w:cs="仿宋_GB2312"/>
          <w:kern w:val="0"/>
          <w:sz w:val="18"/>
          <w:szCs w:val="18"/>
        </w:rPr>
        <w:t>销售</w:t>
      </w:r>
      <w:r>
        <w:rPr>
          <w:rFonts w:ascii="宋体" w:hAnsi="宋体" w:cs="仿宋_GB2312" w:hint="eastAsia"/>
          <w:kern w:val="0"/>
          <w:sz w:val="18"/>
          <w:szCs w:val="18"/>
        </w:rPr>
        <w:t>的理财产品前，需通过乙方的线下</w:t>
      </w:r>
      <w:r>
        <w:rPr>
          <w:rFonts w:ascii="宋体" w:hAnsi="宋体" w:cs="仿宋_GB2312"/>
          <w:kern w:val="0"/>
          <w:sz w:val="18"/>
          <w:szCs w:val="18"/>
        </w:rPr>
        <w:t>渠道或线上渠道</w:t>
      </w:r>
      <w:r>
        <w:rPr>
          <w:rFonts w:ascii="宋体" w:hAnsi="宋体" w:cs="仿宋_GB2312" w:hint="eastAsia"/>
          <w:kern w:val="0"/>
          <w:sz w:val="18"/>
          <w:szCs w:val="18"/>
        </w:rPr>
        <w:t>（网上银行、手机银行或可视柜台等）进行有效风险承受能力的评估。投资者风险承受能力评估结果的有效期为一年，若甲方的风险承受能力评估结果已超过有效期或者在评级结果有效期内发生了可能影响甲方自身风险承受能力的情形，甲方应重新进行风险承受能力评估。</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5、甲方保证投资资金来源合法且为本人有权</w:t>
      </w:r>
      <w:r>
        <w:rPr>
          <w:rFonts w:ascii="宋体" w:hAnsi="宋体" w:cs="仿宋_GB2312"/>
          <w:kern w:val="0"/>
          <w:sz w:val="18"/>
          <w:szCs w:val="18"/>
        </w:rPr>
        <w:t>处分的合法</w:t>
      </w:r>
      <w:r>
        <w:rPr>
          <w:rFonts w:ascii="宋体" w:hAnsi="宋体" w:cs="仿宋_GB2312" w:hint="eastAsia"/>
          <w:kern w:val="0"/>
          <w:sz w:val="18"/>
          <w:szCs w:val="18"/>
        </w:rPr>
        <w:t>资金，不存在使用贷款、发行债券等筹集的非自有资金投资的情况，投资行为符合法律法规及相关监管部门的规定。</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6、甲方承诺所提供的所有资料真实、完整、合法、有效，如有变更，甲方应及时到乙方办理变更手续。若甲方未及时办理相关变更手续，由此导致的一切后果由甲方自行承担，乙方对此不承担任何责任。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7、在产品认购/申购期内，如因甲方原因导致投资本金不能从其账户足额划转的，甲方对相关理财产品的购买不成功，乙方对此不承担责任。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8、甲方对理财产品</w:t>
      </w:r>
      <w:r>
        <w:rPr>
          <w:rFonts w:ascii="宋体" w:hAnsi="宋体" w:cs="仿宋_GB2312"/>
          <w:kern w:val="0"/>
          <w:sz w:val="18"/>
          <w:szCs w:val="18"/>
        </w:rPr>
        <w:t>销售业务资料</w:t>
      </w:r>
      <w:r>
        <w:rPr>
          <w:rFonts w:ascii="宋体" w:hAnsi="宋体" w:cs="仿宋_GB2312" w:hint="eastAsia"/>
          <w:kern w:val="0"/>
          <w:sz w:val="18"/>
          <w:szCs w:val="18"/>
        </w:rPr>
        <w:t>负有保密义务，未经乙方书面许可，甲方不得向任何组织、个人提供或泄露与乙方或</w:t>
      </w:r>
      <w:r>
        <w:rPr>
          <w:rFonts w:ascii="宋体" w:hAnsi="宋体" w:cs="仿宋_GB2312"/>
          <w:kern w:val="0"/>
          <w:sz w:val="18"/>
          <w:szCs w:val="18"/>
        </w:rPr>
        <w:t>产品管理人</w:t>
      </w:r>
      <w:r>
        <w:rPr>
          <w:rFonts w:ascii="宋体" w:hAnsi="宋体" w:cs="仿宋_GB2312" w:hint="eastAsia"/>
          <w:kern w:val="0"/>
          <w:sz w:val="18"/>
          <w:szCs w:val="18"/>
        </w:rPr>
        <w:t>有关的业务资料及信息，但本协议</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9、甲方在此同意并授权乙方有权根据甲方所勾选的业务申请类型对甲方相关资金账户进行资金划扣等相关操作。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10、对于甲方通过乙方的网上银行、手机银行、可视柜台等线上渠道购买的理财产品（不受限于本理财产品），甲方确认通过乙方线上渠道点击确认同意本协议，即表明甲方已自主阅读并清楚知悉本协议全部内容，同意受本协议约束。</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11、甲方在此确认乙方业务</w:t>
      </w:r>
      <w:r>
        <w:rPr>
          <w:rFonts w:ascii="宋体" w:hAnsi="宋体" w:cs="仿宋_GB2312"/>
          <w:kern w:val="0"/>
          <w:sz w:val="18"/>
          <w:szCs w:val="18"/>
        </w:rPr>
        <w:t>申请和办理</w:t>
      </w:r>
      <w:r>
        <w:rPr>
          <w:rFonts w:ascii="宋体" w:hAnsi="宋体" w:cs="仿宋_GB2312" w:hint="eastAsia"/>
          <w:kern w:val="0"/>
          <w:sz w:val="18"/>
          <w:szCs w:val="18"/>
        </w:rPr>
        <w:t>的系统记录以及录音、录像等</w:t>
      </w:r>
      <w:r>
        <w:rPr>
          <w:rFonts w:ascii="宋体" w:hAnsi="宋体" w:cs="仿宋_GB2312"/>
          <w:kern w:val="0"/>
          <w:sz w:val="18"/>
          <w:szCs w:val="18"/>
        </w:rPr>
        <w:t>信息</w:t>
      </w:r>
      <w:r>
        <w:rPr>
          <w:rFonts w:ascii="宋体" w:hAnsi="宋体" w:cs="仿宋_GB2312" w:hint="eastAsia"/>
          <w:kern w:val="0"/>
          <w:sz w:val="18"/>
          <w:szCs w:val="18"/>
        </w:rPr>
        <w:t>构成对甲方操作行为（包括但不限于认购</w:t>
      </w:r>
      <w:r>
        <w:rPr>
          <w:rFonts w:ascii="宋体" w:hAnsi="宋体" w:cs="仿宋_GB2312"/>
          <w:kern w:val="0"/>
          <w:sz w:val="18"/>
          <w:szCs w:val="18"/>
        </w:rPr>
        <w:t>、申购</w:t>
      </w:r>
      <w:r>
        <w:rPr>
          <w:rFonts w:ascii="宋体" w:hAnsi="宋体" w:cs="仿宋_GB2312" w:hint="eastAsia"/>
          <w:kern w:val="0"/>
          <w:sz w:val="18"/>
          <w:szCs w:val="18"/>
        </w:rPr>
        <w:t>、赎回）的终局证据，甲方同意乙方上述记录行为，并且在甲方和乙方或产品</w:t>
      </w:r>
      <w:r>
        <w:rPr>
          <w:rFonts w:ascii="宋体" w:hAnsi="宋体" w:cs="仿宋_GB2312"/>
          <w:kern w:val="0"/>
          <w:sz w:val="18"/>
          <w:szCs w:val="18"/>
        </w:rPr>
        <w:t>管理人</w:t>
      </w:r>
      <w:r>
        <w:rPr>
          <w:rFonts w:ascii="宋体" w:hAnsi="宋体" w:cs="仿宋_GB2312" w:hint="eastAsia"/>
          <w:kern w:val="0"/>
          <w:sz w:val="18"/>
          <w:szCs w:val="18"/>
        </w:rPr>
        <w:t>发生争议时可以作为合法有效的证据使用。</w:t>
      </w:r>
      <w:r w:rsidR="00BB236F" w:rsidRPr="00384C9E">
        <w:rPr>
          <w:rFonts w:ascii="黑体" w:eastAsia="黑体" w:hAnsi="黑体" w:cs="仿宋_GB2312" w:hint="eastAsia"/>
          <w:kern w:val="0"/>
          <w:sz w:val="18"/>
          <w:szCs w:val="18"/>
        </w:rPr>
        <w:t>甲方同意并授权乙方采取有效措施和技术手段记录营销推介、产品风险和关键信息提示、投资者确认和反馈等重点销售环节。</w:t>
      </w:r>
    </w:p>
    <w:p w:rsidR="008E6241" w:rsidRPr="008E6241" w:rsidRDefault="008E6241" w:rsidP="008E6241">
      <w:pPr>
        <w:widowControl/>
        <w:spacing w:line="360" w:lineRule="auto"/>
        <w:jc w:val="left"/>
        <w:rPr>
          <w:rFonts w:ascii="黑体" w:eastAsia="黑体" w:hAnsi="黑体" w:cs="仿宋_GB2312"/>
          <w:kern w:val="0"/>
          <w:sz w:val="18"/>
          <w:szCs w:val="18"/>
        </w:rPr>
      </w:pPr>
      <w:r w:rsidRPr="008E6241">
        <w:rPr>
          <w:rFonts w:ascii="黑体" w:eastAsia="黑体" w:hAnsi="黑体" w:cs="仿宋_GB2312" w:hint="eastAsia"/>
          <w:kern w:val="0"/>
          <w:sz w:val="18"/>
          <w:szCs w:val="18"/>
        </w:rPr>
        <w:t>12、甲方同意并授权乙方有权根据甲方所勾选的业务申请类型，并根据业务办理需要、反洗钱工作以及非居民金融账户涉税信息尽职调查等需要，收集调取投资者开户留存的有效身份证件或者其他身份证明文件信息、交易记录、数据信息、金融账户和其他资料，同时可向产品管理人、产品托管人、监管机构、自律组织、理财登记备案机构、金融交易对手方、理财快速赎回服务提供方提供、留存前述信息。</w:t>
      </w:r>
    </w:p>
    <w:p w:rsidR="008E6241" w:rsidRDefault="008E6241" w:rsidP="00BB236F">
      <w:pPr>
        <w:widowControl/>
        <w:spacing w:line="360" w:lineRule="auto"/>
        <w:jc w:val="left"/>
        <w:rPr>
          <w:rFonts w:ascii="黑体" w:eastAsia="黑体" w:hAnsi="黑体" w:cs="仿宋_GB2312"/>
          <w:kern w:val="0"/>
          <w:sz w:val="18"/>
          <w:szCs w:val="18"/>
        </w:rPr>
      </w:pPr>
      <w:r w:rsidRPr="008E6241">
        <w:rPr>
          <w:rFonts w:ascii="黑体" w:eastAsia="黑体" w:hAnsi="黑体" w:cs="仿宋_GB2312" w:hint="eastAsia"/>
          <w:kern w:val="0"/>
          <w:sz w:val="18"/>
          <w:szCs w:val="18"/>
        </w:rPr>
        <w:t>甲方签署本理财产品销售文件即视为已经同意乙方在前述范围内向相关方提供投资者信息。</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1</w:t>
      </w:r>
      <w:r w:rsidR="009D1B06">
        <w:rPr>
          <w:rFonts w:ascii="宋体" w:hAnsi="宋体" w:cs="仿宋_GB2312"/>
          <w:kern w:val="0"/>
          <w:sz w:val="18"/>
          <w:szCs w:val="18"/>
        </w:rPr>
        <w:t>3</w:t>
      </w:r>
      <w:r>
        <w:rPr>
          <w:rFonts w:ascii="宋体" w:hAnsi="宋体" w:cs="仿宋_GB2312" w:hint="eastAsia"/>
          <w:kern w:val="0"/>
          <w:sz w:val="18"/>
          <w:szCs w:val="18"/>
        </w:rPr>
        <w:t>、乙方对理财产品代理</w:t>
      </w:r>
      <w:r>
        <w:rPr>
          <w:rFonts w:ascii="宋体" w:hAnsi="宋体" w:cs="仿宋_GB2312"/>
          <w:kern w:val="0"/>
          <w:sz w:val="18"/>
          <w:szCs w:val="18"/>
        </w:rPr>
        <w:t>销售业务资料</w:t>
      </w:r>
      <w:r>
        <w:rPr>
          <w:rFonts w:ascii="宋体" w:hAnsi="宋体" w:cs="仿宋_GB2312" w:hint="eastAsia"/>
          <w:kern w:val="0"/>
          <w:sz w:val="18"/>
          <w:szCs w:val="18"/>
        </w:rPr>
        <w:t>负有保密义务，未经甲方书面许可，乙方不得向任何组织、个人提供或泄露与甲方有关的业务资料及信息，但理财产品销售文件</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w:t>
      </w:r>
      <w:r w:rsidR="009D1B06">
        <w:rPr>
          <w:rFonts w:ascii="宋体" w:hAnsi="宋体" w:cs="仿宋_GB2312"/>
          <w:kern w:val="0"/>
          <w:sz w:val="18"/>
          <w:szCs w:val="18"/>
        </w:rPr>
        <w:t>4</w:t>
      </w:r>
      <w:r>
        <w:rPr>
          <w:rFonts w:ascii="宋体" w:hAnsi="宋体" w:cs="仿宋_GB2312" w:hint="eastAsia"/>
          <w:kern w:val="0"/>
          <w:sz w:val="18"/>
          <w:szCs w:val="18"/>
        </w:rPr>
        <w:t>、甲方承诺严格遵守反洗钱相关法律法规和规章制度，不参与或协助洗钱、恐怖融资、逃税活动等违法行为。乙方发现或有合理理由怀疑甲方、甲方资金或甲方交易行为涉嫌洗钱、恐怖融资、逃税等犯罪活动相关的，乙方有权提前终止本协议，造成甲方损失的，乙方不承担责任。</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第二条 免责条款</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1、由于国家有关法律、法规、规章、政策的改变、紧急措施的出台而导致甲方蒙受损失或协议终止的，乙方不承担责任。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2、由于不可抗力或乙方无过错且无法防止的外因而导致的交易中断、延误等风险及损失，乙方不承担责任。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3、非因乙方原因（包括但不限于甲方遗失本协议、协议被盗用、交易账户被司法机关等有权部门冻结、扣划等原因）造成的损失，乙方不承担责任。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发生前述情形时，乙方将在条件允许的情况下采取必要合理的补救措施，尽力保护甲方利益，以减少甲方损失。</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第三条 争议处理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1、本协议在履行过程中发生的争议，由甲乙双方协商解决，协商不成的，任何一方可向乙方</w:t>
      </w:r>
      <w:r>
        <w:rPr>
          <w:rFonts w:ascii="宋体" w:hAnsi="宋体" w:cs="仿宋_GB2312"/>
          <w:kern w:val="0"/>
          <w:sz w:val="18"/>
          <w:szCs w:val="18"/>
        </w:rPr>
        <w:t>住所地</w:t>
      </w:r>
      <w:r>
        <w:rPr>
          <w:rFonts w:ascii="宋体" w:hAnsi="宋体" w:cs="仿宋_GB2312" w:hint="eastAsia"/>
          <w:kern w:val="0"/>
          <w:sz w:val="18"/>
          <w:szCs w:val="18"/>
        </w:rPr>
        <w:t>人民法院起诉。</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2、在诉讼期间，本协议不涉及争议部分的条款仍须履行。</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第四条 协议的生效和终止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1、协议生效</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甲方通过乙方线下渠道购买理财产品的，本协议经甲方签字且乙方盖柜面业务章后生效（为避免歧义，乙方相关业务人员在本协议的签字仅为乙方内部风险控制要求，并不作为协议成立的条件，下同）。</w:t>
      </w:r>
    </w:p>
    <w:p w:rsidR="00646431" w:rsidRDefault="003672F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甲方通过乙方线上</w:t>
      </w:r>
      <w:r>
        <w:rPr>
          <w:rFonts w:ascii="宋体" w:hAnsi="宋体" w:cs="仿宋_GB2312"/>
          <w:kern w:val="0"/>
          <w:sz w:val="18"/>
          <w:szCs w:val="18"/>
        </w:rPr>
        <w:t>渠道</w:t>
      </w:r>
      <w:r>
        <w:rPr>
          <w:rFonts w:ascii="宋体" w:hAnsi="宋体" w:cs="仿宋_GB2312" w:hint="eastAsia"/>
          <w:kern w:val="0"/>
          <w:sz w:val="18"/>
          <w:szCs w:val="18"/>
        </w:rPr>
        <w:t>（网上银行、手机银行、可视柜台等）购买理财产品的，甲方点击确认同意本协议后生效。</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2、协议终止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本协议及《投资</w:t>
      </w:r>
      <w:r>
        <w:rPr>
          <w:rFonts w:ascii="宋体" w:hAnsi="宋体" w:cs="仿宋_GB2312"/>
          <w:kern w:val="0"/>
          <w:sz w:val="18"/>
          <w:szCs w:val="18"/>
        </w:rPr>
        <w:t>协议书</w:t>
      </w:r>
      <w:r>
        <w:rPr>
          <w:rFonts w:ascii="宋体" w:hAnsi="宋体" w:cs="仿宋_GB2312" w:hint="eastAsia"/>
          <w:kern w:val="0"/>
          <w:sz w:val="18"/>
          <w:szCs w:val="18"/>
        </w:rPr>
        <w:t>》、《产品说明书》、《风险揭示书》、《投资者权益须知》项下各方权利义务履行完毕之日，本协议自动终止。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3、其他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甲方通过乙方的线下渠道购买本产品时，本协议一式叁份，销售机构、投资者及产品管理人各执一份，且具有同等法律效力。</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甲方声明：</w:t>
      </w:r>
    </w:p>
    <w:p w:rsidR="00646431" w:rsidRDefault="003672FE" w:rsidP="00BB236F">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1)甲方已经收到所购买</w:t>
      </w:r>
      <w:r>
        <w:rPr>
          <w:rFonts w:ascii="宋体" w:hAnsi="宋体" w:cs="仿宋_GB2312" w:hint="eastAsia"/>
          <w:b/>
          <w:kern w:val="0"/>
          <w:sz w:val="18"/>
          <w:szCs w:val="18"/>
        </w:rPr>
        <w:t>乙方销售的理财产品的《投资</w:t>
      </w:r>
      <w:r>
        <w:rPr>
          <w:rFonts w:ascii="宋体" w:hAnsi="宋体" w:cs="仿宋_GB2312"/>
          <w:b/>
          <w:kern w:val="0"/>
          <w:sz w:val="18"/>
          <w:szCs w:val="18"/>
        </w:rPr>
        <w:t>协议书</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产品说明书</w:t>
      </w:r>
      <w:r>
        <w:rPr>
          <w:rFonts w:ascii="宋体" w:hAnsi="宋体" w:cs="仿宋_GB2312"/>
          <w:b/>
          <w:kern w:val="0"/>
          <w:sz w:val="18"/>
          <w:szCs w:val="18"/>
        </w:rPr>
        <w:t>》</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（代理）销售协议书</w:t>
      </w:r>
      <w:r>
        <w:rPr>
          <w:rFonts w:ascii="宋体" w:hAnsi="宋体" w:cs="仿宋_GB2312"/>
          <w:b/>
          <w:kern w:val="0"/>
          <w:sz w:val="18"/>
          <w:szCs w:val="18"/>
        </w:rPr>
        <w:t>》</w:t>
      </w:r>
      <w:r>
        <w:rPr>
          <w:rFonts w:ascii="宋体" w:hAnsi="宋体" w:cs="仿宋_GB2312" w:hint="eastAsia"/>
          <w:b/>
          <w:kern w:val="0"/>
          <w:sz w:val="18"/>
          <w:szCs w:val="18"/>
        </w:rPr>
        <w:t>、《风险揭示书》、《投资者权益须知》等，并完全理解和接受上述文件的全部内容，清楚了解所购买理财产品的内容及可能出现的风险。甲方的投资决策完全基于甲方的独立自主判断做出，并自愿承担所认购</w:t>
      </w:r>
      <w:r>
        <w:rPr>
          <w:rFonts w:ascii="宋体" w:hAnsi="宋体" w:cs="仿宋_GB2312"/>
          <w:b/>
          <w:kern w:val="0"/>
          <w:sz w:val="18"/>
          <w:szCs w:val="18"/>
        </w:rPr>
        <w:t>、申购</w:t>
      </w:r>
      <w:r>
        <w:rPr>
          <w:rFonts w:ascii="宋体" w:hAnsi="宋体" w:cs="仿宋_GB2312" w:hint="eastAsia"/>
          <w:b/>
          <w:kern w:val="0"/>
          <w:sz w:val="18"/>
          <w:szCs w:val="18"/>
        </w:rPr>
        <w:t>、赎回理财产品所产生的相关风险和不利后果。</w:t>
      </w:r>
    </w:p>
    <w:p w:rsidR="00646431" w:rsidRDefault="003672FE" w:rsidP="00BB236F">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2)甲方确认乙方相关业务人员对于本协议中有关增加甲方义务、限制甲方权利以及免除、限制乙方责任和乙方单方面拥有某些权利的条款已向甲方予以解释说明，甲方自愿接受上述条款的约束，双方对本协议条款的理解已完全达成一致。</w:t>
      </w:r>
    </w:p>
    <w:p w:rsidR="00BB236F" w:rsidRPr="00384C9E" w:rsidRDefault="00BB236F" w:rsidP="00BB236F">
      <w:pPr>
        <w:widowControl/>
        <w:spacing w:line="360" w:lineRule="auto"/>
        <w:jc w:val="left"/>
        <w:rPr>
          <w:rFonts w:ascii="宋体" w:hAnsi="宋体" w:cs="仿宋_GB2312"/>
          <w:b/>
          <w:kern w:val="0"/>
          <w:sz w:val="18"/>
          <w:szCs w:val="18"/>
        </w:rPr>
      </w:pPr>
      <w:r w:rsidRPr="00384C9E">
        <w:rPr>
          <w:rFonts w:ascii="宋体" w:hAnsi="宋体" w:cs="仿宋_GB2312" w:hint="eastAsia"/>
          <w:b/>
          <w:kern w:val="0"/>
          <w:sz w:val="18"/>
          <w:szCs w:val="18"/>
        </w:rPr>
        <w:t>（3）甲方确认乙方相关业务人员不存在代替甲方签署销售业务相关文件，或代替甲方进行风险承受能力评估、理财产品购买等操作，不存在代替甲方持有或安排他人代替甲方持有理财产品的情况。</w:t>
      </w:r>
    </w:p>
    <w:p w:rsidR="00BB236F" w:rsidRPr="00BB236F" w:rsidRDefault="00BB236F">
      <w:pPr>
        <w:widowControl/>
        <w:spacing w:line="360" w:lineRule="auto"/>
        <w:ind w:firstLineChars="200" w:firstLine="361"/>
        <w:jc w:val="left"/>
        <w:rPr>
          <w:rFonts w:ascii="宋体" w:hAnsi="宋体" w:cs="仿宋_GB2312"/>
          <w:b/>
          <w:kern w:val="0"/>
          <w:sz w:val="18"/>
          <w:szCs w:val="18"/>
        </w:rPr>
      </w:pPr>
    </w:p>
    <w:p w:rsidR="00646431" w:rsidRDefault="003672FE">
      <w:pPr>
        <w:widowControl/>
        <w:jc w:val="left"/>
        <w:rPr>
          <w:rFonts w:ascii="宋体" w:hAnsi="宋体" w:cs="仿宋_GB2312"/>
          <w:b/>
          <w:kern w:val="0"/>
          <w:sz w:val="18"/>
          <w:szCs w:val="18"/>
        </w:rPr>
      </w:pPr>
      <w:r>
        <w:rPr>
          <w:rFonts w:ascii="宋体" w:hAnsi="宋体" w:cs="仿宋_GB2312"/>
          <w:b/>
          <w:kern w:val="0"/>
          <w:sz w:val="18"/>
          <w:szCs w:val="18"/>
        </w:rPr>
        <w:br w:type="page"/>
      </w:r>
    </w:p>
    <w:p w:rsidR="00646431" w:rsidRDefault="00646431">
      <w:pPr>
        <w:autoSpaceDE w:val="0"/>
        <w:autoSpaceDN w:val="0"/>
        <w:adjustRightInd w:val="0"/>
        <w:snapToGrid w:val="0"/>
        <w:spacing w:line="280" w:lineRule="atLeast"/>
        <w:ind w:firstLineChars="200" w:firstLine="360"/>
        <w:rPr>
          <w:rFonts w:ascii="黑体" w:eastAsia="黑体" w:hAnsi="黑体" w:cs="仿宋_GB2312"/>
          <w:kern w:val="0"/>
          <w:sz w:val="18"/>
          <w:szCs w:val="18"/>
        </w:rPr>
      </w:pPr>
    </w:p>
    <w:tbl>
      <w:tblPr>
        <w:tblStyle w:val="a8"/>
        <w:tblW w:w="85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675"/>
        <w:gridCol w:w="851"/>
        <w:gridCol w:w="6998"/>
      </w:tblGrid>
      <w:tr w:rsidR="00646431">
        <w:trPr>
          <w:trHeight w:val="329"/>
        </w:trPr>
        <w:tc>
          <w:tcPr>
            <w:tcW w:w="8524" w:type="dxa"/>
            <w:gridSpan w:val="3"/>
            <w:vAlign w:val="center"/>
          </w:tcPr>
          <w:p w:rsidR="00646431" w:rsidRDefault="003672FE">
            <w:pPr>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签署栏</w:t>
            </w:r>
          </w:p>
        </w:tc>
      </w:tr>
      <w:tr w:rsidR="00646431">
        <w:tc>
          <w:tcPr>
            <w:tcW w:w="675" w:type="dxa"/>
            <w:vAlign w:val="center"/>
          </w:tcPr>
          <w:p w:rsidR="00646431" w:rsidRDefault="003672FE">
            <w:pPr>
              <w:tabs>
                <w:tab w:val="left" w:pos="8070"/>
                <w:tab w:val="right" w:pos="8306"/>
              </w:tabs>
              <w:autoSpaceDE w:val="0"/>
              <w:autoSpaceDN w:val="0"/>
              <w:adjustRightInd w:val="0"/>
              <w:snapToGrid w:val="0"/>
              <w:spacing w:line="280" w:lineRule="exact"/>
              <w:jc w:val="center"/>
              <w:rPr>
                <w:rFonts w:ascii="黑体" w:eastAsia="黑体" w:hAnsi="黑体"/>
                <w:kern w:val="0"/>
                <w:sz w:val="18"/>
                <w:szCs w:val="18"/>
              </w:rPr>
            </w:pPr>
            <w:r>
              <w:rPr>
                <w:rFonts w:ascii="黑体" w:eastAsia="黑体" w:hAnsi="黑体" w:hint="eastAsia"/>
                <w:kern w:val="0"/>
                <w:sz w:val="18"/>
                <w:szCs w:val="18"/>
              </w:rPr>
              <w:t>★</w:t>
            </w:r>
          </w:p>
          <w:p w:rsidR="00646431" w:rsidRDefault="003672FE">
            <w:pPr>
              <w:tabs>
                <w:tab w:val="left" w:pos="8070"/>
                <w:tab w:val="right" w:pos="8306"/>
              </w:tabs>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签署声明</w:t>
            </w:r>
          </w:p>
        </w:tc>
        <w:tc>
          <w:tcPr>
            <w:tcW w:w="7849" w:type="dxa"/>
            <w:gridSpan w:val="2"/>
          </w:tcPr>
          <w:p w:rsidR="00646431" w:rsidRDefault="003672FE">
            <w:pPr>
              <w:tabs>
                <w:tab w:val="left" w:pos="8070"/>
                <w:tab w:val="right" w:pos="8306"/>
              </w:tabs>
              <w:autoSpaceDE w:val="0"/>
              <w:autoSpaceDN w:val="0"/>
              <w:adjustRightInd w:val="0"/>
              <w:snapToGrid w:val="0"/>
              <w:spacing w:line="280" w:lineRule="exact"/>
              <w:rPr>
                <w:rFonts w:ascii="黑体" w:eastAsia="黑体" w:hAnsi="黑体"/>
                <w:kern w:val="0"/>
                <w:sz w:val="18"/>
                <w:szCs w:val="18"/>
              </w:rPr>
            </w:pPr>
            <w:r>
              <w:rPr>
                <w:rFonts w:ascii="黑体" w:eastAsia="黑体" w:hAnsi="黑体"/>
                <w:kern w:val="0"/>
                <w:sz w:val="18"/>
                <w:szCs w:val="18"/>
              </w:rPr>
              <w:t>1、在签署本《</w:t>
            </w:r>
            <w:r>
              <w:rPr>
                <w:rFonts w:ascii="黑体" w:eastAsia="黑体" w:hAnsi="黑体" w:hint="eastAsia"/>
                <w:kern w:val="0"/>
                <w:sz w:val="18"/>
                <w:szCs w:val="18"/>
              </w:rPr>
              <w:t>（代理）</w:t>
            </w:r>
            <w:r>
              <w:rPr>
                <w:rFonts w:ascii="黑体" w:eastAsia="黑体" w:hAnsi="黑体"/>
                <w:kern w:val="0"/>
                <w:sz w:val="18"/>
                <w:szCs w:val="18"/>
              </w:rPr>
              <w:t>销售协议书》以前，甲方已认真阅读理财产品销售文件（包括但不限于《</w:t>
            </w:r>
            <w:r>
              <w:rPr>
                <w:rFonts w:ascii="黑体" w:eastAsia="黑体" w:hAnsi="黑体" w:hint="eastAsia"/>
                <w:kern w:val="0"/>
                <w:sz w:val="18"/>
                <w:szCs w:val="18"/>
              </w:rPr>
              <w:t>投资</w:t>
            </w:r>
            <w:r>
              <w:rPr>
                <w:rFonts w:ascii="黑体" w:eastAsia="黑体" w:hAnsi="黑体"/>
                <w:kern w:val="0"/>
                <w:sz w:val="18"/>
                <w:szCs w:val="18"/>
              </w:rPr>
              <w:t>协议书》、《产品说明书》、</w:t>
            </w:r>
            <w:r>
              <w:rPr>
                <w:rFonts w:ascii="黑体" w:eastAsia="黑体" w:hAnsi="黑体" w:hint="eastAsia"/>
                <w:kern w:val="0"/>
                <w:sz w:val="18"/>
                <w:szCs w:val="18"/>
              </w:rPr>
              <w:t>《（代理）销售</w:t>
            </w:r>
            <w:r>
              <w:rPr>
                <w:rFonts w:ascii="黑体" w:eastAsia="黑体" w:hAnsi="黑体"/>
                <w:kern w:val="0"/>
                <w:sz w:val="18"/>
                <w:szCs w:val="18"/>
              </w:rPr>
              <w:t>协议书</w:t>
            </w:r>
            <w:r>
              <w:rPr>
                <w:rFonts w:ascii="黑体" w:eastAsia="黑体" w:hAnsi="黑体" w:hint="eastAsia"/>
                <w:kern w:val="0"/>
                <w:sz w:val="18"/>
                <w:szCs w:val="18"/>
              </w:rPr>
              <w:t>》、</w:t>
            </w:r>
            <w:r>
              <w:rPr>
                <w:rFonts w:ascii="黑体" w:eastAsia="黑体" w:hAnsi="黑体"/>
                <w:kern w:val="0"/>
                <w:sz w:val="18"/>
                <w:szCs w:val="18"/>
              </w:rPr>
              <w:t>《风险揭示书》、《投资者权益须知》等文件）的全部内容，</w:t>
            </w:r>
            <w:r>
              <w:rPr>
                <w:rFonts w:ascii="黑体" w:eastAsia="黑体" w:hAnsi="黑体" w:hint="eastAsia"/>
                <w:kern w:val="0"/>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乙方已提醒甲方注意对本协议各条款，特别是黑体字条款作全面、准确的理解，并应甲方要求做了相应条款的说明，甲方认同并接受本协议全部条款，对有关条款不存在任何疑问或异议，并对协议双方的权利、义务、责任与风险有清楚和准确的理解，甲方做出的任何决策均出于自身独立的判断，是甲方真实的意思表示。</w:t>
            </w:r>
          </w:p>
          <w:p w:rsidR="00646431" w:rsidRDefault="003672FE">
            <w:pPr>
              <w:tabs>
                <w:tab w:val="left" w:pos="0"/>
                <w:tab w:val="left" w:pos="3600"/>
              </w:tabs>
              <w:jc w:val="left"/>
              <w:rPr>
                <w:rFonts w:ascii="黑体" w:eastAsia="黑体" w:hAnsi="黑体"/>
                <w:kern w:val="0"/>
                <w:sz w:val="18"/>
                <w:szCs w:val="18"/>
              </w:rPr>
            </w:pPr>
            <w:r>
              <w:rPr>
                <w:rFonts w:ascii="黑体" w:eastAsia="黑体" w:hAnsi="黑体"/>
                <w:kern w:val="0"/>
                <w:sz w:val="18"/>
                <w:szCs w:val="18"/>
              </w:rPr>
              <w:t>2</w:t>
            </w:r>
            <w:r>
              <w:rPr>
                <w:rFonts w:ascii="黑体" w:eastAsia="黑体" w:hAnsi="黑体" w:hint="eastAsia"/>
                <w:kern w:val="0"/>
                <w:sz w:val="18"/>
                <w:szCs w:val="18"/>
              </w:rPr>
              <w:t>、甲方</w:t>
            </w:r>
            <w:r>
              <w:rPr>
                <w:rFonts w:ascii="黑体" w:eastAsia="黑体" w:hAnsi="黑体"/>
                <w:kern w:val="0"/>
                <w:sz w:val="18"/>
                <w:szCs w:val="18"/>
              </w:rPr>
              <w:t>已认真阅读并充分理解包括但不限于《</w:t>
            </w:r>
            <w:r>
              <w:rPr>
                <w:rFonts w:ascii="黑体" w:eastAsia="黑体" w:hAnsi="黑体" w:hint="eastAsia"/>
                <w:kern w:val="0"/>
                <w:sz w:val="18"/>
                <w:szCs w:val="18"/>
              </w:rPr>
              <w:t>（代理）</w:t>
            </w:r>
            <w:r>
              <w:rPr>
                <w:rFonts w:ascii="黑体" w:eastAsia="黑体" w:hAnsi="黑体"/>
                <w:kern w:val="0"/>
                <w:sz w:val="18"/>
                <w:szCs w:val="18"/>
              </w:rPr>
              <w:t>销售协议书》</w:t>
            </w:r>
            <w:r>
              <w:rPr>
                <w:rFonts w:ascii="黑体" w:eastAsia="黑体" w:hAnsi="黑体" w:hint="eastAsia"/>
                <w:kern w:val="0"/>
                <w:sz w:val="18"/>
                <w:szCs w:val="18"/>
              </w:rPr>
              <w:t>等全套理财产品销售文件</w:t>
            </w:r>
            <w:r>
              <w:rPr>
                <w:rFonts w:ascii="黑体" w:eastAsia="黑体" w:hAnsi="黑体"/>
                <w:kern w:val="0"/>
                <w:sz w:val="18"/>
                <w:szCs w:val="18"/>
              </w:rPr>
              <w:t>关于投资理财产品及其全部风险的有关内容，同意本次</w:t>
            </w:r>
            <w:r>
              <w:rPr>
                <w:rFonts w:ascii="黑体" w:eastAsia="黑体" w:hAnsi="黑体" w:hint="eastAsia"/>
                <w:kern w:val="0"/>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rsidR="00646431">
        <w:trPr>
          <w:trHeight w:hRule="exact" w:val="1485"/>
        </w:trPr>
        <w:tc>
          <w:tcPr>
            <w:tcW w:w="675" w:type="dxa"/>
            <w:vMerge w:val="restart"/>
            <w:vAlign w:val="center"/>
          </w:tcPr>
          <w:p w:rsidR="00646431" w:rsidRDefault="003672FE">
            <w:pPr>
              <w:jc w:val="center"/>
              <w:rPr>
                <w:b/>
                <w:kern w:val="0"/>
                <w:sz w:val="18"/>
                <w:szCs w:val="18"/>
              </w:rPr>
            </w:pPr>
            <w:r>
              <w:rPr>
                <w:rFonts w:hint="eastAsia"/>
                <w:b/>
                <w:kern w:val="0"/>
                <w:sz w:val="18"/>
                <w:szCs w:val="18"/>
              </w:rPr>
              <w:t>甲方签署栏</w:t>
            </w:r>
          </w:p>
        </w:tc>
        <w:tc>
          <w:tcPr>
            <w:tcW w:w="851" w:type="dxa"/>
          </w:tcPr>
          <w:p w:rsidR="00646431" w:rsidRDefault="003672FE">
            <w:pPr>
              <w:rPr>
                <w:b/>
                <w:kern w:val="0"/>
                <w:sz w:val="18"/>
                <w:szCs w:val="18"/>
              </w:rPr>
            </w:pPr>
            <w:r>
              <w:rPr>
                <w:rFonts w:hint="eastAsia"/>
                <w:b/>
                <w:kern w:val="0"/>
                <w:sz w:val="18"/>
                <w:szCs w:val="18"/>
              </w:rPr>
              <w:t>个人投资者适用</w:t>
            </w:r>
          </w:p>
        </w:tc>
        <w:tc>
          <w:tcPr>
            <w:tcW w:w="6998" w:type="dxa"/>
          </w:tcPr>
          <w:p w:rsidR="00646431" w:rsidRDefault="003672FE">
            <w:pPr>
              <w:rPr>
                <w:kern w:val="0"/>
                <w:sz w:val="18"/>
                <w:szCs w:val="18"/>
              </w:rPr>
            </w:pPr>
            <w:r>
              <w:rPr>
                <w:rFonts w:hint="eastAsia"/>
                <w:kern w:val="0"/>
                <w:sz w:val="18"/>
                <w:szCs w:val="18"/>
              </w:rPr>
              <w:t>甲方（签字）：</w:t>
            </w:r>
          </w:p>
          <w:p w:rsidR="00646431" w:rsidRDefault="00646431">
            <w:pPr>
              <w:rPr>
                <w:b/>
                <w:kern w:val="0"/>
                <w:sz w:val="18"/>
                <w:szCs w:val="18"/>
              </w:rPr>
            </w:pPr>
          </w:p>
          <w:p w:rsidR="00646431" w:rsidRDefault="003672FE">
            <w:pPr>
              <w:rPr>
                <w:b/>
                <w:kern w:val="0"/>
                <w:sz w:val="18"/>
                <w:szCs w:val="18"/>
              </w:rPr>
            </w:pPr>
            <w:r>
              <w:rPr>
                <w:rFonts w:hint="eastAsia"/>
                <w:kern w:val="0"/>
                <w:sz w:val="18"/>
                <w:szCs w:val="18"/>
              </w:rPr>
              <w:t>日期：</w:t>
            </w:r>
          </w:p>
        </w:tc>
      </w:tr>
      <w:tr w:rsidR="00646431">
        <w:trPr>
          <w:trHeight w:val="2056"/>
        </w:trPr>
        <w:tc>
          <w:tcPr>
            <w:tcW w:w="675" w:type="dxa"/>
            <w:vMerge/>
          </w:tcPr>
          <w:p w:rsidR="00646431" w:rsidRDefault="00646431">
            <w:pPr>
              <w:rPr>
                <w:b/>
                <w:kern w:val="0"/>
                <w:sz w:val="18"/>
                <w:szCs w:val="18"/>
              </w:rPr>
            </w:pPr>
          </w:p>
        </w:tc>
        <w:tc>
          <w:tcPr>
            <w:tcW w:w="851" w:type="dxa"/>
          </w:tcPr>
          <w:p w:rsidR="00646431" w:rsidRDefault="003672FE">
            <w:pPr>
              <w:rPr>
                <w:b/>
                <w:kern w:val="0"/>
                <w:sz w:val="18"/>
                <w:szCs w:val="18"/>
              </w:rPr>
            </w:pPr>
            <w:r>
              <w:rPr>
                <w:rFonts w:hint="eastAsia"/>
                <w:b/>
                <w:kern w:val="0"/>
                <w:sz w:val="18"/>
                <w:szCs w:val="18"/>
              </w:rPr>
              <w:t>机构投资者适用</w:t>
            </w:r>
          </w:p>
        </w:tc>
        <w:tc>
          <w:tcPr>
            <w:tcW w:w="6998" w:type="dxa"/>
          </w:tcPr>
          <w:p w:rsidR="00646431" w:rsidRDefault="003672FE">
            <w:pPr>
              <w:rPr>
                <w:rFonts w:cs="Arial"/>
                <w:kern w:val="0"/>
                <w:sz w:val="18"/>
                <w:szCs w:val="18"/>
              </w:rPr>
            </w:pPr>
            <w:r>
              <w:rPr>
                <w:rFonts w:hint="eastAsia"/>
                <w:kern w:val="0"/>
                <w:sz w:val="18"/>
                <w:szCs w:val="18"/>
              </w:rPr>
              <w:t>甲方</w:t>
            </w:r>
            <w:r>
              <w:rPr>
                <w:rFonts w:cs="Arial" w:hint="eastAsia"/>
                <w:kern w:val="0"/>
                <w:sz w:val="18"/>
                <w:szCs w:val="18"/>
              </w:rPr>
              <w:t>（盖章）：</w:t>
            </w:r>
          </w:p>
          <w:p w:rsidR="00646431" w:rsidRDefault="00646431">
            <w:pPr>
              <w:rPr>
                <w:rFonts w:cs="Arial"/>
                <w:kern w:val="0"/>
                <w:sz w:val="18"/>
                <w:szCs w:val="18"/>
              </w:rPr>
            </w:pPr>
          </w:p>
          <w:p w:rsidR="00646431" w:rsidRDefault="003672FE">
            <w:pPr>
              <w:rPr>
                <w:rFonts w:cs="Arial"/>
                <w:kern w:val="0"/>
                <w:sz w:val="18"/>
                <w:szCs w:val="18"/>
              </w:rPr>
            </w:pPr>
            <w:r>
              <w:rPr>
                <w:rFonts w:cs="Arial" w:hint="eastAsia"/>
                <w:kern w:val="0"/>
                <w:sz w:val="18"/>
                <w:szCs w:val="18"/>
              </w:rPr>
              <w:t>甲方法定代表人或授权代理人（签字或盖章）：</w:t>
            </w:r>
          </w:p>
          <w:p w:rsidR="00646431" w:rsidRDefault="00646431">
            <w:pPr>
              <w:rPr>
                <w:b/>
                <w:kern w:val="0"/>
                <w:sz w:val="18"/>
                <w:szCs w:val="18"/>
              </w:rPr>
            </w:pPr>
          </w:p>
          <w:p w:rsidR="00646431" w:rsidRDefault="003672FE">
            <w:pPr>
              <w:rPr>
                <w:kern w:val="0"/>
                <w:sz w:val="18"/>
                <w:szCs w:val="18"/>
              </w:rPr>
            </w:pPr>
            <w:r>
              <w:rPr>
                <w:rFonts w:hint="eastAsia"/>
                <w:kern w:val="0"/>
                <w:sz w:val="18"/>
                <w:szCs w:val="18"/>
              </w:rPr>
              <w:t>日期：</w:t>
            </w:r>
          </w:p>
        </w:tc>
      </w:tr>
      <w:tr w:rsidR="00646431">
        <w:trPr>
          <w:trHeight w:val="1363"/>
        </w:trPr>
        <w:tc>
          <w:tcPr>
            <w:tcW w:w="675" w:type="dxa"/>
          </w:tcPr>
          <w:p w:rsidR="00646431" w:rsidRDefault="003672FE">
            <w:pPr>
              <w:jc w:val="center"/>
              <w:rPr>
                <w:b/>
                <w:kern w:val="0"/>
                <w:sz w:val="18"/>
                <w:szCs w:val="18"/>
              </w:rPr>
            </w:pPr>
            <w:r>
              <w:rPr>
                <w:rFonts w:hint="eastAsia"/>
                <w:b/>
                <w:kern w:val="0"/>
                <w:sz w:val="18"/>
                <w:szCs w:val="18"/>
              </w:rPr>
              <w:t>乙方</w:t>
            </w:r>
            <w:r>
              <w:rPr>
                <w:b/>
                <w:kern w:val="0"/>
                <w:sz w:val="18"/>
                <w:szCs w:val="18"/>
              </w:rPr>
              <w:t>签署栏</w:t>
            </w:r>
          </w:p>
        </w:tc>
        <w:tc>
          <w:tcPr>
            <w:tcW w:w="7849" w:type="dxa"/>
            <w:gridSpan w:val="2"/>
          </w:tcPr>
          <w:p w:rsidR="00646431" w:rsidRDefault="003672FE">
            <w:pPr>
              <w:rPr>
                <w:kern w:val="0"/>
                <w:sz w:val="18"/>
                <w:szCs w:val="18"/>
              </w:rPr>
            </w:pPr>
            <w:r>
              <w:rPr>
                <w:rFonts w:hint="eastAsia"/>
                <w:kern w:val="0"/>
                <w:sz w:val="18"/>
                <w:szCs w:val="18"/>
              </w:rPr>
              <w:t>乙方</w:t>
            </w:r>
            <w:r>
              <w:rPr>
                <w:kern w:val="0"/>
                <w:sz w:val="18"/>
                <w:szCs w:val="18"/>
              </w:rPr>
              <w:t>（</w:t>
            </w:r>
            <w:r>
              <w:rPr>
                <w:rFonts w:hint="eastAsia"/>
                <w:kern w:val="0"/>
                <w:sz w:val="18"/>
                <w:szCs w:val="18"/>
              </w:rPr>
              <w:t>盖章</w:t>
            </w:r>
            <w:r>
              <w:rPr>
                <w:kern w:val="0"/>
                <w:sz w:val="18"/>
                <w:szCs w:val="18"/>
              </w:rPr>
              <w:t>）</w:t>
            </w:r>
            <w:r>
              <w:rPr>
                <w:rFonts w:hint="eastAsia"/>
                <w:kern w:val="0"/>
                <w:sz w:val="18"/>
                <w:szCs w:val="18"/>
              </w:rPr>
              <w:t>：</w:t>
            </w:r>
          </w:p>
          <w:p w:rsidR="00646431" w:rsidRDefault="00646431">
            <w:pPr>
              <w:rPr>
                <w:b/>
                <w:kern w:val="0"/>
                <w:sz w:val="18"/>
                <w:szCs w:val="18"/>
              </w:rPr>
            </w:pPr>
          </w:p>
          <w:p w:rsidR="00646431" w:rsidRDefault="003672FE">
            <w:pPr>
              <w:rPr>
                <w:kern w:val="0"/>
                <w:sz w:val="18"/>
                <w:szCs w:val="18"/>
              </w:rPr>
            </w:pPr>
            <w:r>
              <w:rPr>
                <w:rFonts w:hint="eastAsia"/>
                <w:kern w:val="0"/>
                <w:sz w:val="18"/>
                <w:szCs w:val="18"/>
              </w:rPr>
              <w:t>日期：</w:t>
            </w:r>
          </w:p>
        </w:tc>
      </w:tr>
    </w:tbl>
    <w:p w:rsidR="00646431" w:rsidRDefault="003672FE">
      <w:pPr>
        <w:spacing w:line="360" w:lineRule="auto"/>
        <w:jc w:val="left"/>
        <w:rPr>
          <w:rFonts w:ascii="宋体" w:hAnsi="宋体"/>
          <w:b/>
          <w:sz w:val="18"/>
          <w:szCs w:val="18"/>
        </w:rPr>
      </w:pPr>
      <w:r>
        <w:rPr>
          <w:rFonts w:ascii="宋体" w:hAnsi="宋体" w:hint="eastAsia"/>
          <w:b/>
          <w:sz w:val="18"/>
          <w:szCs w:val="18"/>
        </w:rPr>
        <w:t>（本《（代理）销售协议书》</w:t>
      </w:r>
      <w:r>
        <w:rPr>
          <w:rFonts w:ascii="宋体" w:hAnsi="宋体" w:cs="Arial" w:hint="eastAsia"/>
          <w:b/>
          <w:sz w:val="18"/>
          <w:szCs w:val="18"/>
        </w:rPr>
        <w:t>共有三份</w:t>
      </w:r>
      <w:r>
        <w:rPr>
          <w:rFonts w:ascii="宋体" w:hAnsi="宋体" w:cs="Arial"/>
          <w:b/>
          <w:sz w:val="18"/>
          <w:szCs w:val="18"/>
        </w:rPr>
        <w:t>签署</w:t>
      </w:r>
      <w:r>
        <w:rPr>
          <w:rFonts w:ascii="宋体" w:hAnsi="宋体" w:cs="Arial" w:hint="eastAsia"/>
          <w:b/>
          <w:sz w:val="18"/>
          <w:szCs w:val="18"/>
        </w:rPr>
        <w:t>文本，第一联销售机构留存，第二联投资者留存，第三联产品管理人留存</w:t>
      </w:r>
      <w:r>
        <w:rPr>
          <w:rFonts w:ascii="宋体" w:hAnsi="宋体" w:hint="eastAsia"/>
          <w:b/>
          <w:sz w:val="18"/>
          <w:szCs w:val="18"/>
        </w:rPr>
        <w:t>。）</w:t>
      </w:r>
    </w:p>
    <w:p w:rsidR="00646431" w:rsidRDefault="00646431"/>
    <w:p w:rsidR="00646431" w:rsidRDefault="00646431"/>
    <w:p w:rsidR="00646431" w:rsidRDefault="00646431"/>
    <w:p w:rsidR="00646431" w:rsidRDefault="00646431"/>
    <w:sectPr w:rsidR="00646431" w:rsidSect="00DB62AC">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6AAB" w:rsidRDefault="00846AAB">
      <w:r>
        <w:separator/>
      </w:r>
    </w:p>
  </w:endnote>
  <w:endnote w:type="continuationSeparator" w:id="1">
    <w:p w:rsidR="00846AAB" w:rsidRDefault="00846A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3017656"/>
    </w:sdtPr>
    <w:sdtContent>
      <w:p w:rsidR="00646431" w:rsidRDefault="00DB62AC">
        <w:pPr>
          <w:pStyle w:val="a5"/>
          <w:jc w:val="center"/>
        </w:pPr>
        <w:r>
          <w:fldChar w:fldCharType="begin"/>
        </w:r>
        <w:r w:rsidR="003672FE">
          <w:instrText>PAGE   \* MERGEFORMAT</w:instrText>
        </w:r>
        <w:r>
          <w:fldChar w:fldCharType="separate"/>
        </w:r>
        <w:r w:rsidR="000A1BD6" w:rsidRPr="000A1BD6">
          <w:rPr>
            <w:noProof/>
            <w:lang w:val="zh-CN"/>
          </w:rPr>
          <w:t>6</w:t>
        </w:r>
        <w:r>
          <w:fldChar w:fldCharType="end"/>
        </w:r>
      </w:p>
    </w:sdtContent>
  </w:sdt>
  <w:p w:rsidR="00646431" w:rsidRDefault="0064643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6AAB" w:rsidRDefault="00846AAB">
      <w:r>
        <w:separator/>
      </w:r>
    </w:p>
  </w:footnote>
  <w:footnote w:type="continuationSeparator" w:id="1">
    <w:p w:rsidR="00846AAB" w:rsidRDefault="00846A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431" w:rsidRDefault="003672FE">
    <w:pPr>
      <w:pStyle w:val="a6"/>
      <w:pBdr>
        <w:bottom w:val="thickThinLargeGap" w:sz="24" w:space="10" w:color="auto"/>
      </w:pBdr>
      <w:tabs>
        <w:tab w:val="right" w:pos="8280"/>
      </w:tabs>
      <w:wordWrap w:val="0"/>
      <w:adjustRightInd w:val="0"/>
      <w:jc w:val="right"/>
      <w:rPr>
        <w:b/>
      </w:rPr>
    </w:pPr>
    <w:r>
      <w:rPr>
        <w:rFonts w:hint="eastAsia"/>
        <w:b/>
      </w:rPr>
      <w:t>（</w:t>
    </w:r>
    <w:r>
      <w:rPr>
        <w:rFonts w:hint="eastAsia"/>
        <w:b/>
      </w:rPr>
      <w:t>代理）销售协议书</w:t>
    </w:r>
  </w:p>
  <w:p w:rsidR="00646431" w:rsidRDefault="003672FE">
    <w:pPr>
      <w:pStyle w:val="a6"/>
      <w:pBdr>
        <w:bottom w:val="thickThinLargeGap" w:sz="24" w:space="10" w:color="auto"/>
      </w:pBdr>
      <w:tabs>
        <w:tab w:val="right" w:pos="8280"/>
      </w:tabs>
      <w:wordWrap w:val="0"/>
      <w:adjustRightInd w:val="0"/>
      <w:jc w:val="right"/>
      <w:rPr>
        <w:b/>
      </w:rPr>
    </w:pPr>
    <w:r>
      <w:rPr>
        <w:rFonts w:hint="eastAsia"/>
        <w:b/>
      </w:rPr>
      <w:t>本文件由兴银理财有限责任公司统一编制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50C0B"/>
    <w:rsid w:val="00002873"/>
    <w:rsid w:val="00014ADA"/>
    <w:rsid w:val="000A1BD6"/>
    <w:rsid w:val="000B4762"/>
    <w:rsid w:val="000D6AED"/>
    <w:rsid w:val="000F142C"/>
    <w:rsid w:val="00131766"/>
    <w:rsid w:val="00135B7E"/>
    <w:rsid w:val="00171F73"/>
    <w:rsid w:val="001D5BB4"/>
    <w:rsid w:val="00217DEF"/>
    <w:rsid w:val="00263CF4"/>
    <w:rsid w:val="002A703E"/>
    <w:rsid w:val="002D1C46"/>
    <w:rsid w:val="002D701A"/>
    <w:rsid w:val="002E7239"/>
    <w:rsid w:val="00311B0C"/>
    <w:rsid w:val="00335DAF"/>
    <w:rsid w:val="003672FE"/>
    <w:rsid w:val="003B7AAC"/>
    <w:rsid w:val="003E41BC"/>
    <w:rsid w:val="003F1C2E"/>
    <w:rsid w:val="003F4EEF"/>
    <w:rsid w:val="003F583B"/>
    <w:rsid w:val="00481E6B"/>
    <w:rsid w:val="00494F0E"/>
    <w:rsid w:val="004B5B82"/>
    <w:rsid w:val="005120A6"/>
    <w:rsid w:val="005856D9"/>
    <w:rsid w:val="005B58BC"/>
    <w:rsid w:val="005C300B"/>
    <w:rsid w:val="005E0A6F"/>
    <w:rsid w:val="005E6EDE"/>
    <w:rsid w:val="00601E65"/>
    <w:rsid w:val="006150C4"/>
    <w:rsid w:val="00646431"/>
    <w:rsid w:val="006769A0"/>
    <w:rsid w:val="006F2A2E"/>
    <w:rsid w:val="00707491"/>
    <w:rsid w:val="00752BF6"/>
    <w:rsid w:val="00756A1D"/>
    <w:rsid w:val="00767C2B"/>
    <w:rsid w:val="00776D40"/>
    <w:rsid w:val="0079123A"/>
    <w:rsid w:val="007942D5"/>
    <w:rsid w:val="007A251D"/>
    <w:rsid w:val="007C68DE"/>
    <w:rsid w:val="007D2925"/>
    <w:rsid w:val="007F3E92"/>
    <w:rsid w:val="008053A3"/>
    <w:rsid w:val="00835E57"/>
    <w:rsid w:val="00846AAB"/>
    <w:rsid w:val="00850C0B"/>
    <w:rsid w:val="00854BA4"/>
    <w:rsid w:val="00855B8B"/>
    <w:rsid w:val="00862B8A"/>
    <w:rsid w:val="008D2C2D"/>
    <w:rsid w:val="008E6241"/>
    <w:rsid w:val="008E7AE8"/>
    <w:rsid w:val="009025C3"/>
    <w:rsid w:val="00917356"/>
    <w:rsid w:val="00966144"/>
    <w:rsid w:val="009708C9"/>
    <w:rsid w:val="009D1B06"/>
    <w:rsid w:val="009D2ED5"/>
    <w:rsid w:val="00A06848"/>
    <w:rsid w:val="00A267DA"/>
    <w:rsid w:val="00A3186E"/>
    <w:rsid w:val="00A435BF"/>
    <w:rsid w:val="00A47BD1"/>
    <w:rsid w:val="00A81632"/>
    <w:rsid w:val="00A90F0B"/>
    <w:rsid w:val="00AC6C55"/>
    <w:rsid w:val="00B532B9"/>
    <w:rsid w:val="00BB236F"/>
    <w:rsid w:val="00BE0150"/>
    <w:rsid w:val="00BE7F00"/>
    <w:rsid w:val="00C26F72"/>
    <w:rsid w:val="00C45B08"/>
    <w:rsid w:val="00CA5938"/>
    <w:rsid w:val="00D3152C"/>
    <w:rsid w:val="00D82CA8"/>
    <w:rsid w:val="00DA4E9C"/>
    <w:rsid w:val="00DB62AC"/>
    <w:rsid w:val="00E145A0"/>
    <w:rsid w:val="00E36CAB"/>
    <w:rsid w:val="00E500BC"/>
    <w:rsid w:val="00E71AFA"/>
    <w:rsid w:val="00E725AC"/>
    <w:rsid w:val="00E9473C"/>
    <w:rsid w:val="00EA72EF"/>
    <w:rsid w:val="00EB3ABC"/>
    <w:rsid w:val="00EC2E2B"/>
    <w:rsid w:val="00ED33FA"/>
    <w:rsid w:val="00F53477"/>
    <w:rsid w:val="00F57B20"/>
    <w:rsid w:val="00F86021"/>
    <w:rsid w:val="00F97CA1"/>
    <w:rsid w:val="175E2344"/>
    <w:rsid w:val="6F5A73C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qFormat="1"/>
    <w:lsdException w:name="header" w:semiHidden="0" w:qFormat="1"/>
    <w:lsdException w:name="footer" w:semiHidden="0"/>
    <w:lsdException w:name="caption" w:uiPriority="35" w:qFormat="1"/>
    <w:lsdException w:name="annotation reference" w:semiHidden="0" w:uiPriority="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HTML Preformatted" w:semiHidden="0" w:unhideWhenUsed="0"/>
    <w:lsdException w:name="annotation subject" w:qFormat="1"/>
    <w:lsdException w:name="Balloon Text"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2AC"/>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nhideWhenUsed/>
    <w:qFormat/>
    <w:rsid w:val="00DB62AC"/>
    <w:pPr>
      <w:jc w:val="left"/>
    </w:pPr>
  </w:style>
  <w:style w:type="paragraph" w:styleId="a4">
    <w:name w:val="Balloon Text"/>
    <w:basedOn w:val="a"/>
    <w:link w:val="Char0"/>
    <w:uiPriority w:val="99"/>
    <w:semiHidden/>
    <w:unhideWhenUsed/>
    <w:qFormat/>
    <w:rsid w:val="00DB62AC"/>
    <w:rPr>
      <w:sz w:val="18"/>
      <w:szCs w:val="18"/>
    </w:rPr>
  </w:style>
  <w:style w:type="paragraph" w:styleId="a5">
    <w:name w:val="footer"/>
    <w:basedOn w:val="a"/>
    <w:link w:val="Char1"/>
    <w:uiPriority w:val="99"/>
    <w:unhideWhenUsed/>
    <w:rsid w:val="00DB62AC"/>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rsid w:val="00DB62A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HTML">
    <w:name w:val="HTML Preformatted"/>
    <w:basedOn w:val="a"/>
    <w:link w:val="HTMLChar"/>
    <w:uiPriority w:val="99"/>
    <w:rsid w:val="00DB62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7">
    <w:name w:val="annotation subject"/>
    <w:basedOn w:val="a3"/>
    <w:next w:val="a3"/>
    <w:link w:val="Char3"/>
    <w:uiPriority w:val="99"/>
    <w:semiHidden/>
    <w:unhideWhenUsed/>
    <w:qFormat/>
    <w:rsid w:val="00DB62AC"/>
    <w:rPr>
      <w:b/>
      <w:bCs/>
    </w:rPr>
  </w:style>
  <w:style w:type="table" w:styleId="a8">
    <w:name w:val="Table Grid"/>
    <w:basedOn w:val="a1"/>
    <w:qFormat/>
    <w:rsid w:val="00DB62A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qFormat/>
    <w:rsid w:val="00DB62AC"/>
    <w:rPr>
      <w:color w:val="0563C1" w:themeColor="hyperlink"/>
      <w:u w:val="single"/>
    </w:rPr>
  </w:style>
  <w:style w:type="character" w:styleId="aa">
    <w:name w:val="annotation reference"/>
    <w:basedOn w:val="a0"/>
    <w:unhideWhenUsed/>
    <w:qFormat/>
    <w:rsid w:val="00DB62AC"/>
    <w:rPr>
      <w:sz w:val="21"/>
      <w:szCs w:val="21"/>
    </w:rPr>
  </w:style>
  <w:style w:type="character" w:customStyle="1" w:styleId="Char2">
    <w:name w:val="页眉 Char"/>
    <w:basedOn w:val="a0"/>
    <w:link w:val="a6"/>
    <w:uiPriority w:val="99"/>
    <w:qFormat/>
    <w:rsid w:val="00DB62AC"/>
    <w:rPr>
      <w:sz w:val="18"/>
      <w:szCs w:val="18"/>
    </w:rPr>
  </w:style>
  <w:style w:type="character" w:customStyle="1" w:styleId="Char1">
    <w:name w:val="页脚 Char"/>
    <w:basedOn w:val="a0"/>
    <w:link w:val="a5"/>
    <w:uiPriority w:val="99"/>
    <w:rsid w:val="00DB62AC"/>
    <w:rPr>
      <w:sz w:val="18"/>
      <w:szCs w:val="18"/>
    </w:rPr>
  </w:style>
  <w:style w:type="paragraph" w:customStyle="1" w:styleId="Default">
    <w:name w:val="Default"/>
    <w:qFormat/>
    <w:rsid w:val="00DB62AC"/>
    <w:pPr>
      <w:widowControl w:val="0"/>
      <w:autoSpaceDE w:val="0"/>
      <w:autoSpaceDN w:val="0"/>
      <w:adjustRightInd w:val="0"/>
    </w:pPr>
    <w:rPr>
      <w:rFonts w:ascii="宋体" w:hAnsi="Calibri" w:cs="宋体"/>
      <w:color w:val="000000"/>
      <w:sz w:val="24"/>
      <w:szCs w:val="24"/>
    </w:rPr>
  </w:style>
  <w:style w:type="character" w:customStyle="1" w:styleId="Char">
    <w:name w:val="批注文字 Char"/>
    <w:basedOn w:val="a0"/>
    <w:link w:val="a3"/>
    <w:uiPriority w:val="99"/>
    <w:qFormat/>
    <w:rsid w:val="00DB62AC"/>
    <w:rPr>
      <w:rFonts w:ascii="Calibri" w:eastAsia="宋体" w:hAnsi="Calibri" w:cs="宋体"/>
    </w:rPr>
  </w:style>
  <w:style w:type="character" w:customStyle="1" w:styleId="Char3">
    <w:name w:val="批注主题 Char"/>
    <w:basedOn w:val="Char"/>
    <w:link w:val="a7"/>
    <w:uiPriority w:val="99"/>
    <w:semiHidden/>
    <w:qFormat/>
    <w:rsid w:val="00DB62AC"/>
    <w:rPr>
      <w:rFonts w:ascii="Calibri" w:eastAsia="宋体" w:hAnsi="Calibri" w:cs="宋体"/>
      <w:b/>
      <w:bCs/>
    </w:rPr>
  </w:style>
  <w:style w:type="character" w:customStyle="1" w:styleId="Char0">
    <w:name w:val="批注框文本 Char"/>
    <w:basedOn w:val="a0"/>
    <w:link w:val="a4"/>
    <w:uiPriority w:val="99"/>
    <w:semiHidden/>
    <w:qFormat/>
    <w:rsid w:val="00DB62AC"/>
    <w:rPr>
      <w:rFonts w:ascii="Calibri" w:eastAsia="宋体" w:hAnsi="Calibri" w:cs="宋体"/>
      <w:sz w:val="18"/>
      <w:szCs w:val="18"/>
    </w:rPr>
  </w:style>
  <w:style w:type="paragraph" w:styleId="ab">
    <w:name w:val="List Paragraph"/>
    <w:basedOn w:val="a"/>
    <w:uiPriority w:val="34"/>
    <w:qFormat/>
    <w:rsid w:val="00DB62AC"/>
    <w:pPr>
      <w:ind w:firstLineChars="200" w:firstLine="420"/>
    </w:pPr>
  </w:style>
  <w:style w:type="character" w:customStyle="1" w:styleId="HTMLChar">
    <w:name w:val="HTML 预设格式 Char"/>
    <w:basedOn w:val="a0"/>
    <w:link w:val="HTML"/>
    <w:uiPriority w:val="99"/>
    <w:qFormat/>
    <w:rsid w:val="00DB62AC"/>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83284FDA-5806-408D-B4F6-276AA5EF10C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4085</Words>
  <Characters>238</Characters>
  <Application>Microsoft Office Word</Application>
  <DocSecurity>0</DocSecurity>
  <Lines>1</Lines>
  <Paragraphs>8</Paragraphs>
  <ScaleCrop>false</ScaleCrop>
  <Company/>
  <LinksUpToDate>false</LinksUpToDate>
  <CharactersWithSpaces>4315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胡骁潇</dc:creator>
  <cp:lastModifiedBy>刘瑗璐</cp:lastModifiedBy>
  <cp:revision>31</cp:revision>
  <dcterms:created xsi:type="dcterms:W3CDTF">2021-07-02T07:46:00Z</dcterms:created>
  <dcterms:modified xsi:type="dcterms:W3CDTF">2023-06-06T08:39:00Z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