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hint="eastAsia" w:ascii="宋体" w:hAnsi="宋体" w:cs="Times New Roman"/>
          <w:sz w:val="32"/>
          <w:szCs w:val="32"/>
          <w:lang w:val="en-US" w:eastAsia="zh-CN"/>
        </w:rPr>
        <w:t>8</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88747121"/>
      <w:bookmarkStart w:id="3" w:name="_Toc79154665"/>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兴银理财稳利丰收封闭式3</w:t>
            </w:r>
            <w:r>
              <w:rPr>
                <w:rFonts w:hint="eastAsia" w:asciiTheme="minorEastAsia" w:hAnsiTheme="minorEastAsia"/>
                <w:sz w:val="18"/>
                <w:szCs w:val="18"/>
                <w:lang w:val="en-US" w:eastAsia="zh-CN"/>
              </w:rPr>
              <w:t>9</w:t>
            </w:r>
            <w:r>
              <w:rPr>
                <w:rFonts w:hint="eastAsia" w:asciiTheme="minorEastAsia" w:hAnsiTheme="minorEastAsia"/>
                <w:sz w:val="18"/>
                <w:szCs w:val="18"/>
              </w:rPr>
              <w:t>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稳利丰收封闭式3</w:t>
            </w:r>
            <w:r>
              <w:rPr>
                <w:rFonts w:hint="eastAsia" w:asciiTheme="minorEastAsia" w:hAnsiTheme="minorEastAsia"/>
                <w:sz w:val="18"/>
                <w:szCs w:val="18"/>
                <w:lang w:val="en-US" w:eastAsia="zh-CN"/>
              </w:rPr>
              <w:t>9</w:t>
            </w:r>
            <w:r>
              <w:rPr>
                <w:rFonts w:hint="eastAsia" w:asciiTheme="minorEastAsia" w:hAnsiTheme="minorEastAsia"/>
                <w:sz w:val="18"/>
                <w:szCs w:val="18"/>
              </w:rPr>
              <w:t>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【Z7002023000475】投资者可依据理财产品登记编码在中国理财网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9C310390】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9C31039</w:t>
            </w:r>
            <w:r>
              <w:rPr>
                <w:rFonts w:hint="eastAsia" w:asciiTheme="minorEastAsia" w:hAnsiTheme="minorEastAsia"/>
                <w:sz w:val="18"/>
                <w:szCs w:val="18"/>
                <w:lang w:val="en-US" w:eastAsia="zh-CN"/>
              </w:rPr>
              <w:t>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cs="仿宋_GB2312" w:asciiTheme="majorEastAsia" w:hAnsiTheme="majorEastAsia" w:eastAsiaTheme="majorEastAsia"/>
                <w:kern w:val="0"/>
                <w:sz w:val="18"/>
                <w:szCs w:val="18"/>
              </w:rPr>
              <w:t>【</w:t>
            </w:r>
            <w:r>
              <w:rPr>
                <w:rFonts w:cs="仿宋_GB2312" w:asciiTheme="majorEastAsia" w:hAnsiTheme="majorEastAsia" w:eastAsiaTheme="majorEastAsia"/>
                <w:kern w:val="0"/>
                <w:sz w:val="18"/>
                <w:szCs w:val="18"/>
              </w:rPr>
              <w:t>365</w:t>
            </w:r>
            <w:r>
              <w:rPr>
                <w:rFonts w:hint="eastAsia" w:cs="仿宋_GB2312" w:asciiTheme="majorEastAsia" w:hAnsiTheme="majorEastAsia" w:eastAsiaTheme="majorEastAsia"/>
                <w:kern w:val="0"/>
                <w:sz w:val="18"/>
                <w:szCs w:val="18"/>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w:t>
            </w:r>
            <w:r>
              <w:rPr>
                <w:rFonts w:hint="eastAsia" w:asciiTheme="minorEastAsia" w:hAnsiTheme="minorEastAsia"/>
                <w:bCs/>
                <w:sz w:val="18"/>
                <w:szCs w:val="18"/>
                <w:highlight w:val="yellow"/>
              </w:rPr>
              <w:t>【202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23</w:t>
            </w:r>
            <w:r>
              <w:rPr>
                <w:rFonts w:hint="eastAsia" w:asciiTheme="minorEastAsia" w:hAnsiTheme="minorEastAsia"/>
                <w:bCs/>
                <w:sz w:val="18"/>
                <w:szCs w:val="18"/>
                <w:highlight w:val="yellow"/>
              </w:rPr>
              <w:t>】日</w:t>
            </w:r>
            <w:r>
              <w:rPr>
                <w:rFonts w:asciiTheme="minorEastAsia" w:hAnsiTheme="minorEastAsia"/>
                <w:bCs/>
                <w:sz w:val="18"/>
                <w:szCs w:val="18"/>
                <w:highlight w:val="yellow"/>
              </w:rPr>
              <w:t>9</w:t>
            </w:r>
            <w:r>
              <w:rPr>
                <w:rFonts w:hint="eastAsia" w:asciiTheme="minorEastAsia" w:hAnsiTheme="minorEastAsia"/>
                <w:bCs/>
                <w:sz w:val="18"/>
                <w:szCs w:val="18"/>
                <w:highlight w:val="yellow"/>
              </w:rPr>
              <w:t>:00至【202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hint="eastAsia" w:asciiTheme="minorEastAsia" w:hAnsiTheme="minorEastAsia"/>
                <w:bCs/>
                <w:sz w:val="18"/>
                <w:szCs w:val="18"/>
                <w:highlight w:val="yellow"/>
                <w:lang w:val="en-US" w:eastAsia="zh-CN"/>
              </w:rPr>
              <w:t>8</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29</w:t>
            </w:r>
            <w:r>
              <w:rPr>
                <w:rFonts w:hint="eastAsia" w:asciiTheme="minorEastAsia" w:hAnsiTheme="minorEastAsia"/>
                <w:bCs/>
                <w:sz w:val="18"/>
                <w:szCs w:val="18"/>
                <w:highlight w:val="yellow"/>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023】年【</w:t>
            </w:r>
            <w:r>
              <w:rPr>
                <w:rFonts w:hint="eastAsia" w:cs="Times New Roman" w:asciiTheme="minorEastAsia" w:hAnsiTheme="minorEastAsia"/>
                <w:sz w:val="18"/>
                <w:szCs w:val="18"/>
                <w:highlight w:val="yellow"/>
                <w:lang w:val="en-US" w:eastAsia="zh-CN"/>
              </w:rPr>
              <w:t>8</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30</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024】年【</w:t>
            </w:r>
            <w:r>
              <w:rPr>
                <w:rFonts w:hint="eastAsia" w:cs="Times New Roman" w:asciiTheme="minorEastAsia" w:hAnsiTheme="minorEastAsia"/>
                <w:sz w:val="18"/>
                <w:szCs w:val="18"/>
                <w:highlight w:val="yellow"/>
                <w:lang w:val="en-US" w:eastAsia="zh-CN"/>
              </w:rPr>
              <w:t>8</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29</w:t>
            </w:r>
            <w:bookmarkStart w:id="156" w:name="_GoBack"/>
            <w:bookmarkEnd w:id="156"/>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highlight w:val="yellow"/>
              </w:rPr>
              <w:t>【1】元；超出起点金额的部分以【0</w:t>
            </w:r>
            <w:r>
              <w:rPr>
                <w:rFonts w:asciiTheme="majorEastAsia" w:hAnsiTheme="majorEastAsia" w:eastAsiaTheme="majorEastAsia"/>
                <w:bCs/>
                <w:sz w:val="18"/>
                <w:szCs w:val="18"/>
                <w:highlight w:val="yellow"/>
              </w:rPr>
              <w:t>.01</w:t>
            </w:r>
            <w:r>
              <w:rPr>
                <w:rFonts w:hint="eastAsia" w:asciiTheme="majorEastAsia" w:hAnsiTheme="majorEastAsia" w:eastAsiaTheme="majorEastAsia"/>
                <w:bCs/>
                <w:sz w:val="18"/>
                <w:szCs w:val="18"/>
                <w:highlight w:val="yellow"/>
              </w:rPr>
              <w:t>】元</w:t>
            </w:r>
            <w:r>
              <w:rPr>
                <w:rFonts w:hint="eastAsia" w:asciiTheme="majorEastAsia" w:hAnsiTheme="majorEastAsia" w:eastAsiaTheme="majorEastAsia"/>
                <w:bCs/>
                <w:sz w:val="18"/>
                <w:szCs w:val="18"/>
              </w:rPr>
              <w:t>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w:t>
            </w:r>
            <w:r>
              <w:rPr>
                <w:rFonts w:hint="eastAsia" w:ascii="宋体" w:hAnsi="宋体"/>
                <w:bCs/>
                <w:color w:val="000000" w:themeColor="text1"/>
                <w:sz w:val="18"/>
                <w:szCs w:val="18"/>
                <w:lang w:val="en-US" w:eastAsia="zh-CN"/>
                <w14:textFill>
                  <w14:solidFill>
                    <w14:schemeClr w14:val="tx1"/>
                  </w14:solidFill>
                </w14:textFill>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88747122"/>
      <w:bookmarkStart w:id="5" w:name="_Toc79154666"/>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4771"/>
      <w:bookmarkStart w:id="10" w:name="_Toc88747123"/>
      <w:bookmarkStart w:id="11" w:name="_Toc27189"/>
      <w:bookmarkStart w:id="12" w:name="_Toc29948"/>
      <w:bookmarkStart w:id="13" w:name="_Toc74065741"/>
      <w:bookmarkStart w:id="14" w:name="_Toc29784"/>
      <w:bookmarkStart w:id="15" w:name="_Toc7151"/>
      <w:bookmarkStart w:id="16" w:name="_Toc3266"/>
      <w:bookmarkStart w:id="17" w:name="_Toc90742390"/>
      <w:bookmarkStart w:id="18" w:name="_Toc90742688"/>
      <w:bookmarkStart w:id="19" w:name="_Toc15203"/>
      <w:bookmarkStart w:id="20" w:name="_Toc22074"/>
      <w:bookmarkStart w:id="21" w:name="_Toc79154668"/>
      <w:bookmarkStart w:id="22" w:name="_Toc27226"/>
      <w:bookmarkStart w:id="23" w:name="_Toc6714"/>
      <w:bookmarkStart w:id="24" w:name="_Toc90742321"/>
      <w:bookmarkStart w:id="25" w:name="_Toc16265"/>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18797"/>
      <w:bookmarkStart w:id="28" w:name="_Toc7848"/>
      <w:bookmarkStart w:id="29" w:name="_Toc18526"/>
      <w:bookmarkStart w:id="30" w:name="_Toc141703885"/>
      <w:bookmarkStart w:id="31" w:name="_Toc21988"/>
      <w:bookmarkStart w:id="32" w:name="_Toc18329"/>
      <w:bookmarkStart w:id="33" w:name="_Toc14893"/>
      <w:bookmarkStart w:id="34" w:name="_Toc26986"/>
      <w:bookmarkStart w:id="35" w:name="_Toc139991735"/>
      <w:bookmarkStart w:id="36" w:name="_Toc79154669"/>
      <w:bookmarkStart w:id="37" w:name="_Toc88747125"/>
      <w:bookmarkStart w:id="38" w:name="_Toc17912"/>
      <w:bookmarkStart w:id="39" w:name="_Toc74065742"/>
      <w:bookmarkStart w:id="40" w:name="_Toc1823"/>
      <w:bookmarkStart w:id="41" w:name="_Toc4741"/>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79154670"/>
      <w:bookmarkStart w:id="44" w:name="_Toc23822"/>
      <w:bookmarkStart w:id="45" w:name="_Toc88747126"/>
      <w:bookmarkStart w:id="46" w:name="_Toc79392606"/>
      <w:bookmarkStart w:id="47" w:name="_Toc1427"/>
      <w:bookmarkStart w:id="48" w:name="_Toc23261"/>
      <w:bookmarkStart w:id="49" w:name="_Toc7920"/>
      <w:bookmarkStart w:id="50" w:name="_Toc98560352"/>
      <w:bookmarkStart w:id="51" w:name="_Toc123102453"/>
      <w:bookmarkStart w:id="52" w:name="_Toc74065743"/>
      <w:bookmarkStart w:id="53" w:name="_Toc141703886"/>
      <w:bookmarkStart w:id="54" w:name="_Toc139991736"/>
      <w:bookmarkStart w:id="55" w:name="_Toc123051452"/>
      <w:bookmarkStart w:id="56" w:name="_Toc1270"/>
      <w:bookmarkStart w:id="57" w:name="_Toc10463"/>
      <w:bookmarkStart w:id="58" w:name="_Toc610"/>
      <w:bookmarkStart w:id="59" w:name="_Toc20733"/>
      <w:bookmarkStart w:id="60" w:name="_Toc48649707"/>
      <w:bookmarkStart w:id="61" w:name="_Toc4003"/>
      <w:bookmarkStart w:id="62" w:name="_Toc123112234"/>
      <w:bookmarkStart w:id="63" w:name="_Toc17244"/>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r>
        <w:rPr>
          <w:rFonts w:hint="eastAsia" w:hAnsi="宋体"/>
          <w:sz w:val="18"/>
          <w:szCs w:val="18"/>
        </w:rPr>
        <w:t>本产品存续期间，每周进行一次估值。如遇产品到期日、季末、半年度、年度末等时间节点管理人将增加估值日。</w:t>
      </w:r>
    </w:p>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452" w:firstLineChars="250"/>
        <w:rPr>
          <w:rFonts w:hAnsi="宋体"/>
          <w:b/>
          <w:bCs/>
          <w:sz w:val="18"/>
          <w:szCs w:val="18"/>
        </w:rPr>
      </w:pPr>
      <w:r>
        <w:rPr>
          <w:rFonts w:hint="eastAsia" w:hAnsi="宋体"/>
          <w:b/>
          <w:bCs/>
          <w:sz w:val="18"/>
          <w:szCs w:val="18"/>
        </w:rPr>
        <w:t>本理财产品实际持仓依据前述投资范围约定，实际持仓资产参照下述具体品类资产估值方法估值。</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Ansi="宋体"/>
          <w:b/>
          <w:bCs/>
          <w:sz w:val="18"/>
          <w:szCs w:val="18"/>
        </w:rPr>
        <w:t>3</w:t>
      </w:r>
      <w:r>
        <w:rPr>
          <w:rFonts w:hint="eastAsia" w:hAnsi="宋体"/>
          <w:b/>
          <w:bCs/>
          <w:sz w:val="18"/>
          <w:szCs w:val="18"/>
        </w:rPr>
        <w:t>.非标准化债权类资产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Ansi="宋体"/>
          <w:b/>
          <w:bCs/>
          <w:sz w:val="18"/>
          <w:szCs w:val="18"/>
        </w:rPr>
        <w:t>4</w:t>
      </w:r>
      <w:r>
        <w:rPr>
          <w:rFonts w:hint="eastAsia" w:hAnsi="宋体"/>
          <w:b/>
          <w:bCs/>
          <w:sz w:val="18"/>
          <w:szCs w:val="18"/>
        </w:rPr>
        <w:t>.上市公司股票估值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Ansi="宋体"/>
          <w:b/>
          <w:bCs/>
          <w:sz w:val="18"/>
          <w:szCs w:val="18"/>
        </w:rPr>
        <w:t>5</w:t>
      </w:r>
      <w:r>
        <w:rPr>
          <w:rFonts w:hint="eastAsia" w:hAnsi="宋体"/>
          <w:b/>
          <w:bCs/>
          <w:sz w:val="18"/>
          <w:szCs w:val="18"/>
        </w:rPr>
        <w:t>.未上市公司股权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Ansi="宋体"/>
          <w:b/>
          <w:bCs/>
          <w:sz w:val="18"/>
          <w:szCs w:val="18"/>
        </w:rPr>
        <w:t>6</w:t>
      </w:r>
      <w:r>
        <w:rPr>
          <w:rFonts w:hint="eastAsia" w:hAnsi="宋体"/>
          <w:b/>
          <w:bCs/>
          <w:sz w:val="18"/>
          <w:szCs w:val="18"/>
        </w:rPr>
        <w:t>.优先股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Ansi="宋体"/>
          <w:b/>
          <w:bCs/>
          <w:sz w:val="18"/>
          <w:szCs w:val="18"/>
        </w:rPr>
        <w:t>7</w:t>
      </w:r>
      <w:r>
        <w:rPr>
          <w:rFonts w:hint="eastAsia" w:hAnsi="宋体"/>
          <w:b/>
          <w:bCs/>
          <w:sz w:val="18"/>
          <w:szCs w:val="18"/>
        </w:rPr>
        <w:t>.证券投资基金估值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Ansi="宋体"/>
          <w:b/>
          <w:bCs/>
          <w:sz w:val="18"/>
          <w:szCs w:val="18"/>
        </w:rPr>
        <w:t>8</w:t>
      </w:r>
      <w:r>
        <w:rPr>
          <w:rFonts w:hint="eastAsia" w:hAnsi="宋体"/>
          <w:b/>
          <w:bCs/>
          <w:sz w:val="18"/>
          <w:szCs w:val="18"/>
        </w:rPr>
        <w:t>.其他资产管理产品的估值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p>
    <w:p>
      <w:pPr>
        <w:pStyle w:val="34"/>
        <w:spacing w:line="360" w:lineRule="auto"/>
        <w:ind w:firstLine="361" w:firstLineChars="200"/>
        <w:rPr>
          <w:rFonts w:hAnsi="宋体"/>
          <w:b/>
          <w:bCs/>
          <w:sz w:val="18"/>
          <w:szCs w:val="18"/>
        </w:rPr>
      </w:pPr>
      <w:r>
        <w:rPr>
          <w:rFonts w:hAnsi="宋体"/>
          <w:b/>
          <w:bCs/>
          <w:sz w:val="18"/>
          <w:szCs w:val="18"/>
        </w:rPr>
        <w:t>9</w:t>
      </w:r>
      <w:r>
        <w:rPr>
          <w:rFonts w:hint="eastAsia" w:hAnsi="宋体"/>
          <w:b/>
          <w:bCs/>
          <w:sz w:val="18"/>
          <w:szCs w:val="18"/>
        </w:rPr>
        <w:t>.衍生金融工具估值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Ansi="宋体"/>
          <w:b/>
          <w:bCs/>
          <w:sz w:val="18"/>
          <w:szCs w:val="18"/>
        </w:rPr>
        <w:t>10</w:t>
      </w:r>
      <w:r>
        <w:rPr>
          <w:rFonts w:hint="eastAsia" w:hAnsi="宋体"/>
          <w:b/>
          <w:bCs/>
          <w:sz w:val="18"/>
          <w:szCs w:val="18"/>
        </w:rPr>
        <w:t>.存款、拆借、回购等货币市场工具的估值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w:t>
      </w:r>
      <w:r>
        <w:rPr>
          <w:rFonts w:hAnsi="宋体"/>
          <w:sz w:val="18"/>
          <w:szCs w:val="18"/>
        </w:rPr>
        <w:t>1</w:t>
      </w:r>
      <w:r>
        <w:rPr>
          <w:rFonts w:hint="eastAsia" w:hAnsi="宋体"/>
          <w:sz w:val="18"/>
          <w:szCs w:val="18"/>
        </w:rPr>
        <w:t>.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w:t>
      </w:r>
      <w:r>
        <w:rPr>
          <w:rFonts w:ascii="黑体" w:hAnsi="黑体" w:eastAsia="黑体"/>
          <w:sz w:val="18"/>
          <w:szCs w:val="18"/>
        </w:rPr>
        <w:t>2</w:t>
      </w:r>
      <w:r>
        <w:rPr>
          <w:rFonts w:hint="eastAsia" w:ascii="黑体" w:hAnsi="黑体" w:eastAsia="黑体"/>
          <w:sz w:val="18"/>
          <w:szCs w:val="18"/>
        </w:rPr>
        <w:t>.★估值方法的调整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141703887"/>
      <w:bookmarkStart w:id="66" w:name="_Toc15143"/>
      <w:bookmarkStart w:id="67" w:name="_Toc31644"/>
      <w:bookmarkStart w:id="68" w:name="_Toc6405"/>
      <w:bookmarkStart w:id="69" w:name="_Toc88747127"/>
      <w:bookmarkStart w:id="70" w:name="_Toc14835"/>
      <w:bookmarkStart w:id="71" w:name="_Toc29251"/>
      <w:bookmarkStart w:id="72" w:name="_Toc31653"/>
      <w:bookmarkStart w:id="73" w:name="_Toc79154671"/>
      <w:bookmarkStart w:id="74" w:name="_Toc98560353"/>
      <w:bookmarkStart w:id="75" w:name="_Toc139991737"/>
      <w:bookmarkStart w:id="76" w:name="_Toc3601"/>
      <w:bookmarkStart w:id="77" w:name="_Toc123112235"/>
      <w:bookmarkStart w:id="78" w:name="_Toc123051453"/>
      <w:bookmarkStart w:id="79" w:name="_Toc123102454"/>
      <w:bookmarkStart w:id="80" w:name="_Toc26207"/>
      <w:bookmarkStart w:id="81" w:name="_Toc74065744"/>
      <w:bookmarkStart w:id="82" w:name="_Toc31235"/>
      <w:bookmarkStart w:id="83" w:name="_Toc12245"/>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523711668"/>
      <w:bookmarkStart w:id="86" w:name="_Toc79392580"/>
      <w:bookmarkStart w:id="87" w:name="_Toc57530239"/>
      <w:bookmarkStart w:id="88" w:name="_Toc15118234"/>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Ansi="宋体"/>
          <w:color w:val="auto"/>
          <w:sz w:val="18"/>
          <w:szCs w:val="18"/>
        </w:rPr>
        <w:t>每一</w:t>
      </w:r>
      <w:r>
        <w:rPr>
          <w:rFonts w:hint="eastAsia" w:hAnsi="宋体"/>
          <w:color w:val="auto"/>
          <w:sz w:val="18"/>
          <w:szCs w:val="18"/>
        </w:rPr>
        <w:t>产品</w:t>
      </w:r>
      <w:r>
        <w:rPr>
          <w:rFonts w:hAnsi="宋体"/>
          <w:color w:val="auto"/>
          <w:sz w:val="18"/>
          <w:szCs w:val="18"/>
        </w:rPr>
        <w:t>份额享有同等分配权</w:t>
      </w:r>
      <w:r>
        <w:rPr>
          <w:rFonts w:hint="eastAsia" w:hAnsi="宋体"/>
          <w:color w:val="auto"/>
          <w:sz w:val="18"/>
          <w:szCs w:val="18"/>
        </w:rPr>
        <w:t>。</w:t>
      </w:r>
    </w:p>
    <w:p>
      <w:pPr>
        <w:pStyle w:val="34"/>
        <w:spacing w:line="360" w:lineRule="auto"/>
        <w:ind w:firstLine="360" w:firstLineChars="200"/>
        <w:rPr>
          <w:rFonts w:hAnsi="宋体"/>
          <w:color w:val="auto"/>
          <w:sz w:val="18"/>
          <w:szCs w:val="18"/>
        </w:rPr>
      </w:pPr>
      <w:r>
        <w:rPr>
          <w:rFonts w:hint="eastAsia" w:hAnsi="宋体"/>
          <w:color w:val="auto"/>
          <w:sz w:val="18"/>
          <w:szCs w:val="18"/>
        </w:rPr>
        <w:t>2.</w:t>
      </w:r>
      <w:r>
        <w:rPr>
          <w:rFonts w:hAnsi="宋体"/>
          <w:color w:val="auto"/>
          <w:sz w:val="18"/>
          <w:szCs w:val="18"/>
        </w:rPr>
        <w:t>在不违反法律法规、</w:t>
      </w:r>
      <w:r>
        <w:rPr>
          <w:rFonts w:hint="eastAsia" w:hAnsi="宋体"/>
          <w:color w:val="auto"/>
          <w:sz w:val="18"/>
          <w:szCs w:val="18"/>
        </w:rPr>
        <w:t>理财产品销售文件</w:t>
      </w:r>
      <w:r>
        <w:rPr>
          <w:rFonts w:hAnsi="宋体"/>
          <w:color w:val="auto"/>
          <w:sz w:val="18"/>
          <w:szCs w:val="18"/>
        </w:rPr>
        <w:t>约定以及对份额持有人</w:t>
      </w:r>
      <w:r>
        <w:rPr>
          <w:rFonts w:hint="eastAsia" w:hAnsi="宋体"/>
          <w:color w:val="auto"/>
          <w:sz w:val="18"/>
          <w:szCs w:val="18"/>
        </w:rPr>
        <w:t>权益</w:t>
      </w:r>
      <w:r>
        <w:rPr>
          <w:rFonts w:hAnsi="宋体"/>
          <w:color w:val="auto"/>
          <w:sz w:val="18"/>
          <w:szCs w:val="18"/>
        </w:rPr>
        <w:t>无实质性不利影响的情况下，</w:t>
      </w:r>
      <w:r>
        <w:rPr>
          <w:rFonts w:hint="eastAsia" w:asciiTheme="majorEastAsia" w:hAnsiTheme="majorEastAsia" w:eastAsiaTheme="majorEastAsia"/>
          <w:bCs/>
          <w:color w:val="auto"/>
          <w:sz w:val="18"/>
          <w:szCs w:val="18"/>
        </w:rPr>
        <w:t>产品管理人</w:t>
      </w:r>
      <w:r>
        <w:rPr>
          <w:rFonts w:hAnsi="宋体"/>
          <w:color w:val="auto"/>
          <w:sz w:val="18"/>
          <w:szCs w:val="18"/>
        </w:rPr>
        <w:t>可调整</w:t>
      </w:r>
      <w:r>
        <w:rPr>
          <w:rFonts w:hint="eastAsia" w:hAnsi="宋体"/>
          <w:color w:val="auto"/>
          <w:sz w:val="18"/>
          <w:szCs w:val="18"/>
        </w:rPr>
        <w:t>本产品</w:t>
      </w:r>
      <w:r>
        <w:rPr>
          <w:rFonts w:hAnsi="宋体"/>
          <w:color w:val="auto"/>
          <w:sz w:val="18"/>
          <w:szCs w:val="18"/>
        </w:rPr>
        <w:t>利益的分配原则和支付方式</w:t>
      </w:r>
      <w:r>
        <w:rPr>
          <w:rFonts w:hint="eastAsia" w:hAnsi="宋体"/>
          <w:color w:val="auto"/>
          <w:sz w:val="18"/>
          <w:szCs w:val="18"/>
        </w:rPr>
        <w:t>。法律法规或监管机构另有规定的从其规定。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3.产品管理人</w:t>
      </w:r>
      <w:r>
        <w:rPr>
          <w:rFonts w:hAnsi="宋体"/>
          <w:color w:val="auto"/>
          <w:sz w:val="18"/>
          <w:szCs w:val="18"/>
        </w:rPr>
        <w:t>有权视理财产品</w:t>
      </w:r>
      <w:r>
        <w:rPr>
          <w:rFonts w:hint="eastAsia" w:hAnsi="宋体"/>
          <w:color w:val="auto"/>
          <w:sz w:val="18"/>
          <w:szCs w:val="18"/>
        </w:rPr>
        <w:t>收益情况</w:t>
      </w:r>
      <w:r>
        <w:rPr>
          <w:rFonts w:hAnsi="宋体"/>
          <w:color w:val="auto"/>
          <w:sz w:val="18"/>
          <w:szCs w:val="18"/>
        </w:rPr>
        <w:t>进行主动分配，相应分配基准日、分配方案由管理人</w:t>
      </w:r>
      <w:r>
        <w:rPr>
          <w:rFonts w:hint="eastAsia" w:hAnsi="宋体"/>
          <w:color w:val="auto"/>
          <w:sz w:val="18"/>
          <w:szCs w:val="18"/>
        </w:rPr>
        <w:t>及时</w:t>
      </w:r>
      <w:r>
        <w:rPr>
          <w:rFonts w:hAnsi="宋体"/>
          <w:color w:val="auto"/>
          <w:sz w:val="18"/>
          <w:szCs w:val="18"/>
        </w:rPr>
        <w:t>披露。</w:t>
      </w:r>
    </w:p>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pStyle w:val="34"/>
        <w:spacing w:line="360" w:lineRule="auto"/>
        <w:ind w:firstLine="360" w:firstLineChars="200"/>
        <w:rPr>
          <w:rFonts w:hAnsi="宋体"/>
          <w:color w:val="auto"/>
          <w:sz w:val="18"/>
          <w:szCs w:val="18"/>
        </w:rPr>
      </w:pPr>
      <w:r>
        <w:rPr>
          <w:rFonts w:hAnsi="宋体"/>
          <w:color w:val="auto"/>
          <w:sz w:val="18"/>
          <w:szCs w:val="18"/>
        </w:rPr>
        <w:t>2.</w:t>
      </w:r>
      <w:r>
        <w:rPr>
          <w:rFonts w:hint="eastAsia" w:hAnsi="宋体"/>
          <w:color w:val="auto"/>
          <w:sz w:val="18"/>
          <w:szCs w:val="18"/>
        </w:rPr>
        <w:t>具体的理财利益分配以实际情况为准。</w:t>
      </w:r>
    </w:p>
    <w:p>
      <w:pPr>
        <w:widowControl/>
        <w:spacing w:line="360" w:lineRule="auto"/>
        <w:jc w:val="left"/>
        <w:rPr>
          <w:rFonts w:ascii="宋体" w:hAnsi="宋体"/>
          <w:kern w:val="0"/>
          <w:sz w:val="18"/>
          <w:szCs w:val="18"/>
        </w:rPr>
      </w:pP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25574"/>
      <w:bookmarkEnd w:id="89"/>
      <w:bookmarkStart w:id="90" w:name="_Hlt88897298"/>
      <w:bookmarkEnd w:id="90"/>
      <w:bookmarkStart w:id="91" w:name="_Toc123112236"/>
      <w:bookmarkStart w:id="92" w:name="_Toc139991738"/>
      <w:bookmarkStart w:id="93" w:name="_Toc4559"/>
      <w:bookmarkStart w:id="94" w:name="_Toc98560354"/>
      <w:bookmarkStart w:id="95" w:name="_Toc7058"/>
      <w:bookmarkStart w:id="96" w:name="_Toc9706"/>
      <w:bookmarkStart w:id="97" w:name="_Toc18567"/>
      <w:bookmarkStart w:id="98" w:name="_Toc141703888"/>
      <w:bookmarkStart w:id="99" w:name="_Toc123051454"/>
      <w:bookmarkStart w:id="100" w:name="_Toc3321"/>
      <w:bookmarkStart w:id="101" w:name="_Toc6447"/>
      <w:bookmarkStart w:id="102" w:name="_Toc123102455"/>
      <w:bookmarkStart w:id="103" w:name="_Toc74065745"/>
      <w:bookmarkStart w:id="104" w:name="_Toc25783"/>
      <w:bookmarkStart w:id="105" w:name="_Toc3771"/>
      <w:bookmarkStart w:id="106" w:name="_Toc79392583"/>
      <w:bookmarkStart w:id="107" w:name="_Toc10650"/>
      <w:bookmarkStart w:id="108" w:name="_Toc79154672"/>
      <w:bookmarkStart w:id="109" w:name="_Toc88747128"/>
      <w:bookmarkStart w:id="110" w:name="_Toc11030"/>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Ansi="宋体"/>
          <w:sz w:val="18"/>
          <w:szCs w:val="18"/>
        </w:rPr>
      </w:pPr>
      <w:r>
        <w:rPr>
          <w:rFonts w:ascii="宋体" w:hAnsi="宋体"/>
          <w:kern w:val="0"/>
          <w:sz w:val="18"/>
          <w:szCs w:val="18"/>
        </w:rPr>
        <w:t>1</w:t>
      </w:r>
      <w:r>
        <w:rPr>
          <w:rFonts w:hint="eastAsia" w:ascii="宋体" w:hAnsi="宋体"/>
          <w:kern w:val="0"/>
          <w:sz w:val="18"/>
          <w:szCs w:val="18"/>
        </w:rPr>
        <w:t>.</w:t>
      </w:r>
      <w:r>
        <w:rPr>
          <w:rFonts w:ascii="宋体" w:hAnsi="宋体"/>
          <w:kern w:val="0"/>
          <w:sz w:val="18"/>
          <w:szCs w:val="18"/>
        </w:rPr>
        <w:t>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1）理财产品的认购费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2）理财产品的销售服务费</w:t>
      </w:r>
      <w:r>
        <w:rPr>
          <w:rFonts w:hint="eastAsia" w:ascii="宋体" w:hAnsi="宋体"/>
          <w:kern w:val="0"/>
          <w:sz w:val="18"/>
          <w:szCs w:val="18"/>
        </w:rPr>
        <w:t>；</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4</w:t>
      </w:r>
      <w:r>
        <w:rPr>
          <w:rFonts w:hint="eastAsia" w:ascii="宋体" w:hAnsi="宋体"/>
          <w:kern w:val="0"/>
          <w:sz w:val="18"/>
          <w:szCs w:val="18"/>
        </w:rPr>
        <w:t>）理财产品的产品托管费；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w:t>
      </w:r>
      <w:r>
        <w:rPr>
          <w:rFonts w:ascii="宋体" w:hAnsi="宋体"/>
          <w:kern w:val="0"/>
          <w:sz w:val="18"/>
          <w:szCs w:val="18"/>
        </w:rPr>
        <w:t>7</w:t>
      </w:r>
      <w:r>
        <w:rPr>
          <w:rFonts w:hint="eastAsia" w:ascii="宋体" w:hAnsi="宋体"/>
          <w:kern w:val="0"/>
          <w:sz w:val="18"/>
          <w:szCs w:val="18"/>
        </w:rPr>
        <w:t>）按照国家法律法规规定可以列入的其他费用。</w:t>
      </w:r>
    </w:p>
    <w:p>
      <w:pPr>
        <w:widowControl/>
        <w:spacing w:line="360" w:lineRule="auto"/>
        <w:ind w:firstLine="360" w:firstLineChars="200"/>
        <w:jc w:val="left"/>
        <w:rPr>
          <w:rFonts w:ascii="宋体" w:hAnsi="宋体"/>
          <w:sz w:val="18"/>
          <w:szCs w:val="18"/>
        </w:rPr>
      </w:pPr>
      <w:r>
        <w:rPr>
          <w:rFonts w:ascii="宋体" w:hAnsi="宋体"/>
          <w:kern w:val="0"/>
          <w:sz w:val="18"/>
          <w:szCs w:val="18"/>
        </w:rPr>
        <w:t>2.</w:t>
      </w:r>
      <w:r>
        <w:rPr>
          <w:rFonts w:hint="eastAsia" w:ascii="宋体" w:hAnsi="宋体"/>
          <w:kern w:val="0"/>
          <w:sz w:val="18"/>
          <w:szCs w:val="18"/>
        </w:rPr>
        <w:t>理财产品费用计提方法、计提标准和支付方式</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1</w:t>
      </w:r>
      <w:r>
        <w:rPr>
          <w:rFonts w:hint="eastAsia" w:ascii="宋体" w:hAnsi="宋体"/>
          <w:kern w:val="0"/>
          <w:sz w:val="18"/>
          <w:szCs w:val="18"/>
        </w:rPr>
        <w:t>）理财产品的认购费</w:t>
      </w:r>
    </w:p>
    <w:p>
      <w:pPr>
        <w:widowControl/>
        <w:spacing w:line="360" w:lineRule="auto"/>
        <w:ind w:firstLine="360" w:firstLineChars="200"/>
        <w:jc w:val="left"/>
        <w:rPr>
          <w:rFonts w:ascii="宋体" w:hAnsi="宋体"/>
          <w:sz w:val="18"/>
          <w:szCs w:val="18"/>
        </w:rPr>
      </w:pPr>
      <w:r>
        <w:rPr>
          <w:rFonts w:asciiTheme="majorEastAsia" w:hAnsiTheme="majorEastAsia" w:eastAsiaTheme="majorEastAsia"/>
          <w:bCs/>
          <w:sz w:val="18"/>
          <w:szCs w:val="18"/>
        </w:rPr>
        <w:t>费率</w:t>
      </w:r>
      <w:r>
        <w:rPr>
          <w:rFonts w:hint="eastAsia" w:asciiTheme="majorEastAsia" w:hAnsiTheme="majorEastAsia" w:eastAsiaTheme="majorEastAsia"/>
          <w:bCs/>
          <w:sz w:val="18"/>
          <w:szCs w:val="18"/>
        </w:rPr>
        <w:t>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ascii="宋体" w:hAnsi="宋体"/>
          <w:kern w:val="0"/>
          <w:sz w:val="18"/>
          <w:szCs w:val="18"/>
        </w:rPr>
        <w:t>。</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2）</w:t>
      </w:r>
      <w:r>
        <w:rPr>
          <w:rFonts w:hint="eastAsia" w:ascii="宋体" w:hAnsi="宋体"/>
          <w:kern w:val="0"/>
          <w:sz w:val="18"/>
          <w:szCs w:val="18"/>
        </w:rPr>
        <w:t>理财产品的销售服务费</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H＝E×销售服务费年费率÷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H为每日应计提的销售服务费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pStyle w:val="34"/>
        <w:spacing w:line="360" w:lineRule="auto"/>
        <w:ind w:firstLine="360" w:firstLineChars="200"/>
        <w:rPr>
          <w:rFonts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3）</w:t>
      </w:r>
      <w:r>
        <w:rPr>
          <w:rFonts w:hint="eastAsia" w:ascii="宋体" w:hAnsi="宋体"/>
          <w:kern w:val="0"/>
          <w:sz w:val="18"/>
          <w:szCs w:val="18"/>
        </w:rPr>
        <w:t>理财产品</w:t>
      </w:r>
      <w:r>
        <w:rPr>
          <w:rFonts w:ascii="宋体" w:hAnsi="宋体"/>
          <w:kern w:val="0"/>
          <w:sz w:val="18"/>
          <w:szCs w:val="18"/>
        </w:rPr>
        <w:t>的投资管理费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投资管理费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投资管理费</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ascii="宋体" w:hAnsi="宋体"/>
          <w:kern w:val="0"/>
          <w:sz w:val="18"/>
          <w:szCs w:val="18"/>
        </w:rPr>
      </w:pPr>
      <w:r>
        <w:rPr>
          <w:rFonts w:ascii="宋体" w:hAnsi="宋体"/>
          <w:kern w:val="0"/>
          <w:sz w:val="18"/>
          <w:szCs w:val="18"/>
        </w:rPr>
        <w:t>（4）超额业绩报酬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份产品份额在产品终止日时，若理财资产扣除销售服务费、产品托管费和投资管理费等相关费用后，产品终止日产品份额净值折算的年化收益率超过业绩报酬计提基准，则产品管理人收取超出部分的一定比例作为超额业绩报酬。由此造成产品终止日产品份额净值调整的，以调整后的产品份额净值为准进行利益分配。</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超额业绩报酬依照上述约定，从理财财产中支付。超额业绩报酬的具体比例数值以《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①按投资者每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产品份额分别计算年化收益率并计提超额业绩报酬；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②在产品终止日，本产品对符合超额业绩报酬提取条件的产品份额计提超额业绩报酬；</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产品份额超额业绩报酬计提起始日为：募集期内认购的产品份额，以产品成立日为该</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产品份额超额业绩报酬计提起始日。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产品份额超额业绩报酬计提日为产品终止日。</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产品管理人对每</w:t>
      </w:r>
      <w:r>
        <w:rPr>
          <w:rFonts w:asciiTheme="majorEastAsia" w:hAnsiTheme="majorEastAsia" w:eastAsiaTheme="majorEastAsia"/>
          <w:sz w:val="18"/>
          <w:szCs w:val="18"/>
        </w:rPr>
        <w:t>份</w:t>
      </w:r>
      <w:r>
        <w:rPr>
          <w:rFonts w:hint="eastAsia" w:asciiTheme="majorEastAsia" w:hAnsiTheme="majorEastAsia" w:eastAsiaTheme="majorEastAsia"/>
          <w:sz w:val="18"/>
          <w:szCs w:val="18"/>
        </w:rPr>
        <w:t>份额年化收益率（R）超过业绩报酬计提基准的部分，按比例（N）以及产品份额持有天数（D）提取超额业绩报酬，计算方法如下：</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当R≤业绩报酬计提基准，超额业绩报酬=0；</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当R＞业绩报酬计提基准，超额业绩报酬=产品份额数量×产品成立日产品份额净值×（R-业绩报酬计提基准）×N×D/365；</w:t>
      </w:r>
    </w:p>
    <w:p>
      <w:pPr>
        <w:widowControl/>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sz w:val="18"/>
          <w:szCs w:val="18"/>
        </w:rPr>
        <w:t>若该份额持有期间，超额业绩报酬计提规则有所调整，以该产品份额持有期间的每个计提规则分别计算整个份额持有期间应收取的超额业绩报酬数值，以较小的数值来收取超额业绩报酬。</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w:t>
      </w:r>
      <w:r>
        <w:rPr>
          <w:rFonts w:ascii="宋体" w:hAnsi="宋体"/>
          <w:kern w:val="0"/>
          <w:sz w:val="18"/>
          <w:szCs w:val="18"/>
        </w:rPr>
        <w:t>5</w:t>
      </w:r>
      <w:r>
        <w:rPr>
          <w:rFonts w:hint="eastAsia" w:ascii="宋体" w:hAnsi="宋体"/>
          <w:kern w:val="0"/>
          <w:sz w:val="18"/>
          <w:szCs w:val="18"/>
        </w:rPr>
        <w:t>）理财产品</w:t>
      </w:r>
      <w:r>
        <w:rPr>
          <w:rFonts w:ascii="宋体" w:hAnsi="宋体"/>
          <w:kern w:val="0"/>
          <w:sz w:val="18"/>
          <w:szCs w:val="18"/>
        </w:rPr>
        <w:t>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hint="eastAsia" w:ascii="宋体" w:hAnsi="宋体"/>
          <w:sz w:val="18"/>
          <w:szCs w:val="18"/>
        </w:rPr>
        <w:t>本产品的产品</w:t>
      </w:r>
      <w:r>
        <w:rPr>
          <w:rFonts w:ascii="宋体" w:hAnsi="宋体"/>
          <w:sz w:val="18"/>
          <w:szCs w:val="18"/>
        </w:rPr>
        <w:t>托管</w:t>
      </w:r>
      <w:r>
        <w:rPr>
          <w:rFonts w:hint="eastAsia" w:ascii="宋体" w:hAnsi="宋体"/>
          <w:sz w:val="18"/>
          <w:szCs w:val="18"/>
        </w:rPr>
        <w:t>费按前一日理财资产净值与产品</w:t>
      </w:r>
      <w:r>
        <w:rPr>
          <w:rFonts w:ascii="宋体" w:hAnsi="宋体"/>
          <w:sz w:val="18"/>
          <w:szCs w:val="18"/>
        </w:rPr>
        <w:t>托管</w:t>
      </w:r>
      <w:r>
        <w:rPr>
          <w:rFonts w:hint="eastAsia" w:ascii="宋体" w:hAnsi="宋体"/>
          <w:sz w:val="18"/>
          <w:szCs w:val="18"/>
        </w:rPr>
        <w:t>费每日费率每日计提。</w:t>
      </w:r>
      <w:r>
        <w:rPr>
          <w:rFonts w:hint="eastAsia" w:ascii="宋体" w:hAnsi="宋体"/>
          <w:kern w:val="0"/>
          <w:sz w:val="18"/>
          <w:szCs w:val="18"/>
        </w:rPr>
        <w:t>产品</w:t>
      </w:r>
      <w:r>
        <w:rPr>
          <w:rFonts w:ascii="宋体" w:hAnsi="宋体"/>
          <w:kern w:val="0"/>
          <w:sz w:val="18"/>
          <w:szCs w:val="18"/>
        </w:rPr>
        <w:t>托管费的计算方法如下：</w:t>
      </w:r>
    </w:p>
    <w:p>
      <w:pPr>
        <w:widowControl/>
        <w:spacing w:line="360" w:lineRule="auto"/>
        <w:ind w:firstLine="360" w:firstLineChars="200"/>
        <w:jc w:val="left"/>
        <w:rPr>
          <w:rFonts w:ascii="宋体" w:hAnsi="宋体"/>
          <w:sz w:val="18"/>
          <w:szCs w:val="18"/>
        </w:rPr>
      </w:pPr>
      <w:r>
        <w:rPr>
          <w:rFonts w:ascii="宋体" w:hAnsi="宋体"/>
          <w:kern w:val="0"/>
          <w:sz w:val="18"/>
          <w:szCs w:val="18"/>
        </w:rPr>
        <w:t>H＝E×</w:t>
      </w:r>
      <w:r>
        <w:rPr>
          <w:rFonts w:hint="eastAsia" w:ascii="宋体" w:hAnsi="宋体"/>
          <w:kern w:val="0"/>
          <w:sz w:val="18"/>
          <w:szCs w:val="18"/>
        </w:rPr>
        <w:t>产品托管费</w:t>
      </w:r>
      <w:r>
        <w:rPr>
          <w:rFonts w:ascii="宋体" w:hAnsi="宋体"/>
          <w:kern w:val="0"/>
          <w:sz w:val="18"/>
          <w:szCs w:val="18"/>
        </w:rPr>
        <w:t>年费率÷</w:t>
      </w:r>
      <w:r>
        <w:rPr>
          <w:rFonts w:hint="eastAsia" w:ascii="宋体" w:hAnsi="宋体"/>
          <w:kern w:val="0"/>
          <w:sz w:val="18"/>
          <w:szCs w:val="18"/>
        </w:rPr>
        <w:t>3</w:t>
      </w:r>
      <w:r>
        <w:rPr>
          <w:rFonts w:ascii="宋体" w:hAnsi="宋体"/>
          <w:kern w:val="0"/>
          <w:sz w:val="18"/>
          <w:szCs w:val="18"/>
        </w:rPr>
        <w:t>65</w:t>
      </w:r>
    </w:p>
    <w:p>
      <w:pPr>
        <w:widowControl/>
        <w:spacing w:line="360" w:lineRule="auto"/>
        <w:ind w:firstLine="360" w:firstLineChars="200"/>
        <w:jc w:val="left"/>
        <w:rPr>
          <w:rFonts w:ascii="宋体" w:hAnsi="宋体"/>
          <w:sz w:val="18"/>
          <w:szCs w:val="18"/>
        </w:rPr>
      </w:pPr>
      <w:r>
        <w:rPr>
          <w:rFonts w:ascii="宋体" w:hAnsi="宋体"/>
          <w:kern w:val="0"/>
          <w:sz w:val="18"/>
          <w:szCs w:val="18"/>
        </w:rPr>
        <w:t>H为每日应计提的</w:t>
      </w:r>
      <w:r>
        <w:rPr>
          <w:rFonts w:hint="eastAsia" w:ascii="宋体" w:hAnsi="宋体"/>
          <w:kern w:val="0"/>
          <w:sz w:val="18"/>
          <w:szCs w:val="18"/>
        </w:rPr>
        <w:t>产品</w:t>
      </w:r>
      <w:r>
        <w:rPr>
          <w:rFonts w:ascii="宋体" w:hAnsi="宋体"/>
          <w:kern w:val="0"/>
          <w:sz w:val="18"/>
          <w:szCs w:val="18"/>
        </w:rPr>
        <w:t>托管费</w:t>
      </w:r>
    </w:p>
    <w:p>
      <w:pPr>
        <w:widowControl/>
        <w:spacing w:line="360" w:lineRule="auto"/>
        <w:ind w:firstLine="360" w:firstLineChars="200"/>
        <w:jc w:val="left"/>
        <w:rPr>
          <w:rFonts w:ascii="宋体" w:hAnsi="宋体"/>
          <w:sz w:val="18"/>
          <w:szCs w:val="18"/>
        </w:rPr>
      </w:pPr>
      <w:r>
        <w:rPr>
          <w:rFonts w:ascii="宋体" w:hAnsi="宋体"/>
          <w:kern w:val="0"/>
          <w:sz w:val="18"/>
          <w:szCs w:val="18"/>
        </w:rPr>
        <w:t>E为前一日的理财资产净值</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6</w:t>
      </w:r>
      <w:r>
        <w:rPr>
          <w:rFonts w:hint="eastAsia" w:ascii="宋体" w:hAnsi="宋体"/>
          <w:kern w:val="0"/>
          <w:sz w:val="18"/>
          <w:szCs w:val="18"/>
        </w:rPr>
        <w:t>）</w:t>
      </w:r>
      <w:r>
        <w:rPr>
          <w:rFonts w:ascii="宋体" w:hAnsi="宋体"/>
          <w:kern w:val="0"/>
          <w:sz w:val="18"/>
          <w:szCs w:val="18"/>
        </w:rPr>
        <w:t>上述</w:t>
      </w:r>
      <w:r>
        <w:rPr>
          <w:rFonts w:hint="eastAsia" w:ascii="宋体" w:hAnsi="宋体"/>
          <w:kern w:val="0"/>
          <w:sz w:val="18"/>
          <w:szCs w:val="18"/>
        </w:rPr>
        <w:t>理财产品的证券交易费用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w:t>
      </w:r>
      <w:r>
        <w:rPr>
          <w:rFonts w:ascii="宋体" w:hAnsi="宋体"/>
          <w:kern w:val="0"/>
          <w:sz w:val="18"/>
          <w:szCs w:val="18"/>
        </w:rPr>
        <w:t>7）上述</w:t>
      </w:r>
      <w:r>
        <w:rPr>
          <w:rFonts w:hint="eastAsia" w:ascii="宋体" w:hAnsi="宋体"/>
          <w:kern w:val="0"/>
          <w:sz w:val="18"/>
          <w:szCs w:val="18"/>
        </w:rPr>
        <w:t>理财产品</w:t>
      </w:r>
      <w:r>
        <w:rPr>
          <w:rFonts w:ascii="宋体" w:hAnsi="宋体"/>
          <w:kern w:val="0"/>
          <w:sz w:val="18"/>
          <w:szCs w:val="18"/>
        </w:rPr>
        <w:t>验资费、审计费、律师费、信息披露费、</w:t>
      </w:r>
      <w:r>
        <w:rPr>
          <w:rFonts w:hint="eastAsia" w:ascii="宋体" w:hAnsi="宋体"/>
          <w:kern w:val="0"/>
          <w:sz w:val="18"/>
          <w:szCs w:val="18"/>
        </w:rPr>
        <w:t>清算费、</w:t>
      </w:r>
      <w:r>
        <w:rPr>
          <w:rFonts w:ascii="宋体" w:hAnsi="宋体"/>
          <w:kern w:val="0"/>
          <w:sz w:val="18"/>
          <w:szCs w:val="18"/>
        </w:rPr>
        <w:t>执行费用等相关费用</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w:t>
      </w:r>
      <w:r>
        <w:rPr>
          <w:rFonts w:ascii="宋体" w:hAnsi="宋体"/>
          <w:kern w:val="0"/>
          <w:sz w:val="18"/>
          <w:szCs w:val="18"/>
        </w:rPr>
        <w:t>费用</w:t>
      </w:r>
      <w:r>
        <w:rPr>
          <w:rFonts w:hint="eastAsia" w:ascii="宋体" w:hAnsi="宋体"/>
          <w:kern w:val="0"/>
          <w:sz w:val="18"/>
          <w:szCs w:val="18"/>
        </w:rPr>
        <w:t>的，管理人有权从理财产品资产中优先受偿。</w:t>
      </w:r>
    </w:p>
    <w:p>
      <w:pPr>
        <w:pStyle w:val="34"/>
        <w:spacing w:line="360" w:lineRule="auto"/>
        <w:ind w:firstLine="360" w:firstLineChars="200"/>
        <w:rPr>
          <w:rFonts w:ascii="黑体" w:hAnsi="黑体" w:eastAsia="黑体"/>
          <w:color w:val="auto"/>
          <w:sz w:val="18"/>
        </w:rPr>
      </w:pPr>
      <w:r>
        <w:rPr>
          <w:rFonts w:ascii="黑体" w:hAnsi="黑体" w:eastAsia="黑体"/>
          <w:color w:val="auto"/>
          <w:sz w:val="18"/>
        </w:rPr>
        <w:t>3.</w:t>
      </w:r>
      <w:r>
        <w:rPr>
          <w:rFonts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bookmarkStart w:id="111" w:name="_Toc1745"/>
      <w:bookmarkStart w:id="112" w:name="_Toc3963"/>
      <w:r>
        <w:br w:type="page"/>
      </w:r>
      <w:bookmarkStart w:id="113" w:name="_Toc18206"/>
      <w:bookmarkStart w:id="114" w:name="_Toc31821"/>
      <w:bookmarkStart w:id="115" w:name="_Toc79154673"/>
      <w:bookmarkStart w:id="116" w:name="_Toc123051455"/>
      <w:bookmarkStart w:id="117" w:name="_Toc123102456"/>
      <w:bookmarkStart w:id="118" w:name="_Toc141703889"/>
      <w:bookmarkStart w:id="119" w:name="_Toc74065746"/>
      <w:bookmarkStart w:id="120" w:name="_Toc88747129"/>
      <w:bookmarkStart w:id="121" w:name="_Toc725"/>
      <w:bookmarkStart w:id="122" w:name="_Toc10398"/>
      <w:bookmarkStart w:id="123" w:name="_Toc123112237"/>
      <w:bookmarkStart w:id="124" w:name="_Toc3080"/>
      <w:bookmarkStart w:id="125" w:name="_Toc139991739"/>
      <w:bookmarkStart w:id="126" w:name="_Toc21735"/>
      <w:bookmarkStart w:id="127" w:name="_Toc3572"/>
      <w:bookmarkStart w:id="128" w:name="_Toc16164"/>
      <w:bookmarkStart w:id="129" w:name="_Toc98560355"/>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79392593"/>
      <w:bookmarkStart w:id="131" w:name="_Toc15118245"/>
      <w:bookmarkStart w:id="132" w:name="_Toc57530252"/>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141703890"/>
      <w:bookmarkStart w:id="134" w:name="_Toc123051456"/>
      <w:bookmarkStart w:id="135" w:name="_Toc21237"/>
      <w:bookmarkStart w:id="136" w:name="_Toc8791"/>
      <w:bookmarkStart w:id="137" w:name="_Toc739"/>
      <w:bookmarkStart w:id="138" w:name="_Toc5170"/>
      <w:bookmarkStart w:id="139" w:name="_Toc79154674"/>
      <w:bookmarkStart w:id="140" w:name="_Toc3329"/>
      <w:bookmarkStart w:id="141" w:name="_Toc79392622"/>
      <w:bookmarkStart w:id="142" w:name="_Toc139991740"/>
      <w:bookmarkStart w:id="143" w:name="_Toc17198"/>
      <w:bookmarkStart w:id="144" w:name="_Toc29408"/>
      <w:bookmarkStart w:id="145" w:name="_Toc32584"/>
      <w:bookmarkStart w:id="146" w:name="_Toc74065747"/>
      <w:bookmarkStart w:id="147" w:name="_Toc17920"/>
      <w:bookmarkStart w:id="148" w:name="_Toc32092"/>
      <w:bookmarkStart w:id="149" w:name="_Toc123112238"/>
      <w:bookmarkStart w:id="150" w:name="_Toc98560356"/>
      <w:bookmarkStart w:id="151" w:name="_Toc88747130"/>
      <w:bookmarkStart w:id="152" w:name="_Toc123102457"/>
      <w:bookmarkStart w:id="153" w:name="_Toc48649708"/>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w:t>
      </w:r>
      <w:r>
        <w:rPr>
          <w:rFonts w:ascii="宋体" w:hAnsi="宋体"/>
          <w:b/>
          <w:bCs/>
          <w:sz w:val="18"/>
          <w:szCs w:val="18"/>
        </w:rPr>
        <w:t>披露的原则</w:t>
      </w:r>
    </w:p>
    <w:p>
      <w:pPr>
        <w:spacing w:line="360" w:lineRule="auto"/>
        <w:ind w:firstLine="360"/>
        <w:rPr>
          <w:rFonts w:ascii="宋体" w:hAnsi="宋体"/>
          <w:b/>
          <w:bCs/>
          <w:sz w:val="18"/>
          <w:szCs w:val="18"/>
        </w:rPr>
      </w:pPr>
      <w:r>
        <w:rPr>
          <w:rFonts w:hint="eastAsia" w:ascii="宋体" w:hAnsi="宋体"/>
          <w:bCs/>
          <w:sz w:val="18"/>
          <w:szCs w:val="18"/>
        </w:rPr>
        <w:t>产品管理人</w:t>
      </w:r>
      <w:r>
        <w:rPr>
          <w:rFonts w:ascii="宋体" w:hAnsi="宋体"/>
          <w:bCs/>
          <w:sz w:val="18"/>
          <w:szCs w:val="18"/>
        </w:rPr>
        <w:t>遵循真实性、准确性、完整性和及时性原则</w:t>
      </w:r>
      <w:r>
        <w:rPr>
          <w:rFonts w:hint="eastAsia" w:ascii="宋体" w:hAnsi="宋体"/>
          <w:bCs/>
          <w:sz w:val="18"/>
          <w:szCs w:val="18"/>
        </w:rPr>
        <w:t>进行</w:t>
      </w:r>
      <w:r>
        <w:rPr>
          <w:rFonts w:ascii="宋体" w:hAnsi="宋体"/>
          <w:bCs/>
          <w:sz w:val="18"/>
          <w:szCs w:val="18"/>
        </w:rPr>
        <w:t>信息披露</w:t>
      </w:r>
      <w:r>
        <w:rPr>
          <w:rFonts w:hint="eastAsia" w:ascii="宋体" w:hAnsi="宋体"/>
          <w:bCs/>
          <w:sz w:val="18"/>
          <w:szCs w:val="18"/>
        </w:rPr>
        <w:t>。</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ascii="宋体" w:hAnsi="宋体"/>
          <w:bCs/>
          <w:sz w:val="18"/>
          <w:szCs w:val="18"/>
        </w:rPr>
        <w:t>1.产品管理人将以兴业银行或销售机构的信息披露渠道（包括但不限于兴业银行或销售机构的营业网点、门户网站、电子销售渠道等）作为本理财产品的信息披露渠道。本理财产品认购期和存续期间，产品管理人将通过兴业银行或销售机构的信息披露渠道开展理财产品的信息披露工作。请投资者及时关注。</w:t>
      </w:r>
    </w:p>
    <w:p>
      <w:pPr>
        <w:spacing w:line="360" w:lineRule="auto"/>
        <w:ind w:firstLine="360"/>
        <w:rPr>
          <w:rFonts w:ascii="黑体" w:hAnsi="黑体" w:eastAsia="黑体"/>
          <w:bCs/>
          <w:sz w:val="18"/>
          <w:szCs w:val="18"/>
        </w:rPr>
      </w:pPr>
      <w:r>
        <w:rPr>
          <w:rFonts w:ascii="黑体" w:hAnsi="黑体" w:eastAsia="黑体"/>
          <w:bCs/>
          <w:sz w:val="18"/>
          <w:szCs w:val="18"/>
        </w:rPr>
        <w:t>2.★产品管理人</w:t>
      </w:r>
      <w:r>
        <w:rPr>
          <w:rFonts w:hint="eastAsia" w:ascii="黑体" w:hAnsi="黑体" w:eastAsia="黑体"/>
          <w:bCs/>
          <w:sz w:val="18"/>
          <w:szCs w:val="18"/>
        </w:rPr>
        <w:t>通过兴业银行或销售机构的信息披露渠道</w:t>
      </w:r>
      <w:r>
        <w:rPr>
          <w:rFonts w:ascii="黑体" w:hAnsi="黑体" w:eastAsia="黑体"/>
          <w:bCs/>
          <w:sz w:val="18"/>
          <w:szCs w:val="18"/>
        </w:rPr>
        <w:t>发布</w:t>
      </w:r>
      <w:r>
        <w:rPr>
          <w:rFonts w:hint="eastAsia" w:ascii="黑体" w:hAnsi="黑体" w:eastAsia="黑体"/>
          <w:bCs/>
          <w:sz w:val="18"/>
          <w:szCs w:val="18"/>
        </w:rPr>
        <w:t>理财产品有关</w:t>
      </w:r>
      <w:r>
        <w:rPr>
          <w:rFonts w:ascii="黑体" w:hAnsi="黑体" w:eastAsia="黑体"/>
          <w:bCs/>
          <w:sz w:val="18"/>
          <w:szCs w:val="18"/>
        </w:rPr>
        <w:t>信息，即视为已适当履行其信息披露义务。如</w:t>
      </w:r>
      <w:r>
        <w:rPr>
          <w:rFonts w:hint="eastAsia" w:ascii="黑体" w:hAnsi="黑体" w:eastAsia="黑体"/>
          <w:bCs/>
          <w:sz w:val="18"/>
          <w:szCs w:val="18"/>
        </w:rPr>
        <w:t>产品管理人</w:t>
      </w:r>
      <w:r>
        <w:rPr>
          <w:rFonts w:ascii="黑体" w:hAnsi="黑体" w:eastAsia="黑体"/>
          <w:bCs/>
          <w:sz w:val="18"/>
          <w:szCs w:val="18"/>
        </w:rPr>
        <w:t>认为需要直接联系</w:t>
      </w:r>
      <w:r>
        <w:rPr>
          <w:rFonts w:hint="eastAsia" w:ascii="黑体" w:hAnsi="黑体" w:eastAsia="黑体"/>
          <w:bCs/>
          <w:sz w:val="18"/>
          <w:szCs w:val="18"/>
        </w:rPr>
        <w:t>投资者</w:t>
      </w:r>
      <w:r>
        <w:rPr>
          <w:rFonts w:ascii="黑体" w:hAnsi="黑体" w:eastAsia="黑体"/>
          <w:bCs/>
          <w:sz w:val="18"/>
          <w:szCs w:val="18"/>
        </w:rPr>
        <w:t>的，将依据本说明书投资者信息中</w:t>
      </w:r>
      <w:r>
        <w:rPr>
          <w:rFonts w:hint="eastAsia" w:ascii="黑体" w:hAnsi="黑体" w:eastAsia="黑体"/>
          <w:bCs/>
          <w:sz w:val="18"/>
          <w:szCs w:val="18"/>
        </w:rPr>
        <w:t>投资者</w:t>
      </w:r>
      <w:r>
        <w:rPr>
          <w:rFonts w:ascii="黑体" w:hAnsi="黑体" w:eastAsia="黑体"/>
          <w:bCs/>
          <w:sz w:val="18"/>
          <w:szCs w:val="18"/>
        </w:rPr>
        <w:t>预留的</w:t>
      </w:r>
      <w:r>
        <w:rPr>
          <w:rFonts w:hint="eastAsia" w:ascii="黑体" w:hAnsi="黑体" w:eastAsia="黑体"/>
          <w:bCs/>
          <w:sz w:val="18"/>
          <w:szCs w:val="18"/>
        </w:rPr>
        <w:t>信息</w:t>
      </w:r>
      <w:r>
        <w:rPr>
          <w:rFonts w:ascii="黑体" w:hAnsi="黑体" w:eastAsia="黑体"/>
          <w:bCs/>
          <w:sz w:val="18"/>
          <w:szCs w:val="18"/>
        </w:rPr>
        <w:t>进行通知。因</w:t>
      </w:r>
      <w:r>
        <w:rPr>
          <w:rFonts w:hint="eastAsia" w:ascii="黑体" w:hAnsi="黑体" w:eastAsia="黑体"/>
          <w:bCs/>
          <w:sz w:val="18"/>
          <w:szCs w:val="18"/>
        </w:rPr>
        <w:t>投资者</w:t>
      </w:r>
      <w:r>
        <w:rPr>
          <w:rFonts w:ascii="黑体" w:hAnsi="黑体" w:eastAsia="黑体"/>
          <w:bCs/>
          <w:sz w:val="18"/>
          <w:szCs w:val="18"/>
        </w:rPr>
        <w:t>原因而导致该等通知失败的，</w:t>
      </w:r>
      <w:r>
        <w:rPr>
          <w:rFonts w:hint="eastAsia" w:ascii="黑体" w:hAnsi="黑体" w:eastAsia="黑体"/>
          <w:bCs/>
          <w:sz w:val="18"/>
          <w:szCs w:val="18"/>
        </w:rPr>
        <w:t>产品管理人</w:t>
      </w:r>
      <w:r>
        <w:rPr>
          <w:rFonts w:ascii="黑体" w:hAnsi="黑体" w:eastAsia="黑体"/>
          <w:bCs/>
          <w:sz w:val="18"/>
          <w:szCs w:val="18"/>
        </w:rPr>
        <w:t>不承担相应责任。</w:t>
      </w:r>
    </w:p>
    <w:p>
      <w:pPr>
        <w:spacing w:line="360" w:lineRule="auto"/>
        <w:ind w:firstLine="360"/>
        <w:rPr>
          <w:rFonts w:ascii="宋体" w:hAnsi="宋体"/>
          <w:bCs/>
          <w:sz w:val="18"/>
          <w:szCs w:val="18"/>
        </w:rPr>
      </w:pPr>
      <w:r>
        <w:rPr>
          <w:rFonts w:ascii="宋体" w:hAnsi="宋体"/>
          <w:bCs/>
          <w:sz w:val="18"/>
          <w:szCs w:val="18"/>
        </w:rPr>
        <w:t>3.投资者应定期通过约定的信息披露渠道获知有关理财产品相关信息。以上相关信息自披露之日即视为已送达投资者，也视为产品管理人</w:t>
      </w:r>
      <w:r>
        <w:rPr>
          <w:rFonts w:hint="eastAsia" w:ascii="宋体" w:hAnsi="宋体"/>
          <w:bCs/>
          <w:sz w:val="18"/>
          <w:szCs w:val="18"/>
        </w:rPr>
        <w:t>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ascii="宋体" w:hAnsi="宋体"/>
          <w:bCs/>
          <w:sz w:val="18"/>
          <w:szCs w:val="18"/>
        </w:rPr>
        <w:t>4.在保障投资者知情权的前提下</w:t>
      </w:r>
      <w:r>
        <w:rPr>
          <w:rFonts w:hint="eastAsia" w:ascii="宋体" w:hAnsi="宋体"/>
          <w:bCs/>
          <w:sz w:val="18"/>
          <w:szCs w:val="18"/>
        </w:rPr>
        <w:t>，</w:t>
      </w:r>
      <w:r>
        <w:rPr>
          <w:rFonts w:ascii="宋体" w:hAnsi="宋体"/>
          <w:bCs/>
          <w:sz w:val="18"/>
          <w:szCs w:val="18"/>
        </w:rPr>
        <w:t>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w:t>
      </w:r>
      <w:r>
        <w:rPr>
          <w:rFonts w:ascii="宋体" w:hAnsi="宋体"/>
          <w:bCs/>
          <w:sz w:val="18"/>
          <w:szCs w:val="18"/>
        </w:rPr>
        <w:t>包括但不限于产品成立、产品终止、</w:t>
      </w:r>
      <w:r>
        <w:rPr>
          <w:rFonts w:hint="eastAsia" w:ascii="宋体" w:hAnsi="宋体"/>
          <w:bCs/>
          <w:sz w:val="18"/>
          <w:szCs w:val="18"/>
        </w:rPr>
        <w:t>募集信息、产品份额净值、暂停申购或赎回、投资对象和比例、产品组合资产情况及其流动性风险分析、杠杆水平、利益分配、托管安排、投资账户信息、主要投资风险、估值方法变更、收费标准变更等信息。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w:t>
      </w:r>
      <w:r>
        <w:rPr>
          <w:rFonts w:ascii="宋体" w:hAnsi="宋体"/>
          <w:bCs/>
          <w:sz w:val="18"/>
          <w:szCs w:val="18"/>
        </w:rPr>
        <w:t>5个工作日内，产品管理人将发布产品成立公告。</w:t>
      </w:r>
    </w:p>
    <w:p>
      <w:pPr>
        <w:spacing w:line="360" w:lineRule="auto"/>
        <w:ind w:firstLine="360"/>
        <w:rPr>
          <w:rFonts w:ascii="宋体" w:hAnsi="宋体"/>
          <w:bCs/>
          <w:sz w:val="18"/>
          <w:szCs w:val="18"/>
        </w:rPr>
      </w:pPr>
      <w:r>
        <w:rPr>
          <w:rFonts w:ascii="宋体" w:hAnsi="宋体"/>
          <w:bCs/>
          <w:sz w:val="18"/>
          <w:szCs w:val="18"/>
        </w:rPr>
        <w:t>2.重大事项</w:t>
      </w:r>
      <w:r>
        <w:rPr>
          <w:rFonts w:hint="eastAsia" w:ascii="宋体" w:hAnsi="宋体"/>
          <w:bCs/>
          <w:sz w:val="18"/>
          <w:szCs w:val="18"/>
        </w:rPr>
        <w:t>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w:t>
      </w:r>
      <w:r>
        <w:rPr>
          <w:rFonts w:ascii="宋体" w:hAnsi="宋体"/>
          <w:bCs/>
          <w:sz w:val="18"/>
          <w:szCs w:val="18"/>
        </w:rPr>
        <w:t>2个工作日内发布重大事项公告。</w:t>
      </w:r>
    </w:p>
    <w:p>
      <w:pPr>
        <w:spacing w:line="360" w:lineRule="auto"/>
        <w:ind w:firstLine="360"/>
        <w:rPr>
          <w:rFonts w:ascii="宋体" w:hAnsi="宋体"/>
          <w:bCs/>
          <w:sz w:val="18"/>
          <w:szCs w:val="18"/>
        </w:rPr>
      </w:pPr>
      <w:r>
        <w:rPr>
          <w:rFonts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w:t>
      </w:r>
      <w:r>
        <w:rPr>
          <w:rFonts w:ascii="宋体" w:hAnsi="宋体"/>
          <w:bCs/>
          <w:sz w:val="18"/>
          <w:szCs w:val="18"/>
        </w:rPr>
        <w:t>季度、半年度和年度定期报告。</w:t>
      </w:r>
      <w:r>
        <w:rPr>
          <w:rFonts w:hint="eastAsia" w:ascii="宋体" w:hAnsi="宋体"/>
          <w:bCs/>
          <w:sz w:val="18"/>
          <w:szCs w:val="18"/>
        </w:rPr>
        <w:t>产品成立超过</w:t>
      </w:r>
      <w:r>
        <w:rPr>
          <w:rFonts w:ascii="宋体" w:hAnsi="宋体"/>
          <w:bCs/>
          <w:sz w:val="18"/>
          <w:szCs w:val="18"/>
        </w:rPr>
        <w:t>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w:t>
      </w:r>
      <w:r>
        <w:rPr>
          <w:rFonts w:ascii="宋体" w:hAnsi="宋体"/>
          <w:bCs/>
          <w:sz w:val="18"/>
          <w:szCs w:val="18"/>
        </w:rPr>
        <w:t>2个工作日进行公告。本产品终止后5个工作日内，产品管理人发布产品到期公告。</w:t>
      </w:r>
    </w:p>
    <w:p>
      <w:pPr>
        <w:spacing w:line="360" w:lineRule="auto"/>
        <w:ind w:firstLine="360"/>
        <w:rPr>
          <w:rFonts w:ascii="宋体" w:hAnsi="宋体"/>
          <w:bCs/>
          <w:sz w:val="18"/>
          <w:szCs w:val="18"/>
        </w:rPr>
      </w:pPr>
      <w:r>
        <w:rPr>
          <w:rFonts w:ascii="宋体" w:hAnsi="宋体"/>
          <w:bCs/>
          <w:sz w:val="18"/>
          <w:szCs w:val="18"/>
        </w:rPr>
        <w:t>5.估值日公告</w:t>
      </w:r>
    </w:p>
    <w:p>
      <w:pPr>
        <w:spacing w:line="360" w:lineRule="auto"/>
        <w:ind w:firstLine="360"/>
        <w:rPr>
          <w:rFonts w:ascii="宋体" w:hAnsi="宋体"/>
          <w:bCs/>
          <w:sz w:val="18"/>
          <w:szCs w:val="18"/>
        </w:rPr>
      </w:pPr>
      <w:r>
        <w:rPr>
          <w:rFonts w:hint="eastAsia" w:ascii="宋体" w:hAnsi="宋体"/>
          <w:bCs/>
          <w:sz w:val="18"/>
          <w:szCs w:val="18"/>
        </w:rPr>
        <w:t>产品</w:t>
      </w:r>
      <w:r>
        <w:rPr>
          <w:rFonts w:ascii="宋体" w:hAnsi="宋体"/>
          <w:bCs/>
          <w:sz w:val="18"/>
          <w:szCs w:val="18"/>
        </w:rPr>
        <w:t>存续</w:t>
      </w:r>
      <w:r>
        <w:rPr>
          <w:rFonts w:hint="eastAsia" w:ascii="宋体" w:hAnsi="宋体"/>
          <w:bCs/>
          <w:sz w:val="18"/>
          <w:szCs w:val="18"/>
        </w:rPr>
        <w:t>期间，每周向投资者披露一次估值日公告，估值日公告披露的内容包括估值日的产品份额净值、产品份额累计净值、业绩比较基准（如有）、</w:t>
      </w:r>
      <w:r>
        <w:rPr>
          <w:rFonts w:ascii="宋体" w:hAnsi="宋体"/>
          <w:bCs/>
          <w:sz w:val="18"/>
          <w:szCs w:val="18"/>
        </w:rPr>
        <w:t>业绩报酬计提</w:t>
      </w:r>
      <w:r>
        <w:rPr>
          <w:rFonts w:hint="eastAsia" w:ascii="宋体" w:hAnsi="宋体"/>
          <w:bCs/>
          <w:sz w:val="18"/>
          <w:szCs w:val="18"/>
        </w:rPr>
        <w:t>基准</w:t>
      </w:r>
      <w:r>
        <w:rPr>
          <w:rFonts w:ascii="宋体" w:hAnsi="宋体"/>
          <w:bCs/>
          <w:sz w:val="18"/>
          <w:szCs w:val="18"/>
        </w:rPr>
        <w:t>（</w:t>
      </w:r>
      <w:r>
        <w:rPr>
          <w:rFonts w:hint="eastAsia" w:ascii="宋体" w:hAnsi="宋体"/>
          <w:bCs/>
          <w:sz w:val="18"/>
          <w:szCs w:val="18"/>
        </w:rPr>
        <w:t>如有</w:t>
      </w:r>
      <w:r>
        <w:rPr>
          <w:rFonts w:ascii="宋体" w:hAnsi="宋体"/>
          <w:bCs/>
          <w:sz w:val="18"/>
          <w:szCs w:val="18"/>
        </w:rPr>
        <w:t>）</w:t>
      </w:r>
      <w:r>
        <w:rPr>
          <w:rFonts w:hint="eastAsia" w:ascii="宋体" w:hAnsi="宋体"/>
          <w:bCs/>
          <w:sz w:val="18"/>
          <w:szCs w:val="18"/>
        </w:rPr>
        <w:t>等。如遇法定节假日顺延。此外，如遇其他特殊情况，以产品管理人信息披露为准。</w:t>
      </w:r>
      <w:r>
        <w:rPr>
          <w:rFonts w:ascii="宋体" w:hAnsi="宋体"/>
          <w:bCs/>
          <w:sz w:val="18"/>
          <w:szCs w:val="18"/>
        </w:rPr>
        <w:t xml:space="preserve"> </w:t>
      </w:r>
    </w:p>
    <w:p>
      <w:pPr>
        <w:spacing w:line="360" w:lineRule="auto"/>
        <w:ind w:firstLine="360"/>
        <w:rPr>
          <w:rFonts w:ascii="宋体" w:hAnsi="宋体"/>
          <w:bCs/>
          <w:sz w:val="18"/>
          <w:szCs w:val="18"/>
        </w:rPr>
      </w:pPr>
      <w:r>
        <w:rPr>
          <w:rFonts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1）</w:t>
      </w:r>
      <w:r>
        <w:rPr>
          <w:rFonts w:hint="eastAsia" w:ascii="黑体" w:hAnsi="黑体" w:eastAsia="黑体"/>
          <w:b/>
          <w:bCs/>
          <w:sz w:val="18"/>
          <w:szCs w:val="18"/>
        </w:rPr>
        <w:t>★产品管理人</w:t>
      </w:r>
      <w:r>
        <w:rPr>
          <w:rFonts w:ascii="黑体" w:hAnsi="黑体" w:eastAsia="黑体"/>
          <w:b/>
          <w:bCs/>
          <w:sz w:val="18"/>
          <w:szCs w:val="18"/>
        </w:rPr>
        <w:t>对</w:t>
      </w:r>
      <w:r>
        <w:rPr>
          <w:rFonts w:hint="eastAsia" w:ascii="黑体" w:hAnsi="黑体" w:eastAsia="黑体"/>
          <w:b/>
          <w:bCs/>
          <w:sz w:val="18"/>
          <w:szCs w:val="18"/>
        </w:rPr>
        <w:t>投资范围、投资资产种类、</w:t>
      </w:r>
      <w:r>
        <w:rPr>
          <w:rFonts w:ascii="黑体" w:hAnsi="黑体" w:eastAsia="黑体"/>
          <w:b/>
          <w:bCs/>
          <w:sz w:val="18"/>
          <w:szCs w:val="18"/>
        </w:rPr>
        <w:t>投资</w:t>
      </w:r>
      <w:r>
        <w:rPr>
          <w:rFonts w:hint="eastAsia" w:ascii="黑体" w:hAnsi="黑体" w:eastAsia="黑体"/>
          <w:b/>
          <w:bCs/>
          <w:sz w:val="18"/>
          <w:szCs w:val="18"/>
        </w:rPr>
        <w:t>比例、估值方法、收费项目条件标准和方式、业绩比较基准（如有）、业绩报酬计提基准（如有）等保留变更的权利，如发生变更，调整后的要素以产品管理人发布的变更公告中所载明的内容为准。产品管理人将提前</w:t>
      </w:r>
      <w:r>
        <w:rPr>
          <w:rFonts w:ascii="黑体" w:hAnsi="黑体" w:eastAsia="黑体"/>
          <w:b/>
          <w:bCs/>
          <w:sz w:val="18"/>
          <w:szCs w:val="18"/>
        </w:rPr>
        <w:t>2个工作日发布变更公告</w:t>
      </w:r>
      <w:r>
        <w:rPr>
          <w:rFonts w:hint="eastAsia"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w:t>
      </w:r>
      <w:r>
        <w:rPr>
          <w:rFonts w:ascii="宋体" w:hAnsi="宋体"/>
          <w:bCs/>
          <w:sz w:val="18"/>
          <w:szCs w:val="18"/>
        </w:rPr>
        <w:t>投资者</w:t>
      </w:r>
      <w:r>
        <w:rPr>
          <w:rFonts w:hint="eastAsia" w:ascii="宋体" w:hAnsi="宋体"/>
          <w:bCs/>
          <w:sz w:val="18"/>
          <w:szCs w:val="18"/>
        </w:rPr>
        <w:t>认购申请、暂停理财产品估值</w:t>
      </w:r>
      <w:r>
        <w:rPr>
          <w:rFonts w:ascii="宋体" w:hAnsi="宋体"/>
          <w:bCs/>
          <w:sz w:val="18"/>
          <w:szCs w:val="18"/>
        </w:rPr>
        <w:t>等</w:t>
      </w:r>
      <w:r>
        <w:rPr>
          <w:rFonts w:hint="eastAsia" w:ascii="宋体" w:hAnsi="宋体"/>
          <w:bCs/>
          <w:sz w:val="18"/>
          <w:szCs w:val="18"/>
        </w:rPr>
        <w:t>情形</w:t>
      </w:r>
      <w:r>
        <w:rPr>
          <w:rFonts w:ascii="宋体" w:hAnsi="宋体"/>
          <w:bCs/>
          <w:sz w:val="18"/>
          <w:szCs w:val="18"/>
        </w:rPr>
        <w:t>时，</w:t>
      </w:r>
      <w:r>
        <w:rPr>
          <w:rFonts w:hint="eastAsia" w:ascii="宋体" w:hAnsi="宋体"/>
          <w:sz w:val="18"/>
          <w:szCs w:val="18"/>
        </w:rPr>
        <w:t>产品管理人</w:t>
      </w:r>
      <w:r>
        <w:rPr>
          <w:rFonts w:hint="eastAsia" w:ascii="宋体" w:hAnsi="宋体"/>
          <w:bCs/>
          <w:sz w:val="18"/>
          <w:szCs w:val="18"/>
        </w:rPr>
        <w:t>将</w:t>
      </w:r>
      <w:r>
        <w:rPr>
          <w:rFonts w:ascii="宋体" w:hAnsi="宋体"/>
          <w:bCs/>
          <w:sz w:val="18"/>
          <w:szCs w:val="18"/>
        </w:rPr>
        <w:t>于3个</w:t>
      </w:r>
      <w:r>
        <w:rPr>
          <w:rFonts w:hint="eastAsia" w:ascii="宋体" w:hAnsi="宋体"/>
          <w:bCs/>
          <w:sz w:val="18"/>
          <w:szCs w:val="18"/>
        </w:rPr>
        <w:t>交易</w:t>
      </w:r>
      <w:r>
        <w:rPr>
          <w:rFonts w:ascii="宋体" w:hAnsi="宋体"/>
          <w:bCs/>
          <w:sz w:val="18"/>
          <w:szCs w:val="18"/>
        </w:rPr>
        <w:t>日</w:t>
      </w:r>
      <w:r>
        <w:rPr>
          <w:rFonts w:hint="eastAsia" w:ascii="宋体" w:hAnsi="宋体"/>
          <w:bCs/>
          <w:sz w:val="18"/>
          <w:szCs w:val="18"/>
        </w:rPr>
        <w:t>内告知投资者，并说明运用相关措施的原因和拟采取的应对安排等</w:t>
      </w:r>
      <w:r>
        <w:rPr>
          <w:rFonts w:ascii="宋体" w:hAnsi="宋体"/>
          <w:bCs/>
          <w:sz w:val="18"/>
          <w:szCs w:val="18"/>
        </w:rPr>
        <w:t>。</w:t>
      </w:r>
      <w:r>
        <w:rPr>
          <w:rFonts w:hint="eastAsia" w:ascii="宋体" w:hAnsi="宋体"/>
          <w:bCs/>
          <w:sz w:val="18"/>
          <w:szCs w:val="18"/>
        </w:rPr>
        <w:t>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w:t>
      </w:r>
      <w:r>
        <w:rPr>
          <w:rFonts w:ascii="黑体" w:hAnsi="黑体" w:eastAsia="黑体"/>
          <w:b/>
          <w:bCs/>
          <w:sz w:val="18"/>
          <w:szCs w:val="18"/>
        </w:rPr>
        <w:t>4）★在本产品存续期内，如因国家法律法规、监管规定发生变化，或是出于维护本产品正常运营的需要，在不损害投资者</w:t>
      </w:r>
      <w:r>
        <w:rPr>
          <w:rFonts w:hint="eastAsia" w:ascii="黑体" w:hAnsi="黑体" w:eastAsia="黑体"/>
          <w:b/>
          <w:bCs/>
          <w:sz w:val="18"/>
          <w:szCs w:val="18"/>
        </w:rPr>
        <w:t>权益</w:t>
      </w:r>
      <w:r>
        <w:rPr>
          <w:rFonts w:ascii="黑体" w:hAnsi="黑体" w:eastAsia="黑体"/>
          <w:b/>
          <w:bCs/>
          <w:sz w:val="18"/>
          <w:szCs w:val="18"/>
        </w:rPr>
        <w:t>的前提下，</w:t>
      </w:r>
      <w:r>
        <w:rPr>
          <w:rFonts w:hint="eastAsia" w:ascii="黑体" w:hAnsi="黑体" w:eastAsia="黑体"/>
          <w:b/>
          <w:bCs/>
          <w:sz w:val="18"/>
          <w:szCs w:val="18"/>
        </w:rPr>
        <w:t>产品管理人</w:t>
      </w:r>
      <w:r>
        <w:rPr>
          <w:rFonts w:ascii="黑体" w:hAnsi="黑体" w:eastAsia="黑体"/>
          <w:b/>
          <w:bCs/>
          <w:sz w:val="18"/>
          <w:szCs w:val="18"/>
        </w:rPr>
        <w:t>有权对</w:t>
      </w:r>
      <w:r>
        <w:rPr>
          <w:rFonts w:hint="eastAsia" w:ascii="黑体" w:hAnsi="黑体" w:eastAsia="黑体"/>
          <w:b/>
          <w:bCs/>
          <w:sz w:val="18"/>
          <w:szCs w:val="18"/>
        </w:rPr>
        <w:t>理财产品销售文件</w:t>
      </w:r>
      <w:r>
        <w:rPr>
          <w:rFonts w:ascii="黑体" w:hAnsi="黑体" w:eastAsia="黑体"/>
          <w:b/>
          <w:bCs/>
          <w:sz w:val="18"/>
          <w:szCs w:val="18"/>
        </w:rPr>
        <w:t>进行修订，并提前2个工作日进行</w:t>
      </w:r>
      <w:r>
        <w:rPr>
          <w:rFonts w:hint="eastAsia" w:ascii="黑体" w:hAnsi="黑体" w:eastAsia="黑体"/>
          <w:b/>
          <w:bCs/>
          <w:sz w:val="18"/>
          <w:szCs w:val="18"/>
        </w:rPr>
        <w:t>公告</w:t>
      </w:r>
      <w:r>
        <w:rPr>
          <w:rFonts w:ascii="黑体" w:hAnsi="黑体" w:eastAsia="黑体"/>
          <w:b/>
          <w:bCs/>
          <w:sz w:val="18"/>
          <w:szCs w:val="18"/>
        </w:rPr>
        <w:t>。</w:t>
      </w:r>
    </w:p>
    <w:p>
      <w:pPr>
        <w:spacing w:line="360" w:lineRule="auto"/>
        <w:ind w:firstLine="360"/>
        <w:rPr>
          <w:rFonts w:ascii="宋体" w:hAnsi="宋体"/>
          <w:bCs/>
          <w:sz w:val="18"/>
          <w:szCs w:val="18"/>
        </w:rPr>
      </w:pPr>
      <w:r>
        <w:rPr>
          <w:rFonts w:hint="eastAsia" w:ascii="宋体" w:hAnsi="宋体"/>
          <w:bCs/>
          <w:sz w:val="18"/>
          <w:szCs w:val="18"/>
        </w:rPr>
        <w:t>（</w:t>
      </w:r>
      <w:r>
        <w:rPr>
          <w:rFonts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并可按照理财产品销售文件约定的方式退出（若为封闭式理财产品的，在符合法律法规及监管政策的前提下，可由管理人另行决定投资者的退出方式）。若投资者未选择退出本产品的，则视为已理解并接受管理人的相应变更。</w:t>
      </w:r>
    </w:p>
    <w:p>
      <w:pPr>
        <w:widowControl/>
        <w:spacing w:line="360" w:lineRule="auto"/>
        <w:jc w:val="left"/>
        <w:rPr>
          <w:bCs/>
          <w:sz w:val="24"/>
        </w:rPr>
      </w:pPr>
      <w:r>
        <w:rPr>
          <w:bCs/>
          <w:sz w:val="24"/>
        </w:rPr>
        <w:br w:type="page"/>
      </w:r>
    </w:p>
    <w:p>
      <w:pPr>
        <w:pStyle w:val="2"/>
        <w:spacing w:before="0" w:after="0" w:line="360" w:lineRule="auto"/>
        <w:jc w:val="center"/>
        <w:rPr>
          <w:rFonts w:ascii="Times New Roman"/>
          <w:b w:val="0"/>
          <w:sz w:val="30"/>
        </w:rPr>
      </w:pPr>
      <w:bookmarkStart w:id="154" w:name="_Toc88747131"/>
      <w:bookmarkStart w:id="155" w:name="_Toc79154675"/>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9</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F4696E"/>
    <w:rsid w:val="07245E56"/>
    <w:rsid w:val="09E26A34"/>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27F4265"/>
    <w:rsid w:val="628E734C"/>
    <w:rsid w:val="648D5239"/>
    <w:rsid w:val="6515495A"/>
    <w:rsid w:val="6580603B"/>
    <w:rsid w:val="68C7223A"/>
    <w:rsid w:val="68EF6886"/>
    <w:rsid w:val="6AAF5AEF"/>
    <w:rsid w:val="6AB15689"/>
    <w:rsid w:val="6DFD607C"/>
    <w:rsid w:val="6FDD1093"/>
    <w:rsid w:val="709C0126"/>
    <w:rsid w:val="709F2C3D"/>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mcd:customData xmlns="http://www.wps.cn/android/officeDocument/2013/mofficeCustomData" xmlns:mcd="http://www.wps.cn/android/officeDocument/2013/mofficeCustomData" version="2">
  <mcd:comments/>
</mcd:customData>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b:Sources xmlns:b="http://schemas.openxmlformats.org/officeDocument/2006/bibliography" xmlns="http://schemas.openxmlformats.org/officeDocument/2006/bibliography" SelectedStyle="\APASixthEditionOfficeOnline.xsl" StyleName="APA" Version="6"/>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2108FF18-8EC8-4170-A536-1AA8E39CC797}">
  <ds:schemaRefs/>
</ds:datastoreItem>
</file>

<file path=customXml/itemProps11.xml><?xml version="1.0" encoding="utf-8"?>
<ds:datastoreItem xmlns:ds="http://schemas.openxmlformats.org/officeDocument/2006/customXml" ds:itemID="{D902962D-C8CC-43BF-804A-CD60AE6D7475}">
  <ds:schemaRefs/>
</ds:datastoreItem>
</file>

<file path=customXml/itemProps12.xml><?xml version="1.0" encoding="utf-8"?>
<ds:datastoreItem xmlns:ds="http://schemas.openxmlformats.org/officeDocument/2006/customXml" ds:itemID="{1AFD950A-C976-4DE8-981B-89ABD0D84CC1}">
  <ds:schemaRefs/>
</ds:datastoreItem>
</file>

<file path=customXml/itemProps13.xml><?xml version="1.0" encoding="utf-8"?>
<ds:datastoreItem xmlns:ds="http://schemas.openxmlformats.org/officeDocument/2006/customXml" ds:itemID="{3A3C3A8D-C5E4-45AF-8B48-C3BF528808AD}">
  <ds:schemaRefs/>
</ds:datastoreItem>
</file>

<file path=customXml/itemProps14.xml><?xml version="1.0" encoding="utf-8"?>
<ds:datastoreItem xmlns:ds="http://schemas.openxmlformats.org/officeDocument/2006/customXml" ds:itemID="{CF487381-D648-48A1-B1E4-A4540B0D3650}">
  <ds:schemaRefs/>
</ds:datastoreItem>
</file>

<file path=customXml/itemProps15.xml><?xml version="1.0" encoding="utf-8"?>
<ds:datastoreItem xmlns:ds="http://schemas.openxmlformats.org/officeDocument/2006/customXml" ds:itemID="{BEEE0313-55EB-45FA-BBBD-C0232D367255}">
  <ds:schemaRefs/>
</ds:datastoreItem>
</file>

<file path=customXml/itemProps16.xml><?xml version="1.0" encoding="utf-8"?>
<ds:datastoreItem xmlns:ds="http://schemas.openxmlformats.org/officeDocument/2006/customXml" ds:itemID="{1A3BDF38-4832-4575-A8AB-7A1679738229}">
  <ds:schemaRefs/>
</ds:datastoreItem>
</file>

<file path=customXml/itemProps17.xml><?xml version="1.0" encoding="utf-8"?>
<ds:datastoreItem xmlns:ds="http://schemas.openxmlformats.org/officeDocument/2006/customXml" ds:itemID="{EC45DDBE-A426-47CA-BC62-D025DE29F1BC}">
  <ds:schemaRefs/>
</ds:datastoreItem>
</file>

<file path=customXml/itemProps18.xml><?xml version="1.0" encoding="utf-8"?>
<ds:datastoreItem xmlns:ds="http://schemas.openxmlformats.org/officeDocument/2006/customXml" ds:itemID="{AC86F3EB-DB57-4B60-8A7E-BBB67A22EE0B}">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0A7AA9EF-3B8C-4BAA-9155-A6E3E5337D3C}">
  <ds:schemaRefs/>
</ds:datastoreItem>
</file>

<file path=customXml/itemProps4.xml><?xml version="1.0" encoding="utf-8"?>
<ds:datastoreItem xmlns:ds="http://schemas.openxmlformats.org/officeDocument/2006/customXml" ds:itemID="{A06CD169-7F5C-4082-81B2-6ECAA9AF6149}">
  <ds:schemaRefs/>
</ds:datastoreItem>
</file>

<file path=customXml/itemProps5.xml><?xml version="1.0" encoding="utf-8"?>
<ds:datastoreItem xmlns:ds="http://schemas.openxmlformats.org/officeDocument/2006/customXml" ds:itemID="{E6D3D55C-3DD8-4C31-8069-E5508DD844FB}">
  <ds:schemaRefs/>
</ds:datastoreItem>
</file>

<file path=customXml/itemProps6.xml><?xml version="1.0" encoding="utf-8"?>
<ds:datastoreItem xmlns:ds="http://schemas.openxmlformats.org/officeDocument/2006/customXml" ds:itemID="{7E5C9D84-6DB6-48FB-8632-D5279FC233C8}">
  <ds:schemaRefs/>
</ds:datastoreItem>
</file>

<file path=customXml/itemProps7.xml><?xml version="1.0" encoding="utf-8"?>
<ds:datastoreItem xmlns:ds="http://schemas.openxmlformats.org/officeDocument/2006/customXml" ds:itemID="{509BA638-9D3A-4AA3-A169-FF78BC0E4BE9}">
  <ds:schemaRefs/>
</ds:datastoreItem>
</file>

<file path=customXml/itemProps8.xml><?xml version="1.0" encoding="utf-8"?>
<ds:datastoreItem xmlns:ds="http://schemas.openxmlformats.org/officeDocument/2006/customXml" ds:itemID="{79B37214-9E52-4241-8DD2-9E9CD9442006}">
  <ds:schemaRefs/>
</ds:datastoreItem>
</file>

<file path=customXml/itemProps9.xml><?xml version="1.0" encoding="utf-8"?>
<ds:datastoreItem xmlns:ds="http://schemas.openxmlformats.org/officeDocument/2006/customXml" ds:itemID="{1990A2D8-324F-45D5-B9CD-07245ED2860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3582</Words>
  <Characters>20419</Characters>
  <Lines>170</Lines>
  <Paragraphs>47</Paragraphs>
  <TotalTime>53</TotalTime>
  <ScaleCrop>false</ScaleCrop>
  <LinksUpToDate>false</LinksUpToDate>
  <CharactersWithSpaces>23954</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cib</cp:lastModifiedBy>
  <cp:lastPrinted>2020-09-21T06:35:00Z</cp:lastPrinted>
  <dcterms:modified xsi:type="dcterms:W3CDTF">2023-08-15T04:29:33Z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