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bookmarkStart w:id="0" w:name="_GoBack"/>
      <w:bookmarkEnd w:id="0"/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季添益1910期（TYG3M1910）</w:t>
      </w:r>
    </w:p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业绩比较基准及开放期公告</w:t>
      </w: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尊敬的投资者：</w:t>
      </w:r>
    </w:p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根据市场情况及产品投资的资产组合收益变动情况，季添益1910期（产品编号：TYG3M1910）下一运行周期（2023-11-15至2024-2-20）的业绩比较基准如下：</w:t>
      </w:r>
    </w:p>
    <w:tbl>
      <w:tblPr>
        <w:tblStyle w:val="8"/>
        <w:tblW w:w="85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8"/>
        <w:gridCol w:w="4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TYG3M1910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2.65%-3.50%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8"/>
        <w:tblW w:w="85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3005"/>
        <w:gridCol w:w="2152"/>
        <w:gridCol w:w="18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序号</w:t>
            </w:r>
          </w:p>
        </w:tc>
        <w:tc>
          <w:tcPr>
            <w:tcW w:w="300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2152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本周期</w:t>
            </w:r>
          </w:p>
        </w:tc>
        <w:tc>
          <w:tcPr>
            <w:tcW w:w="300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2023-11-8 9:00至 2023-11-14 17:00</w:t>
            </w:r>
          </w:p>
        </w:tc>
        <w:tc>
          <w:tcPr>
            <w:tcW w:w="2152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2023-11-15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下一周期</w:t>
            </w:r>
          </w:p>
        </w:tc>
        <w:tc>
          <w:tcPr>
            <w:tcW w:w="300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2024-2-7 9:00至2024-2-20 17:00</w:t>
            </w:r>
          </w:p>
        </w:tc>
        <w:tc>
          <w:tcPr>
            <w:tcW w:w="2152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2024-2-21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</w:tbl>
    <w:p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</w:p>
    <w:p>
      <w:pPr>
        <w:widowControl/>
        <w:spacing w:line="360" w:lineRule="auto"/>
        <w:jc w:val="left"/>
        <w:rPr>
          <w:rFonts w:ascii="宋体" w:hAnsi="宋体" w:cs="宋体"/>
          <w:color w:val="333333"/>
          <w:kern w:val="0"/>
          <w:sz w:val="27"/>
          <w:szCs w:val="27"/>
        </w:rPr>
      </w:pPr>
      <w:r>
        <w:rPr>
          <w:rFonts w:hint="eastAsia" w:ascii="宋体" w:hAnsi="宋体" w:cs="宋体"/>
          <w:kern w:val="0"/>
          <w:szCs w:val="21"/>
        </w:rPr>
        <w:t>注：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hint="eastAsia" w:ascii="微软雅黑" w:hAnsi="微软雅黑" w:cs="宋体"/>
          <w:color w:val="333333"/>
          <w:kern w:val="0"/>
          <w:sz w:val="24"/>
        </w:rPr>
        <w:t>                         杭银理财有限责任公司</w:t>
      </w:r>
    </w:p>
    <w:p>
      <w:pPr>
        <w:widowControl/>
        <w:jc w:val="right"/>
      </w:pPr>
      <w:r>
        <w:rPr>
          <w:rFonts w:hint="eastAsia" w:ascii="宋体" w:hAnsi="宋体" w:cs="宋体"/>
          <w:color w:val="333333"/>
          <w:kern w:val="0"/>
          <w:sz w:val="24"/>
        </w:rPr>
        <w:t>                         </w:t>
      </w:r>
      <w:r>
        <w:rPr>
          <w:rFonts w:ascii="宋体" w:hAnsi="宋体" w:eastAsia="宋体" w:cs="宋体"/>
          <w:color w:val="333333"/>
          <w:sz w:val="24"/>
        </w:rPr>
        <w:t>2023年10月3</w:t>
      </w:r>
      <w:r>
        <w:rPr>
          <w:rFonts w:hint="eastAsia" w:ascii="宋体" w:hAnsi="宋体" w:eastAsia="宋体" w:cs="宋体"/>
          <w:color w:val="333333"/>
          <w:sz w:val="24"/>
          <w:lang w:val="en-US" w:eastAsia="zh-CN"/>
        </w:rPr>
        <w:t>1</w:t>
      </w:r>
      <w:r>
        <w:rPr>
          <w:rFonts w:ascii="宋体" w:hAnsi="宋体" w:eastAsia="宋体" w:cs="宋体"/>
          <w:color w:val="333333"/>
          <w:sz w:val="24"/>
        </w:rPr>
        <w:t>日</w:t>
      </w:r>
    </w:p>
    <w:sectPr>
      <w:headerReference r:id="rId3" w:type="default"/>
      <w:pgSz w:w="11906" w:h="16838"/>
      <w:pgMar w:top="2551" w:right="1803" w:bottom="2551" w:left="1803" w:header="851" w:footer="992" w:gutter="0"/>
      <w:cols w:space="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hideSpellingErrors/>
  <w:hideGrammaticalErrors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00000000"/>
    <w:rsid w:val="0C574C87"/>
    <w:rsid w:val="2CF75589"/>
    <w:rsid w:val="59732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 w:eastAsia="宋体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 w:eastAsia="宋体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 w:eastAsia="宋体"/>
      <w:b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90</Words>
  <Characters>516</Characters>
  <Lines>4</Lines>
  <Paragraphs>1</Paragraphs>
  <TotalTime>168</TotalTime>
  <ScaleCrop>false</ScaleCrop>
  <LinksUpToDate>false</LinksUpToDate>
  <CharactersWithSpaces>605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2022-08-17T14:47:00Z</dcterms:created>
  <dc:creator>Administrator</dc:creator>
  <cp:lastModifiedBy>hccb</cp:lastModifiedBy>
  <dcterms:modified xsi:type="dcterms:W3CDTF">2023-10-31T07:17:55Z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