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B927B2" w:rsidRPr="001D621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9050E9" w:rsidRPr="00B7717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9050E9" w:rsidRDefault="009050E9" w:rsidP="00B74002">
      <w:pPr>
        <w:ind w:firstLineChars="200" w:firstLine="360"/>
        <w:rPr>
          <w:rFonts w:ascii="宋体" w:hAnsi="宋体"/>
          <w:sz w:val="18"/>
          <w:szCs w:val="18"/>
        </w:rPr>
      </w:pPr>
      <w:r w:rsidRPr="00B77174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9050E9">
      <w:pPr>
        <w:ind w:firstLineChars="200" w:firstLine="360"/>
        <w:rPr>
          <w:rFonts w:ascii="宋体" w:hAnsi="宋体"/>
          <w:sz w:val="18"/>
          <w:szCs w:val="18"/>
        </w:rPr>
      </w:pPr>
      <w:r w:rsidRPr="00B77174">
        <w:rPr>
          <w:rFonts w:ascii="宋体" w:hAnsi="宋体" w:hint="eastAsia"/>
          <w:sz w:val="18"/>
          <w:szCs w:val="18"/>
        </w:rPr>
        <w:t>浙江嵊州农村商业银行股份有限公司门户网站：【www.zjszbank.com】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B927B2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F52E83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F52E83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9050E9" w:rsidRPr="009050E9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050E9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927B2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52E83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E8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F52E83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F52E83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F52E8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F52E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52E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F52E8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F52E83"/>
    <w:rPr>
      <w:b/>
      <w:bCs/>
    </w:rPr>
  </w:style>
  <w:style w:type="character" w:styleId="a8">
    <w:name w:val="Strong"/>
    <w:uiPriority w:val="22"/>
    <w:qFormat/>
    <w:rsid w:val="00F52E83"/>
    <w:rPr>
      <w:b/>
      <w:bCs/>
    </w:rPr>
  </w:style>
  <w:style w:type="character" w:styleId="a9">
    <w:name w:val="annotation reference"/>
    <w:qFormat/>
    <w:rsid w:val="00F52E83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F52E83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F52E83"/>
    <w:rPr>
      <w:sz w:val="18"/>
      <w:szCs w:val="18"/>
    </w:rPr>
  </w:style>
  <w:style w:type="paragraph" w:customStyle="1" w:styleId="Default">
    <w:name w:val="Default"/>
    <w:qFormat/>
    <w:rsid w:val="00F52E83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F52E83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F52E83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F52E83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F52E83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F52E8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F52E83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F52E83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2024-02-03T05:57:00Z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