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季添益1904期</w:t>
      </w:r>
      <w:r>
        <w:rPr>
          <w:rFonts w:ascii="微软雅黑" w:eastAsia="微软雅黑" w:hAnsi="微软雅黑" w:cs="微软雅黑"/>
          <w:b/>
          <w:color w:val="004EA2"/>
          <w:sz w:val="27"/>
        </w:rPr>
        <w:t>（</w:t>
      </w:r>
      <w:r>
        <w:rPr>
          <w:rFonts w:ascii="微软雅黑" w:eastAsia="微软雅黑" w:hAnsi="微软雅黑" w:cs="微软雅黑"/>
          <w:b/>
          <w:color w:val="004EA2"/>
          <w:sz w:val="27"/>
        </w:rPr>
        <w:t>TYG3M1904</w:t>
      </w:r>
      <w:r>
        <w:rPr>
          <w:rFonts w:ascii="微软雅黑" w:eastAsia="微软雅黑" w:hAnsi="微软雅黑" w:cs="微软雅黑"/>
          <w:b/>
          <w:color w:val="004EA2"/>
          <w:sz w:val="27"/>
        </w:rPr>
        <w:t>）</w:t>
      </w:r>
    </w:p>
    <w:p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季添益1904期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TYG3M1904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2024-7-17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2024-10-22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8"/>
        <w:gridCol w:w="4258"/>
      </w:tblGrid>
      <w:tr>
        <w:tblPrEx>
          <w:tblW w:w="8516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TYG3M1904</w:t>
            </w:r>
          </w:p>
        </w:tc>
        <w:tc>
          <w:tcPr>
            <w:tcW w:w="4258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2.30%-3.50%</w:t>
            </w:r>
          </w:p>
        </w:tc>
      </w:tr>
    </w:tbl>
    <w:p>
      <w:pPr>
        <w:widowControl/>
        <w:tabs>
          <w:tab w:val="left" w:pos="2930"/>
        </w:tabs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58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3141"/>
        <w:gridCol w:w="2016"/>
        <w:gridCol w:w="1897"/>
      </w:tblGrid>
      <w:tr>
        <w:tblPrEx>
          <w:tblW w:w="8580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序号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3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本周期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2024-7-10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2024-7-16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2024-7-17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>
        <w:tblPrEx>
          <w:tblW w:w="8580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/>
        </w:trPr>
        <w:tc>
          <w:tcPr>
            <w:tcW w:w="152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下一周期</w:t>
            </w:r>
          </w:p>
        </w:tc>
        <w:tc>
          <w:tcPr>
            <w:tcW w:w="3141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2024-10-16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2024-10-22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2016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2024-10-23</w:t>
            </w:r>
          </w:p>
        </w:tc>
        <w:tc>
          <w:tcPr>
            <w:tcW w:w="1897" w:type="dxa"/>
          </w:tcPr>
          <w:p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>
      <w:pPr>
        <w:widowControl/>
        <w:spacing w:line="360" w:lineRule="auto"/>
        <w:jc w:val="left"/>
        <w:rPr>
          <w:rFonts w:ascii="宋体" w:hAnsi="宋体" w:cs="宋体"/>
          <w:kern w:val="0"/>
          <w:sz w:val="24"/>
        </w:rPr>
      </w:pPr>
    </w:p>
    <w:p>
      <w:pPr>
        <w:widowControl/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eastAsiaTheme="minorEastAsia" w:cs="宋体" w:hint="default"/>
          <w:kern w:val="0"/>
          <w:szCs w:val="21"/>
          <w:lang w:val="en-US" w:eastAsia="zh-CN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如法定节假日调整，管理人将对公告中的日期做出相应调整，以管理人最新公告为准。</w:t>
      </w:r>
    </w:p>
    <w:p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 w:hint="eastAsia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  <w:lang w:val="en-US" w:eastAsia="zh-CN"/>
        </w:rPr>
        <w:t>开放时间具体安排以销售机构规定为准。</w:t>
      </w:r>
      <w:bookmarkStart w:id="0" w:name="_GoBack"/>
      <w:bookmarkEnd w:id="0"/>
    </w:p>
    <w:p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杭银理财有限责任公司</w:t>
      </w:r>
    </w:p>
    <w:p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2024年7月1日</w:t>
      </w:r>
    </w:p>
    <w:sectPr>
      <w:headerReference w:type="default" r:id="rId5"/>
      <w:pgSz w:w="11906" w:h="16838"/>
      <w:pgMar w:top="2551" w:right="1803" w:bottom="2551" w:left="1803" w:header="851" w:footer="992" w:gutter="0"/>
      <w:cols w:num="1" w:space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</w:pPr>
    <w: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C1AA571"/>
    <w:multiLevelType w:val="singleLevel"/>
    <w:tmpl w:val="7C1AA57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uiPriority="0" w:unhideWhenUsed="0"/>
    <w:lsdException w:name="Table Grid" w:semiHidden="0" w:uiPriority="0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90</Words>
  <Characters>516</Characters>
  <Application>Microsoft Office Word</Application>
  <DocSecurity>0</DocSecurity>
  <Lines>4</Lines>
  <Paragraphs>1</Paragraphs>
  <ScaleCrop>false</ScaleCrop>
  <Company/>
  <LinksUpToDate>false</LinksUpToDate>
  <CharactersWithSpaces>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未定义</cp:lastModifiedBy>
  <cp:revision>10</cp:revision>
  <dcterms:created xsi:type="dcterms:W3CDTF">2022-08-17T14:47:00Z</dcterms:created>
  <dcterms:modified xsi:type="dcterms:W3CDTF">2023-12-21T02:03:36Z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