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  <w:lang w:val="en-US" w:eastAsia="zh-CN"/>
        </w:rPr>
        <w:t>杭银理财幸福99添益(安享优选)28天持有期理财</w:t>
      </w:r>
      <w:r>
        <w:rPr>
          <w:rFonts w:ascii="微软雅黑" w:hAnsi="微软雅黑" w:eastAsia="微软雅黑" w:cs="微软雅黑"/>
          <w:b/>
          <w:color w:val="004EA2"/>
          <w:sz w:val="27"/>
        </w:rPr>
        <w:t>（</w:t>
      </w:r>
      <w:r>
        <w:rPr>
          <w:rFonts w:hint="eastAsia" w:ascii="微软雅黑" w:hAnsi="微软雅黑" w:eastAsia="微软雅黑" w:cs="微软雅黑"/>
          <w:b/>
          <w:color w:val="004EA2"/>
          <w:sz w:val="27"/>
          <w:lang w:val="en-US" w:eastAsia="zh-CN"/>
        </w:rPr>
        <w:t>TY</w:t>
      </w:r>
      <w:r>
        <w:rPr>
          <w:rFonts w:ascii="微软雅黑" w:hAnsi="微软雅黑" w:eastAsia="微软雅黑" w:cs="微软雅黑"/>
          <w:b/>
          <w:color w:val="004EA2"/>
          <w:sz w:val="27"/>
        </w:rPr>
        <w:t>G</w:t>
      </w:r>
      <w:r>
        <w:rPr>
          <w:rFonts w:hint="eastAsia" w:ascii="微软雅黑" w:hAnsi="微软雅黑" w:eastAsia="微软雅黑" w:cs="微软雅黑"/>
          <w:b/>
          <w:color w:val="004EA2"/>
          <w:sz w:val="27"/>
          <w:lang w:val="en-US" w:eastAsia="zh-CN"/>
        </w:rPr>
        <w:t>C28D24</w:t>
      </w:r>
      <w:r>
        <w:rPr>
          <w:rFonts w:ascii="微软雅黑" w:hAnsi="微软雅黑" w:eastAsia="微软雅黑" w:cs="微软雅黑"/>
          <w:b/>
          <w:color w:val="004EA2"/>
          <w:sz w:val="27"/>
        </w:rPr>
        <w:t>0</w:t>
      </w:r>
      <w:r>
        <w:rPr>
          <w:rFonts w:hint="eastAsia" w:ascii="微软雅黑" w:hAnsi="微软雅黑" w:eastAsia="微软雅黑" w:cs="微软雅黑"/>
          <w:b/>
          <w:color w:val="004EA2"/>
          <w:sz w:val="27"/>
          <w:lang w:val="en-US" w:eastAsia="zh-CN"/>
        </w:rPr>
        <w:t>1</w:t>
      </w:r>
      <w:r>
        <w:rPr>
          <w:rFonts w:ascii="微软雅黑" w:hAnsi="微软雅黑" w:eastAsia="微软雅黑" w:cs="微软雅黑"/>
          <w:b/>
          <w:color w:val="004EA2"/>
          <w:sz w:val="27"/>
        </w:rPr>
        <w:t>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1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</w:t>
      </w: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  <w:lang w:val="en-US" w:eastAsia="zh-CN"/>
        </w:rPr>
        <w:t>调整</w:t>
      </w: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keepNext w:val="0"/>
        <w:keepLines w:val="0"/>
        <w:pageBreakBefore w:val="0"/>
        <w:widowControl/>
        <w:tabs>
          <w:tab w:val="left" w:pos="2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ind w:firstLine="480" w:firstLineChars="200"/>
        <w:jc w:val="left"/>
        <w:textAlignment w:val="auto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根据市场情况及产品投资的资产组合收益变动情况，杭银理财幸福99添益(安享优选)28天持有期理财</w:t>
      </w:r>
      <w:r>
        <w:rPr>
          <w:rFonts w:ascii="宋体" w:hAnsi="宋体" w:eastAsia="宋体" w:cs="宋体"/>
          <w:color w:val="333333"/>
          <w:sz w:val="24"/>
        </w:rPr>
        <w:t>（产品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代</w:t>
      </w:r>
      <w:r>
        <w:rPr>
          <w:rFonts w:ascii="宋体" w:hAnsi="宋体" w:eastAsia="宋体" w:cs="宋体"/>
          <w:color w:val="333333"/>
          <w:sz w:val="24"/>
        </w:rPr>
        <w:t>号：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TY</w:t>
      </w:r>
      <w:r>
        <w:rPr>
          <w:rFonts w:ascii="宋体" w:hAnsi="宋体" w:eastAsia="宋体" w:cs="宋体"/>
          <w:color w:val="333333"/>
          <w:sz w:val="24"/>
        </w:rPr>
        <w:t>G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C28D2401</w:t>
      </w:r>
      <w:r>
        <w:rPr>
          <w:rFonts w:ascii="宋体" w:hAnsi="宋体" w:eastAsia="宋体" w:cs="宋体"/>
          <w:color w:val="333333"/>
          <w:sz w:val="24"/>
        </w:rPr>
        <w:t>）的业绩比较基准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自2024年7月11日开始将进行</w:t>
      </w:r>
      <w:r>
        <w:rPr>
          <w:rFonts w:ascii="宋体" w:hAnsi="宋体" w:eastAsia="宋体" w:cs="宋体"/>
          <w:color w:val="333333"/>
          <w:sz w:val="24"/>
        </w:rPr>
        <w:t>如下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调整</w:t>
      </w:r>
      <w:r>
        <w:rPr>
          <w:rFonts w:ascii="宋体" w:hAnsi="宋体" w:eastAsia="宋体" w:cs="宋体"/>
          <w:color w:val="333333"/>
          <w:sz w:val="24"/>
        </w:rPr>
        <w:t>：</w:t>
      </w:r>
    </w:p>
    <w:tbl>
      <w:tblPr>
        <w:tblStyle w:val="8"/>
        <w:tblW w:w="85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3"/>
        <w:gridCol w:w="2843"/>
        <w:gridCol w:w="2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调整前</w:t>
            </w:r>
          </w:p>
        </w:tc>
        <w:tc>
          <w:tcPr>
            <w:tcW w:w="2831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调整后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default" w:ascii="宋体" w:hAnsi="宋体" w:cs="宋体" w:eastAsiaTheme="minorEastAsia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lang w:val="en-US" w:eastAsia="zh-CN"/>
              </w:rPr>
              <w:t>TY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G</w:t>
            </w:r>
            <w:r>
              <w:rPr>
                <w:rFonts w:hint="eastAsia" w:ascii="宋体" w:hAnsi="宋体" w:eastAsia="宋体" w:cs="宋体"/>
                <w:color w:val="333333"/>
                <w:sz w:val="24"/>
                <w:lang w:val="en-US" w:eastAsia="zh-CN"/>
              </w:rPr>
              <w:t>C28D2401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B</w:t>
            </w:r>
          </w:p>
        </w:tc>
        <w:tc>
          <w:tcPr>
            <w:tcW w:w="2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2.45%-4.00%</w:t>
            </w:r>
          </w:p>
        </w:tc>
        <w:tc>
          <w:tcPr>
            <w:tcW w:w="2831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2.35%-3.90%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lang w:val="en-US" w:eastAsia="zh-CN"/>
              </w:rPr>
              <w:t>TY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G</w:t>
            </w:r>
            <w:r>
              <w:rPr>
                <w:rFonts w:hint="eastAsia" w:ascii="宋体" w:hAnsi="宋体" w:eastAsia="宋体" w:cs="宋体"/>
                <w:color w:val="333333"/>
                <w:sz w:val="24"/>
                <w:lang w:val="en-US" w:eastAsia="zh-CN"/>
              </w:rPr>
              <w:t>C28D2401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C</w:t>
            </w:r>
          </w:p>
        </w:tc>
        <w:tc>
          <w:tcPr>
            <w:tcW w:w="2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50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%-4.0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</w:t>
            </w:r>
          </w:p>
        </w:tc>
        <w:tc>
          <w:tcPr>
            <w:tcW w:w="2831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2.40%-3.95%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default" w:ascii="宋体" w:hAnsi="宋体" w:cs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lang w:val="en-US" w:eastAsia="zh-CN"/>
              </w:rPr>
              <w:t>TY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G</w:t>
            </w:r>
            <w:r>
              <w:rPr>
                <w:rFonts w:hint="eastAsia" w:ascii="宋体" w:hAnsi="宋体" w:eastAsia="宋体" w:cs="宋体"/>
                <w:color w:val="333333"/>
                <w:sz w:val="24"/>
                <w:lang w:val="en-US" w:eastAsia="zh-CN"/>
              </w:rPr>
              <w:t>C28D2401D</w:t>
            </w:r>
          </w:p>
        </w:tc>
        <w:tc>
          <w:tcPr>
            <w:tcW w:w="2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2.45%-4.00%</w:t>
            </w:r>
          </w:p>
        </w:tc>
        <w:tc>
          <w:tcPr>
            <w:tcW w:w="2831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2.35%-3.90%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default" w:ascii="宋体" w:hAnsi="宋体" w:eastAsia="宋体" w:cs="宋体"/>
                <w:color w:val="333333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lang w:val="en-US" w:eastAsia="zh-CN"/>
              </w:rPr>
              <w:t>TY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G</w:t>
            </w:r>
            <w:r>
              <w:rPr>
                <w:rFonts w:hint="eastAsia" w:ascii="宋体" w:hAnsi="宋体" w:eastAsia="宋体" w:cs="宋体"/>
                <w:color w:val="333333"/>
                <w:sz w:val="24"/>
                <w:lang w:val="en-US" w:eastAsia="zh-CN"/>
              </w:rPr>
              <w:t>C28D2401E</w:t>
            </w:r>
          </w:p>
        </w:tc>
        <w:tc>
          <w:tcPr>
            <w:tcW w:w="2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55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%-4.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0%</w:t>
            </w:r>
          </w:p>
        </w:tc>
        <w:tc>
          <w:tcPr>
            <w:tcW w:w="2831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2.45%-4.00%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cs="宋体" w:eastAsiaTheme="minorEastAsia"/>
          <w:b w:val="0"/>
          <w:bCs w:val="0"/>
          <w:i w:val="0"/>
          <w:iCs w:val="0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sz w:val="21"/>
          <w:szCs w:val="21"/>
          <w:highlight w:val="none"/>
        </w:rPr>
        <w:t>业绩基准测算依据：</w:t>
      </w:r>
      <w:r>
        <w:rPr>
          <w:rFonts w:hint="eastAsia" w:ascii="宋体" w:hAnsi="宋体" w:cs="宋体"/>
          <w:b w:val="0"/>
          <w:bCs w:val="0"/>
          <w:sz w:val="21"/>
          <w:szCs w:val="21"/>
          <w:highlight w:val="none"/>
        </w:rPr>
        <w:t>本理财计划</w:t>
      </w:r>
      <w:r>
        <w:rPr>
          <w:rFonts w:hint="eastAsia" w:ascii="宋体" w:hAnsi="宋体" w:cs="宋体"/>
          <w:b w:val="0"/>
          <w:bCs w:val="0"/>
          <w:sz w:val="21"/>
          <w:szCs w:val="21"/>
          <w:highlight w:val="none"/>
          <w:lang w:val="en-US" w:eastAsia="zh-CN"/>
        </w:rPr>
        <w:t>重点</w:t>
      </w:r>
      <w:r>
        <w:rPr>
          <w:rFonts w:hint="eastAsia" w:ascii="宋体" w:hAnsi="宋体" w:cs="宋体"/>
          <w:b w:val="0"/>
          <w:bCs w:val="0"/>
          <w:sz w:val="21"/>
          <w:szCs w:val="21"/>
          <w:highlight w:val="none"/>
        </w:rPr>
        <w:t>投资于</w:t>
      </w:r>
      <w:r>
        <w:rPr>
          <w:rFonts w:hint="eastAsia" w:ascii="宋体" w:hAnsi="宋体" w:cs="宋体"/>
          <w:b w:val="0"/>
          <w:bCs w:val="0"/>
          <w:sz w:val="21"/>
          <w:szCs w:val="21"/>
          <w:highlight w:val="none"/>
          <w:lang w:val="en-US" w:eastAsia="zh-CN"/>
        </w:rPr>
        <w:t>同业存单、存款、信用债等资产，根据当前市场环境，拟投资产收益率在2.3%-3.8%左右，同时根据流动性管理需要和监管要求配置不低于5%的高流动性资产。综合来看，扣除相关税费成本后，B、D份额业绩比较基准的中枢预计在2.6%左右，C份额业绩比较基准的中枢预计在2.65%左右、E份额业绩比较基准的中枢预计在2.7%左右</w:t>
      </w:r>
      <w:r>
        <w:rPr>
          <w:rFonts w:hint="eastAsia" w:ascii="宋体" w:hAnsi="宋体" w:cs="宋体"/>
          <w:b w:val="0"/>
          <w:bCs w:val="0"/>
          <w:i w:val="0"/>
          <w:iCs w:val="0"/>
          <w:sz w:val="21"/>
          <w:szCs w:val="21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tabs>
          <w:tab w:val="left" w:pos="2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ind w:firstLine="480" w:firstLineChars="200"/>
        <w:jc w:val="left"/>
        <w:textAlignment w:val="auto"/>
        <w:rPr>
          <w:rFonts w:hint="default" w:ascii="宋体" w:hAnsi="宋体" w:cs="宋体" w:eastAsiaTheme="minorEastAsia"/>
          <w:color w:val="333333"/>
          <w:kern w:val="0"/>
          <w:sz w:val="24"/>
          <w:lang w:val="en-US" w:eastAsia="zh-CN"/>
        </w:rPr>
      </w:pPr>
      <w:r>
        <w:rPr>
          <w:rFonts w:hint="eastAsia" w:ascii="宋体" w:hAnsi="宋体" w:cs="宋体"/>
          <w:color w:val="333333"/>
          <w:kern w:val="0"/>
          <w:sz w:val="24"/>
          <w:lang w:val="en-US" w:eastAsia="zh-CN"/>
        </w:rPr>
        <w:t>若您不同意本次调整，请及时于开放期内申请赎回。感谢您一直以来对杭银理财的支持，敬请继续关注杭银理财的理财产品。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7</w:t>
      </w:r>
      <w:r>
        <w:rPr>
          <w:rFonts w:ascii="宋体" w:hAnsi="宋体" w:eastAsia="宋体" w:cs="宋体"/>
          <w:color w:val="333333"/>
          <w:sz w:val="24"/>
        </w:rPr>
        <w:t>月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4</w:t>
      </w:r>
      <w:bookmarkStart w:id="0" w:name="_GoBack"/>
      <w:bookmarkEnd w:id="0"/>
      <w:r>
        <w:rPr>
          <w:rFonts w:ascii="宋体" w:hAnsi="宋体" w:eastAsia="宋体" w:cs="宋体"/>
          <w:color w:val="333333"/>
          <w:sz w:val="24"/>
        </w:rPr>
        <w:t>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bordersDoNotSurroundHeader w:val="0"/>
  <w:bordersDoNotSurroundFooter w:val="0"/>
  <w:hideSpellingErrors/>
  <w:hideGrammaticalErrors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0BC64809"/>
    <w:rsid w:val="1D4568D6"/>
    <w:rsid w:val="203A2CE0"/>
    <w:rsid w:val="20700143"/>
    <w:rsid w:val="3B2A42C8"/>
    <w:rsid w:val="441D67B3"/>
    <w:rsid w:val="45972AE6"/>
    <w:rsid w:val="50651D3E"/>
    <w:rsid w:val="556B4BBD"/>
    <w:rsid w:val="5C305B2F"/>
    <w:rsid w:val="5E0A6696"/>
    <w:rsid w:val="677B2596"/>
    <w:rsid w:val="69856734"/>
    <w:rsid w:val="6B676F46"/>
    <w:rsid w:val="77967BC8"/>
    <w:rsid w:val="7FD5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2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高玉锦</cp:lastModifiedBy>
  <dcterms:modified xsi:type="dcterms:W3CDTF">2024-06-28T08:43:37Z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