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兴银理财</w:t>
      </w:r>
      <w:permStart w:id="0" w:edGrp="everyone"/>
      <w:r>
        <w:rPr>
          <w:rStyle w:val="a8"/>
          <w:rFonts w:ascii="黑体" w:eastAsia="黑体" w:hAnsi="黑体" w:hint="eastAsia"/>
          <w:sz w:val="28"/>
          <w:szCs w:val="28"/>
        </w:rPr>
        <w:t>【</w:t>
      </w:r>
      <w:r w:rsidR="009852FF" w:rsidRPr="009852FF">
        <w:rPr>
          <w:rStyle w:val="a8"/>
          <w:rFonts w:ascii="黑体" w:eastAsia="黑体" w:hAnsi="黑体" w:hint="eastAsia"/>
          <w:sz w:val="28"/>
          <w:szCs w:val="28"/>
        </w:rPr>
        <w:t>稳利丰收封闭式固收类</w:t>
      </w:r>
      <w:r>
        <w:rPr>
          <w:rStyle w:val="a8"/>
          <w:rFonts w:ascii="黑体" w:eastAsia="黑体" w:hAnsi="黑体" w:hint="eastAsia"/>
          <w:sz w:val="28"/>
          <w:szCs w:val="28"/>
        </w:rPr>
        <w:t>】</w:t>
      </w:r>
      <w:permEnd w:id="0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544D70" w:rsidRDefault="000C745E">
      <w:pPr>
        <w:pStyle w:val="Defaul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（适用于个人投资者）</w:t>
      </w:r>
    </w:p>
    <w:p w:rsidR="00544D70" w:rsidRDefault="000C745E">
      <w:pPr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1" w:edGrp="everyone"/>
      <w:r>
        <w:rPr>
          <w:rFonts w:ascii="宋体" w:hAnsi="宋体" w:hint="eastAsia"/>
          <w:sz w:val="18"/>
          <w:szCs w:val="18"/>
        </w:rPr>
        <w:t>【</w:t>
      </w:r>
      <w:r w:rsidR="000147EB" w:rsidRPr="000147EB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  <w:permEnd w:id="1"/>
      <w:r>
        <w:rPr>
          <w:rFonts w:ascii="宋体" w:hAnsi="宋体" w:hint="eastAsia"/>
          <w:sz w:val="18"/>
          <w:szCs w:val="18"/>
        </w:rPr>
        <w:t>以(</w:t>
      </w:r>
      <w:permStart w:id="2" w:edGrp="everyone"/>
      <w:r>
        <w:rPr>
          <w:rFonts w:ascii="宋体" w:hAnsi="宋体" w:hint="eastAsia"/>
          <w:sz w:val="18"/>
          <w:szCs w:val="18"/>
        </w:rPr>
        <w:t>□ 直销：产品管理人销售/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■</w:t>
      </w:r>
      <w:r>
        <w:rPr>
          <w:rFonts w:ascii="宋体" w:hAnsi="宋体" w:hint="eastAsia"/>
          <w:sz w:val="18"/>
          <w:szCs w:val="18"/>
        </w:rPr>
        <w:t xml:space="preserve"> 代销：代理销售机构销售</w:t>
      </w:r>
      <w:permEnd w:id="2"/>
      <w:r>
        <w:rPr>
          <w:rFonts w:ascii="宋体" w:hAnsi="宋体" w:hint="eastAsia"/>
          <w:sz w:val="18"/>
          <w:szCs w:val="18"/>
        </w:rPr>
        <w:t>)的形式购买兴银理财有限责任公司（以下简称“兴银理财”）作为产品管理人管理的理财产品。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544D70" w:rsidRDefault="00544D70">
      <w:pPr>
        <w:ind w:firstLineChars="200" w:firstLine="360"/>
        <w:rPr>
          <w:rFonts w:ascii="宋体" w:hAnsi="宋体"/>
          <w:sz w:val="18"/>
          <w:szCs w:val="18"/>
        </w:rPr>
      </w:pP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.您购买理财产品前，应确保已完成风险承受能力评估且风险评估结果在有效期内，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黑体" w:eastAsia="黑体" w:hAnsi="黑体" w:hint="eastAsia"/>
          <w:b/>
          <w:sz w:val="18"/>
          <w:szCs w:val="18"/>
        </w:rPr>
        <w:t>如影响您风险承受能力的因素发生变化，请您及时重新完成风险承受能力评估。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 xml:space="preserve">. 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投资者风险承受能力，个人投资者由低至高分为</w:t>
      </w:r>
      <w:permStart w:id="3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C1、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>C2、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C3、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C4、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C5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、□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6</w:t>
      </w:r>
      <w:r>
        <w:rPr>
          <w:rFonts w:ascii="宋体" w:hAnsi="宋体" w:hint="eastAsia"/>
          <w:sz w:val="18"/>
          <w:szCs w:val="18"/>
        </w:rPr>
        <w:t>】</w:t>
      </w:r>
      <w:permEnd w:id="3"/>
      <w:r>
        <w:rPr>
          <w:rFonts w:ascii="宋体" w:hAnsi="宋体"/>
          <w:sz w:val="18"/>
          <w:szCs w:val="18"/>
        </w:rPr>
        <w:t>。其中，</w:t>
      </w:r>
      <w:permStart w:id="4" w:edGrp="everyone"/>
      <w:r>
        <w:rPr>
          <w:rFonts w:ascii="宋体" w:hAnsi="宋体" w:hint="eastAsia"/>
          <w:sz w:val="18"/>
          <w:szCs w:val="18"/>
        </w:rPr>
        <w:t>【C</w:t>
      </w: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】</w:t>
      </w:r>
      <w:permEnd w:id="4"/>
      <w:r>
        <w:rPr>
          <w:rFonts w:ascii="宋体" w:hAnsi="宋体"/>
          <w:sz w:val="18"/>
          <w:szCs w:val="18"/>
        </w:rPr>
        <w:t>为风险承受能力最低类别，</w:t>
      </w:r>
      <w:permStart w:id="5" w:edGrp="everyone"/>
      <w:r>
        <w:rPr>
          <w:rFonts w:ascii="宋体" w:hAnsi="宋体" w:hint="eastAsia"/>
          <w:sz w:val="18"/>
          <w:szCs w:val="18"/>
        </w:rPr>
        <w:t>【C</w:t>
      </w:r>
      <w:r>
        <w:rPr>
          <w:rFonts w:ascii="宋体" w:hAnsi="宋体"/>
          <w:sz w:val="18"/>
          <w:szCs w:val="18"/>
        </w:rPr>
        <w:t>6</w:t>
      </w:r>
      <w:r>
        <w:rPr>
          <w:rFonts w:ascii="宋体" w:hAnsi="宋体" w:hint="eastAsia"/>
          <w:sz w:val="18"/>
          <w:szCs w:val="18"/>
        </w:rPr>
        <w:t>】</w:t>
      </w:r>
      <w:permEnd w:id="5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757"/>
        <w:gridCol w:w="4860"/>
        <w:gridCol w:w="2865"/>
      </w:tblGrid>
      <w:tr w:rsidR="00544D70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6" w:edGrp="everyone"/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安逸型（R1）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本金风险低，产品投资目标不能实现的概率较低；或投资范围仅限于货币市场工具等风险极低的短期金融资产。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安逸型（C1）及以上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谨慎型（R2）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本金风险相对较小，收益浮动但相对较小。产品结构简单，过往业绩及净值的历史波动率低；投资标的流动性很好或为较高等级的信用主体；或者衍生品及杠杆交易对净值波动极小；估值政策清晰。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谨慎型（C2）及以上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稳健型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（R3）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产品有一定的本金风险，收益浮动且有一定波动。产品结构简单，过往业绩及净值的历史波动率较低；投资标的流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动性好或为中等及以上的信用主体；或者投资衍生品以套期保值为目的，衍生品及杠杆交易对净值波动较小；估值政策清晰。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稳健型（C3）及以上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增长型（R4）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较大。产品主要投资于流动性较好的投资标的，产品结构简单，但收益浮动且波动很大，过往业绩及净值的历史波动率较高；或者投资标的流动性较差或为中等以下的信用主体，但产品结构简单，且不投资于衍生品及杠杆交易；估值政策简单；或者投资衍生品以套期保值为目的，衍生品及杠杆交易对净值波动较大，估值政策较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增长型（C4）及以上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进取型（R5）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很大，收益浮动且波动很大。产品结构较复杂，过往业绩及净值的历史波动率高；或者投资标的流动性较差或为低等级的信用主体，期限较长；或者投资衍生品以追求收益为目的，衍生品及杠杆交易对净值波动很大；估值政策较复杂。投资者要作出谨慎的产品选择，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进取型（C5）及以上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激进型（R6）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极大，收益浮动且波动极大。产品结构复杂，过往业绩及净值的历史波动率很高；或者投资标的流动性很差或为极低等级的信用主体，期限很长；或者投资衍生品以追求收益为目的，衍生品及杠杆交易对净值波动极大；估值政策非常复杂。投资者需要非常谨慎的产品选择、十分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 xml:space="preserve">激进型（C6） </w:t>
            </w:r>
          </w:p>
        </w:tc>
      </w:tr>
    </w:tbl>
    <w:permEnd w:id="6"/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544D70" w:rsidRDefault="000C745E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544D70" w:rsidRDefault="000C745E">
      <w:pPr>
        <w:ind w:firstLineChars="200" w:firstLine="361"/>
        <w:rPr>
          <w:rFonts w:asciiTheme="minorEastAsia" w:hAnsiTheme="minorEastAsia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bookmarkStart w:id="0" w:name="_Hlk64707831"/>
      <w:r>
        <w:rPr>
          <w:rFonts w:ascii="宋体" w:hAnsi="宋体" w:hint="eastAsia"/>
          <w:sz w:val="18"/>
          <w:szCs w:val="18"/>
        </w:rPr>
        <w:t>1、产品管理人：兴银理财有限责任公司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客户服务热线：40015-95561。</w:t>
      </w:r>
      <w:bookmarkEnd w:id="0"/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permStart w:id="7" w:edGrp="everyone"/>
      <w:r>
        <w:rPr>
          <w:rFonts w:ascii="宋体" w:hAnsi="宋体" w:hint="eastAsia"/>
          <w:sz w:val="18"/>
          <w:szCs w:val="18"/>
        </w:rPr>
        <w:t>2、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 w:rsidP="000147EB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3、销售机构：【</w:t>
      </w:r>
      <w:r w:rsidR="000147EB" w:rsidRPr="000147EB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</w:p>
    <w:p w:rsidR="000147EB" w:rsidRPr="000147EB" w:rsidRDefault="000147EB" w:rsidP="000147EB">
      <w:pPr>
        <w:ind w:firstLineChars="200" w:firstLine="360"/>
        <w:rPr>
          <w:rFonts w:ascii="宋体" w:hAnsi="宋体" w:hint="eastAsia"/>
          <w:sz w:val="18"/>
          <w:szCs w:val="18"/>
        </w:rPr>
      </w:pPr>
      <w:r w:rsidRPr="000147EB">
        <w:rPr>
          <w:rFonts w:ascii="宋体" w:hAnsi="宋体" w:hint="eastAsia"/>
          <w:sz w:val="18"/>
          <w:szCs w:val="18"/>
        </w:rPr>
        <w:t>浙江嵊州农村商业银行股份有限公司客户服务热线：【96596】</w:t>
      </w:r>
    </w:p>
    <w:p w:rsidR="00544D70" w:rsidRDefault="000147EB">
      <w:pPr>
        <w:ind w:firstLineChars="200" w:firstLine="360"/>
        <w:rPr>
          <w:rFonts w:ascii="宋体" w:hAnsi="宋体"/>
          <w:sz w:val="18"/>
          <w:szCs w:val="18"/>
        </w:rPr>
      </w:pPr>
      <w:r w:rsidRPr="000147EB">
        <w:rPr>
          <w:rFonts w:ascii="宋体" w:hAnsi="宋体" w:hint="eastAsia"/>
          <w:sz w:val="18"/>
          <w:szCs w:val="18"/>
        </w:rPr>
        <w:t>浙江嵊州农村商业银行股份有限公司门户网站：【www.zjszbank.com</w:t>
      </w:r>
      <w:r w:rsidR="000C745E">
        <w:rPr>
          <w:rFonts w:ascii="宋体" w:hAnsi="宋体" w:hint="eastAsia"/>
          <w:sz w:val="18"/>
          <w:szCs w:val="18"/>
        </w:rPr>
        <w:t>】</w:t>
      </w:r>
      <w:permEnd w:id="7"/>
      <w:r w:rsidR="000C745E">
        <w:rPr>
          <w:rFonts w:ascii="宋体" w:hAnsi="宋体"/>
          <w:b/>
          <w:sz w:val="28"/>
          <w:szCs w:val="28"/>
        </w:rPr>
        <w:br w:type="page"/>
      </w:r>
    </w:p>
    <w:p w:rsidR="00544D70" w:rsidRDefault="000C745E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lastRenderedPageBreak/>
        <w:t>兴银理财</w:t>
      </w:r>
      <w:permStart w:id="8" w:edGrp="everyone"/>
      <w:r>
        <w:rPr>
          <w:rStyle w:val="a8"/>
          <w:rFonts w:ascii="黑体" w:eastAsia="黑体" w:hAnsi="黑体" w:hint="eastAsia"/>
          <w:sz w:val="28"/>
          <w:szCs w:val="28"/>
        </w:rPr>
        <w:t>【</w:t>
      </w:r>
      <w:r w:rsidR="009852FF" w:rsidRPr="009852FF">
        <w:rPr>
          <w:rStyle w:val="a8"/>
          <w:rFonts w:ascii="黑体" w:eastAsia="黑体" w:hAnsi="黑体" w:hint="eastAsia"/>
          <w:sz w:val="28"/>
          <w:szCs w:val="28"/>
        </w:rPr>
        <w:t>稳利丰收封闭式固收类</w:t>
      </w:r>
      <w:r>
        <w:rPr>
          <w:rStyle w:val="a8"/>
          <w:rFonts w:ascii="黑体" w:eastAsia="黑体" w:hAnsi="黑体" w:hint="eastAsia"/>
          <w:sz w:val="28"/>
          <w:szCs w:val="28"/>
        </w:rPr>
        <w:t>】</w:t>
      </w:r>
      <w:permEnd w:id="8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544D70" w:rsidRDefault="000C745E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544D70" w:rsidRDefault="000C745E">
      <w:pPr>
        <w:pStyle w:val="Default"/>
        <w:spacing w:line="280" w:lineRule="atLeas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（适用于机构投资者：</w:t>
      </w:r>
      <w:r>
        <w:rPr>
          <w:rFonts w:hAnsi="宋体"/>
          <w:b/>
          <w:color w:val="auto"/>
          <w:sz w:val="28"/>
          <w:szCs w:val="28"/>
        </w:rPr>
        <w:t>一般机构客户</w:t>
      </w:r>
      <w:r>
        <w:rPr>
          <w:rFonts w:hAnsi="宋体" w:hint="eastAsia"/>
          <w:b/>
          <w:color w:val="auto"/>
          <w:sz w:val="28"/>
          <w:szCs w:val="28"/>
        </w:rPr>
        <w:t>）</w:t>
      </w:r>
    </w:p>
    <w:p w:rsidR="00544D70" w:rsidRDefault="000C745E">
      <w:pPr>
        <w:spacing w:line="280" w:lineRule="atLeast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9" w:edGrp="everyone"/>
      <w:r>
        <w:rPr>
          <w:rFonts w:ascii="宋体" w:hAnsi="宋体" w:hint="eastAsia"/>
          <w:sz w:val="18"/>
          <w:szCs w:val="18"/>
        </w:rPr>
        <w:t>【】</w:t>
      </w:r>
      <w:permEnd w:id="9"/>
      <w:r>
        <w:rPr>
          <w:rFonts w:ascii="宋体" w:hAnsi="宋体" w:hint="eastAsia"/>
          <w:sz w:val="18"/>
          <w:szCs w:val="18"/>
        </w:rPr>
        <w:t>以(</w:t>
      </w:r>
      <w:permStart w:id="10" w:edGrp="everyone"/>
      <w:r>
        <w:rPr>
          <w:rFonts w:ascii="宋体" w:hAnsi="宋体" w:hint="eastAsia"/>
          <w:sz w:val="18"/>
          <w:szCs w:val="18"/>
        </w:rPr>
        <w:t>□ 直销：产品管理人销售/□ 代销：代理销售机构销售</w:t>
      </w:r>
      <w:permEnd w:id="10"/>
      <w:r>
        <w:rPr>
          <w:rFonts w:ascii="宋体" w:hAnsi="宋体" w:hint="eastAsia"/>
          <w:sz w:val="18"/>
          <w:szCs w:val="18"/>
        </w:rPr>
        <w:t>)的形式购买兴银理财有限责任公司（以下简称“兴银理财”）作为产品管理人管理的理财产品。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544D70" w:rsidRDefault="00544D70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.您购买理财产品前，应确保已完成风险承受能力评估且风险评估结果在有效期内。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宋体" w:hAnsi="宋体" w:hint="eastAsia"/>
          <w:b/>
          <w:sz w:val="18"/>
          <w:szCs w:val="18"/>
        </w:rPr>
        <w:t>如影响您风险承受能力的因素发生变化，请您及时重新完成风险承受能力评估。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>.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投资者风险承受能力，机构投资者由低至高分为</w:t>
      </w:r>
      <w:permStart w:id="11" w:edGrp="everyone"/>
      <w:r>
        <w:rPr>
          <w:rFonts w:ascii="宋体" w:hAnsi="宋体" w:hint="eastAsia"/>
          <w:sz w:val="18"/>
          <w:szCs w:val="18"/>
        </w:rPr>
        <w:t>【】</w:t>
      </w:r>
      <w:permEnd w:id="11"/>
      <w:r>
        <w:rPr>
          <w:rFonts w:ascii="宋体" w:hAnsi="宋体"/>
          <w:sz w:val="18"/>
          <w:szCs w:val="18"/>
        </w:rPr>
        <w:t>。其中，</w:t>
      </w:r>
      <w:permStart w:id="12" w:edGrp="everyone"/>
      <w:r>
        <w:rPr>
          <w:rFonts w:ascii="宋体" w:hAnsi="宋体" w:hint="eastAsia"/>
          <w:sz w:val="18"/>
          <w:szCs w:val="18"/>
        </w:rPr>
        <w:t>【】</w:t>
      </w:r>
      <w:permEnd w:id="12"/>
      <w:r>
        <w:rPr>
          <w:rFonts w:ascii="宋体" w:hAnsi="宋体"/>
          <w:sz w:val="18"/>
          <w:szCs w:val="18"/>
        </w:rPr>
        <w:t>为风险承受能力最低类别，</w:t>
      </w:r>
      <w:permStart w:id="13" w:edGrp="everyone"/>
      <w:r>
        <w:rPr>
          <w:rFonts w:ascii="宋体" w:hAnsi="宋体" w:hint="eastAsia"/>
          <w:sz w:val="18"/>
          <w:szCs w:val="18"/>
        </w:rPr>
        <w:t>【】</w:t>
      </w:r>
      <w:permEnd w:id="13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777"/>
        <w:gridCol w:w="4840"/>
        <w:gridCol w:w="2865"/>
      </w:tblGrid>
      <w:tr w:rsidR="00544D70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14" w:edGrp="everyone"/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</w:tbl>
    <w:permEnd w:id="14"/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</w:t>
      </w:r>
      <w:r>
        <w:rPr>
          <w:rFonts w:ascii="黑体" w:eastAsia="黑体" w:hAnsi="黑体" w:hint="eastAsia"/>
          <w:sz w:val="18"/>
          <w:szCs w:val="18"/>
        </w:rPr>
        <w:lastRenderedPageBreak/>
        <w:t>划分与“适合投资者类型”的表述。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544D70" w:rsidRDefault="000C745E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544D70" w:rsidRDefault="000C745E" w:rsidP="000147EB">
      <w:pPr>
        <w:spacing w:line="280" w:lineRule="atLeast"/>
        <w:ind w:firstLineChars="200" w:firstLine="361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（二）联络方式：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1、产品管理人：兴银理财有限责任公司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客户服务热线：40015-95561。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permStart w:id="15" w:edGrp="everyone"/>
      <w:r>
        <w:rPr>
          <w:rFonts w:ascii="宋体" w:hAnsi="宋体" w:hint="eastAsia"/>
          <w:sz w:val="18"/>
          <w:szCs w:val="18"/>
        </w:rPr>
        <w:t>2、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3、销售机构：【】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【】</w:t>
      </w:r>
      <w:permEnd w:id="15"/>
    </w:p>
    <w:p w:rsidR="00544D70" w:rsidRDefault="000C745E">
      <w:pPr>
        <w:widowControl/>
        <w:spacing w:line="280" w:lineRule="atLeast"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br w:type="page"/>
      </w:r>
    </w:p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lastRenderedPageBreak/>
        <w:t>兴银理财</w:t>
      </w:r>
      <w:permStart w:id="16" w:edGrp="everyone"/>
      <w:r>
        <w:rPr>
          <w:rStyle w:val="a8"/>
          <w:rFonts w:ascii="黑体" w:eastAsia="黑体" w:hAnsi="黑体" w:hint="eastAsia"/>
          <w:sz w:val="28"/>
          <w:szCs w:val="28"/>
        </w:rPr>
        <w:t>【</w:t>
      </w:r>
      <w:r w:rsidR="009852FF" w:rsidRPr="009852FF">
        <w:rPr>
          <w:rStyle w:val="a8"/>
          <w:rFonts w:ascii="黑体" w:eastAsia="黑体" w:hAnsi="黑体" w:hint="eastAsia"/>
          <w:sz w:val="28"/>
          <w:szCs w:val="28"/>
        </w:rPr>
        <w:t>稳利丰收封闭式固收类</w:t>
      </w:r>
      <w:bookmarkStart w:id="1" w:name="_GoBack"/>
      <w:bookmarkEnd w:id="1"/>
      <w:r>
        <w:rPr>
          <w:rStyle w:val="a8"/>
          <w:rFonts w:ascii="黑体" w:eastAsia="黑体" w:hAnsi="黑体" w:hint="eastAsia"/>
          <w:sz w:val="28"/>
          <w:szCs w:val="28"/>
        </w:rPr>
        <w:t>】</w:t>
      </w:r>
      <w:permEnd w:id="16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544D70" w:rsidRDefault="000C745E">
      <w:pPr>
        <w:pStyle w:val="Defaul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（适用于机构投资者：金融</w:t>
      </w:r>
      <w:r>
        <w:rPr>
          <w:rFonts w:hAnsi="宋体"/>
          <w:b/>
          <w:color w:val="auto"/>
          <w:sz w:val="28"/>
          <w:szCs w:val="28"/>
        </w:rPr>
        <w:t>同业客户</w:t>
      </w:r>
      <w:r>
        <w:rPr>
          <w:rFonts w:hAnsi="宋体" w:hint="eastAsia"/>
          <w:b/>
          <w:color w:val="auto"/>
          <w:sz w:val="28"/>
          <w:szCs w:val="28"/>
        </w:rPr>
        <w:t>）</w:t>
      </w:r>
    </w:p>
    <w:p w:rsidR="00544D70" w:rsidRDefault="000C745E">
      <w:pPr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17" w:edGrp="everyone"/>
      <w:r>
        <w:rPr>
          <w:rFonts w:ascii="宋体" w:hAnsi="宋体" w:hint="eastAsia"/>
          <w:sz w:val="18"/>
          <w:szCs w:val="18"/>
        </w:rPr>
        <w:t>【】</w:t>
      </w:r>
      <w:permEnd w:id="17"/>
      <w:r>
        <w:rPr>
          <w:rFonts w:ascii="宋体" w:hAnsi="宋体" w:hint="eastAsia"/>
          <w:sz w:val="18"/>
          <w:szCs w:val="18"/>
        </w:rPr>
        <w:t>以(</w:t>
      </w:r>
      <w:permStart w:id="18" w:edGrp="everyone"/>
      <w:r>
        <w:rPr>
          <w:rFonts w:ascii="宋体" w:hAnsi="宋体" w:hint="eastAsia"/>
          <w:sz w:val="18"/>
          <w:szCs w:val="18"/>
        </w:rPr>
        <w:t>□ 直销：产品管理人销售/□ 代销：代理销售机构销售</w:t>
      </w:r>
      <w:permEnd w:id="18"/>
      <w:r>
        <w:rPr>
          <w:rFonts w:ascii="宋体" w:hAnsi="宋体" w:hint="eastAsia"/>
          <w:sz w:val="18"/>
          <w:szCs w:val="18"/>
        </w:rPr>
        <w:t>)的形式购买兴银理财有限责任公司（以下简称“兴银理财”）作为产品管理人管理的理财产品。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544D70" w:rsidRDefault="00544D70">
      <w:pPr>
        <w:ind w:firstLineChars="200" w:firstLine="361"/>
        <w:rPr>
          <w:rFonts w:ascii="宋体" w:hAnsi="宋体"/>
          <w:b/>
          <w:sz w:val="18"/>
          <w:szCs w:val="18"/>
        </w:rPr>
      </w:pP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鉴于您为金融同业客户，销售机构暂不对您进行风险承受能力评估，请您根据您自身的</w:t>
      </w:r>
      <w:r>
        <w:rPr>
          <w:rFonts w:ascii="宋体" w:hAnsi="宋体"/>
          <w:sz w:val="18"/>
          <w:szCs w:val="18"/>
        </w:rPr>
        <w:t>风险承受能力购买</w:t>
      </w:r>
      <w:r>
        <w:rPr>
          <w:rFonts w:ascii="宋体" w:hAnsi="宋体" w:hint="eastAsia"/>
          <w:sz w:val="18"/>
          <w:szCs w:val="18"/>
        </w:rPr>
        <w:t>产品风险评级适合您的</w:t>
      </w:r>
      <w:r>
        <w:rPr>
          <w:rFonts w:ascii="宋体" w:hAnsi="宋体"/>
          <w:sz w:val="18"/>
          <w:szCs w:val="18"/>
        </w:rPr>
        <w:t>理财产品</w:t>
      </w:r>
      <w:r>
        <w:rPr>
          <w:rFonts w:ascii="宋体" w:hAnsi="宋体" w:hint="eastAsia"/>
          <w:sz w:val="18"/>
          <w:szCs w:val="18"/>
        </w:rPr>
        <w:t>。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544D70" w:rsidRDefault="000C745E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544D70" w:rsidRDefault="000C745E">
      <w:pPr>
        <w:ind w:firstLineChars="200" w:firstLine="361"/>
        <w:rPr>
          <w:rFonts w:asciiTheme="minorEastAsia" w:hAnsiTheme="minorEastAsia"/>
          <w:b/>
          <w:bCs/>
          <w:sz w:val="18"/>
          <w:szCs w:val="18"/>
        </w:rPr>
      </w:pPr>
      <w:r>
        <w:rPr>
          <w:rFonts w:ascii="宋体" w:hAnsi="宋体" w:hint="eastAsia"/>
          <w:b/>
          <w:bCs/>
          <w:sz w:val="18"/>
          <w:szCs w:val="18"/>
        </w:rPr>
        <w:t>四、关于投诉与建议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（二）联络方式：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1、产品管理人：兴银理财有限责任公司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客户服务热线：40015-95561。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permStart w:id="19" w:edGrp="everyone"/>
      <w:r>
        <w:rPr>
          <w:rFonts w:ascii="宋体" w:hAnsi="宋体" w:hint="eastAsia"/>
          <w:sz w:val="18"/>
          <w:szCs w:val="18"/>
        </w:rPr>
        <w:t>2、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3、销售机构：【】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【】</w:t>
      </w:r>
      <w:permEnd w:id="19"/>
    </w:p>
    <w:sectPr w:rsidR="00544D70" w:rsidSect="00B67DAD">
      <w:headerReference w:type="default" r:id="rId7"/>
      <w:footerReference w:type="default" r:id="rId8"/>
      <w:pgSz w:w="11906" w:h="16838"/>
      <w:pgMar w:top="1440" w:right="1800" w:bottom="1440" w:left="1800" w:header="567" w:footer="964" w:gutter="0"/>
      <w:pgNumType w:start="1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5849" w:rsidRDefault="00715849">
      <w:r>
        <w:separator/>
      </w:r>
    </w:p>
  </w:endnote>
  <w:endnote w:type="continuationSeparator" w:id="1">
    <w:p w:rsidR="00715849" w:rsidRDefault="007158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03202528"/>
    </w:sdtPr>
    <w:sdtContent>
      <w:p w:rsidR="00544D70" w:rsidRDefault="00B67DAD">
        <w:pPr>
          <w:pStyle w:val="a5"/>
          <w:jc w:val="center"/>
        </w:pPr>
        <w:r>
          <w:fldChar w:fldCharType="begin"/>
        </w:r>
        <w:r w:rsidR="000C745E">
          <w:instrText>PAGE   \* MERGEFORMAT</w:instrText>
        </w:r>
        <w:r>
          <w:fldChar w:fldCharType="separate"/>
        </w:r>
        <w:r w:rsidR="000147EB" w:rsidRPr="000147EB">
          <w:rPr>
            <w:noProof/>
            <w:lang w:val="zh-CN"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5849" w:rsidRDefault="00715849">
      <w:r>
        <w:separator/>
      </w:r>
    </w:p>
  </w:footnote>
  <w:footnote w:type="continuationSeparator" w:id="1">
    <w:p w:rsidR="00715849" w:rsidRDefault="007158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4D70" w:rsidRDefault="000C745E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投资者权益须知</w:t>
    </w:r>
  </w:p>
  <w:p w:rsidR="00544D70" w:rsidRDefault="000C745E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注：本文件由兴银理财有限责任公司统一编制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ocumentProtection w:edit="readOnly" w:enforcement="1" w:cryptProviderType="rsaAES" w:cryptAlgorithmClass="hash" w:cryptAlgorithmType="typeAny" w:cryptAlgorithmSid="14" w:cryptSpinCount="100000" w:hash="87ReF9jOZuDV5b1LMiK7MevEYCHVpI6NM82XDqA2JnDj+s/mUN5J8eIOD1tnt/l6Cxvu0DWYpL2J&#10;Td7yXqyh8g==" w:salt="rp+4Vj6P5PrNgfFY2a3rPA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mIwNTljODZlNmMxN2IxODkyNGQ0MzYwYjkyOGU4YWIifQ=="/>
  </w:docVars>
  <w:rsids>
    <w:rsidRoot w:val="00D237B3"/>
    <w:rsid w:val="00012DF8"/>
    <w:rsid w:val="000147EB"/>
    <w:rsid w:val="00044E9D"/>
    <w:rsid w:val="000466D9"/>
    <w:rsid w:val="00052958"/>
    <w:rsid w:val="0008384D"/>
    <w:rsid w:val="000921B4"/>
    <w:rsid w:val="000C4846"/>
    <w:rsid w:val="000C745E"/>
    <w:rsid w:val="000E6147"/>
    <w:rsid w:val="00141624"/>
    <w:rsid w:val="00171420"/>
    <w:rsid w:val="00195672"/>
    <w:rsid w:val="001D15B4"/>
    <w:rsid w:val="001D7F61"/>
    <w:rsid w:val="001E7CA6"/>
    <w:rsid w:val="0023468F"/>
    <w:rsid w:val="002462D8"/>
    <w:rsid w:val="00252EC4"/>
    <w:rsid w:val="00271331"/>
    <w:rsid w:val="00276F5A"/>
    <w:rsid w:val="002861F2"/>
    <w:rsid w:val="002A5F8E"/>
    <w:rsid w:val="002A6909"/>
    <w:rsid w:val="002B0017"/>
    <w:rsid w:val="002B56A0"/>
    <w:rsid w:val="002B6D4B"/>
    <w:rsid w:val="002C01C0"/>
    <w:rsid w:val="002E6656"/>
    <w:rsid w:val="0032735C"/>
    <w:rsid w:val="003B33DD"/>
    <w:rsid w:val="003B4628"/>
    <w:rsid w:val="003D624D"/>
    <w:rsid w:val="00484980"/>
    <w:rsid w:val="00493C89"/>
    <w:rsid w:val="004D586E"/>
    <w:rsid w:val="004E5B8C"/>
    <w:rsid w:val="00526973"/>
    <w:rsid w:val="00532846"/>
    <w:rsid w:val="00544D70"/>
    <w:rsid w:val="00552ACB"/>
    <w:rsid w:val="00571A72"/>
    <w:rsid w:val="00592F0D"/>
    <w:rsid w:val="005A0FFB"/>
    <w:rsid w:val="005A17EF"/>
    <w:rsid w:val="005B4964"/>
    <w:rsid w:val="005C6D6E"/>
    <w:rsid w:val="005D158B"/>
    <w:rsid w:val="005E4F9A"/>
    <w:rsid w:val="00622E88"/>
    <w:rsid w:val="00641888"/>
    <w:rsid w:val="0064188A"/>
    <w:rsid w:val="006639A1"/>
    <w:rsid w:val="006B237F"/>
    <w:rsid w:val="006D2908"/>
    <w:rsid w:val="006E4016"/>
    <w:rsid w:val="006F100F"/>
    <w:rsid w:val="006F676E"/>
    <w:rsid w:val="006F690F"/>
    <w:rsid w:val="00710B52"/>
    <w:rsid w:val="00715849"/>
    <w:rsid w:val="007B231D"/>
    <w:rsid w:val="007C6A86"/>
    <w:rsid w:val="007D16E7"/>
    <w:rsid w:val="00812B92"/>
    <w:rsid w:val="00820AF6"/>
    <w:rsid w:val="00835EA0"/>
    <w:rsid w:val="008C2FE9"/>
    <w:rsid w:val="008E7821"/>
    <w:rsid w:val="008E7C7D"/>
    <w:rsid w:val="009606A0"/>
    <w:rsid w:val="00971F4B"/>
    <w:rsid w:val="009816B9"/>
    <w:rsid w:val="009852FF"/>
    <w:rsid w:val="009A1C1D"/>
    <w:rsid w:val="009D1DC4"/>
    <w:rsid w:val="009E4DBC"/>
    <w:rsid w:val="00A4010F"/>
    <w:rsid w:val="00A646F7"/>
    <w:rsid w:val="00A75734"/>
    <w:rsid w:val="00AA4438"/>
    <w:rsid w:val="00AB386C"/>
    <w:rsid w:val="00AC38B4"/>
    <w:rsid w:val="00AC71D9"/>
    <w:rsid w:val="00AD346C"/>
    <w:rsid w:val="00AF2C8D"/>
    <w:rsid w:val="00B02055"/>
    <w:rsid w:val="00B07EA5"/>
    <w:rsid w:val="00B16C9A"/>
    <w:rsid w:val="00B507EB"/>
    <w:rsid w:val="00B60E9F"/>
    <w:rsid w:val="00B67DAD"/>
    <w:rsid w:val="00BE4E6B"/>
    <w:rsid w:val="00BF7C2F"/>
    <w:rsid w:val="00C018F3"/>
    <w:rsid w:val="00C202DE"/>
    <w:rsid w:val="00C32FF7"/>
    <w:rsid w:val="00C448CA"/>
    <w:rsid w:val="00C8683D"/>
    <w:rsid w:val="00C86FD7"/>
    <w:rsid w:val="00CF06E2"/>
    <w:rsid w:val="00D01E10"/>
    <w:rsid w:val="00D237B3"/>
    <w:rsid w:val="00D56354"/>
    <w:rsid w:val="00D917DB"/>
    <w:rsid w:val="00DB67D6"/>
    <w:rsid w:val="00DD117E"/>
    <w:rsid w:val="00DD5F6E"/>
    <w:rsid w:val="00E01CA3"/>
    <w:rsid w:val="00E02B85"/>
    <w:rsid w:val="00E077CB"/>
    <w:rsid w:val="00E343C0"/>
    <w:rsid w:val="00E4791B"/>
    <w:rsid w:val="00EA7D7F"/>
    <w:rsid w:val="00EC56A4"/>
    <w:rsid w:val="00EC5A48"/>
    <w:rsid w:val="00ED24F3"/>
    <w:rsid w:val="00EF1A43"/>
    <w:rsid w:val="00F126D2"/>
    <w:rsid w:val="00F33265"/>
    <w:rsid w:val="00F47A61"/>
    <w:rsid w:val="00F74AE2"/>
    <w:rsid w:val="00F81CAA"/>
    <w:rsid w:val="00F85BFD"/>
    <w:rsid w:val="00FC059B"/>
    <w:rsid w:val="121A1EA9"/>
    <w:rsid w:val="375C726E"/>
    <w:rsid w:val="387158CE"/>
    <w:rsid w:val="52D440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 w:qFormat="1"/>
    <w:lsdException w:name="header" w:semiHidden="0" w:qFormat="1"/>
    <w:lsdException w:name="footer" w:semiHidden="0" w:qFormat="1"/>
    <w:lsdException w:name="caption" w:uiPriority="35" w:qFormat="1"/>
    <w:lsdException w:name="annotation reference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semiHidden="0" w:unhideWhenUsed="0" w:qFormat="1"/>
    <w:lsdException w:name="annotation subject" w:qFormat="1"/>
    <w:lsdException w:name="Balloon Text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7DAD"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1">
    <w:name w:val="heading 1"/>
    <w:basedOn w:val="a"/>
    <w:next w:val="a"/>
    <w:link w:val="1Char"/>
    <w:qFormat/>
    <w:rsid w:val="00B67DAD"/>
    <w:pPr>
      <w:keepNext/>
      <w:keepLines/>
      <w:spacing w:before="120" w:after="120" w:line="360" w:lineRule="auto"/>
      <w:outlineLvl w:val="0"/>
    </w:pPr>
    <w:rPr>
      <w:rFonts w:ascii="宋体"/>
      <w:b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1"/>
    <w:qFormat/>
    <w:rsid w:val="00B67DAD"/>
    <w:pPr>
      <w:jc w:val="left"/>
    </w:pPr>
  </w:style>
  <w:style w:type="paragraph" w:styleId="a4">
    <w:name w:val="Balloon Text"/>
    <w:basedOn w:val="a"/>
    <w:link w:val="Char"/>
    <w:uiPriority w:val="99"/>
    <w:semiHidden/>
    <w:unhideWhenUsed/>
    <w:qFormat/>
    <w:rsid w:val="00B67DAD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rsid w:val="00B67DA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rsid w:val="00B67DA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HTML">
    <w:name w:val="HTML Preformatted"/>
    <w:basedOn w:val="a"/>
    <w:link w:val="HTMLChar"/>
    <w:uiPriority w:val="99"/>
    <w:qFormat/>
    <w:rsid w:val="00B67DA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sid w:val="00B67DAD"/>
    <w:rPr>
      <w:b/>
      <w:bCs/>
    </w:rPr>
  </w:style>
  <w:style w:type="character" w:styleId="a8">
    <w:name w:val="Strong"/>
    <w:uiPriority w:val="22"/>
    <w:qFormat/>
    <w:rsid w:val="00B67DAD"/>
    <w:rPr>
      <w:b/>
      <w:bCs/>
    </w:rPr>
  </w:style>
  <w:style w:type="character" w:styleId="a9">
    <w:name w:val="annotation reference"/>
    <w:qFormat/>
    <w:rsid w:val="00B67DAD"/>
    <w:rPr>
      <w:sz w:val="21"/>
    </w:rPr>
  </w:style>
  <w:style w:type="character" w:customStyle="1" w:styleId="Char2">
    <w:name w:val="页眉 Char"/>
    <w:basedOn w:val="a0"/>
    <w:link w:val="a6"/>
    <w:uiPriority w:val="99"/>
    <w:qFormat/>
    <w:rsid w:val="00B67DAD"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sid w:val="00B67DAD"/>
    <w:rPr>
      <w:sz w:val="18"/>
      <w:szCs w:val="18"/>
    </w:rPr>
  </w:style>
  <w:style w:type="paragraph" w:customStyle="1" w:styleId="Default">
    <w:name w:val="Default"/>
    <w:qFormat/>
    <w:rsid w:val="00B67DAD"/>
    <w:pPr>
      <w:widowControl w:val="0"/>
      <w:autoSpaceDE w:val="0"/>
      <w:autoSpaceDN w:val="0"/>
      <w:adjustRightInd w:val="0"/>
    </w:pPr>
    <w:rPr>
      <w:rFonts w:ascii="宋体" w:eastAsia="宋体" w:hAnsi="Times New Roman" w:cs="Times New Roman"/>
      <w:color w:val="000000"/>
      <w:sz w:val="24"/>
    </w:rPr>
  </w:style>
  <w:style w:type="character" w:customStyle="1" w:styleId="1Char">
    <w:name w:val="标题 1 Char"/>
    <w:basedOn w:val="a0"/>
    <w:link w:val="1"/>
    <w:qFormat/>
    <w:rsid w:val="00B67DAD"/>
    <w:rPr>
      <w:rFonts w:ascii="宋体" w:eastAsia="宋体" w:hAnsi="Times New Roman" w:cs="Times New Roman"/>
      <w:b/>
      <w:color w:val="000000"/>
      <w:kern w:val="0"/>
      <w:sz w:val="24"/>
      <w:szCs w:val="20"/>
    </w:rPr>
  </w:style>
  <w:style w:type="character" w:customStyle="1" w:styleId="HTMLChar">
    <w:name w:val="HTML 预设格式 Char"/>
    <w:basedOn w:val="a0"/>
    <w:link w:val="HTML"/>
    <w:uiPriority w:val="99"/>
    <w:qFormat/>
    <w:rsid w:val="00B67DAD"/>
    <w:rPr>
      <w:rFonts w:ascii="宋体" w:eastAsia="宋体" w:hAnsi="宋体" w:cs="宋体"/>
      <w:kern w:val="0"/>
      <w:sz w:val="24"/>
      <w:szCs w:val="24"/>
    </w:rPr>
  </w:style>
  <w:style w:type="character" w:customStyle="1" w:styleId="Char4">
    <w:name w:val="批注文字 Char"/>
    <w:basedOn w:val="a0"/>
    <w:uiPriority w:val="99"/>
    <w:semiHidden/>
    <w:qFormat/>
    <w:rsid w:val="00B67DAD"/>
    <w:rPr>
      <w:rFonts w:ascii="Times New Roman" w:eastAsia="宋体" w:hAnsi="Times New Roman" w:cs="Times New Roman"/>
      <w:szCs w:val="20"/>
    </w:rPr>
  </w:style>
  <w:style w:type="character" w:customStyle="1" w:styleId="Char1">
    <w:name w:val="批注文字 Char1"/>
    <w:basedOn w:val="a0"/>
    <w:link w:val="a3"/>
    <w:qFormat/>
    <w:rsid w:val="00B67DAD"/>
    <w:rPr>
      <w:rFonts w:ascii="Times New Roman" w:eastAsia="宋体" w:hAnsi="Times New Roman" w:cs="Times New Roman"/>
      <w:szCs w:val="20"/>
    </w:rPr>
  </w:style>
  <w:style w:type="character" w:customStyle="1" w:styleId="Char">
    <w:name w:val="批注框文本 Char"/>
    <w:basedOn w:val="a0"/>
    <w:link w:val="a4"/>
    <w:uiPriority w:val="99"/>
    <w:semiHidden/>
    <w:qFormat/>
    <w:rsid w:val="00B67DAD"/>
    <w:rPr>
      <w:rFonts w:ascii="Times New Roman" w:eastAsia="宋体" w:hAnsi="Times New Roman" w:cs="Times New Roman"/>
      <w:sz w:val="18"/>
      <w:szCs w:val="18"/>
    </w:rPr>
  </w:style>
  <w:style w:type="character" w:customStyle="1" w:styleId="Char3">
    <w:name w:val="批注主题 Char"/>
    <w:basedOn w:val="Char1"/>
    <w:link w:val="a7"/>
    <w:uiPriority w:val="99"/>
    <w:semiHidden/>
    <w:qFormat/>
    <w:rsid w:val="00B67DAD"/>
    <w:rPr>
      <w:rFonts w:ascii="Times New Roman" w:eastAsia="宋体" w:hAnsi="Times New Roman" w:cs="Times New Roman"/>
      <w:b/>
      <w:bCs/>
      <w:szCs w:val="20"/>
    </w:rPr>
  </w:style>
  <w:style w:type="paragraph" w:customStyle="1" w:styleId="10">
    <w:name w:val="修订1"/>
    <w:hidden/>
    <w:uiPriority w:val="99"/>
    <w:semiHidden/>
    <w:qFormat/>
    <w:rsid w:val="00B67DAD"/>
    <w:rPr>
      <w:rFonts w:ascii="Times New Roman" w:eastAsia="宋体" w:hAnsi="Times New Roman" w:cs="Times New Roman"/>
      <w:kern w:val="2"/>
      <w:sz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4450</Words>
  <Characters>292</Characters>
  <Application>Microsoft Office Word</Application>
  <DocSecurity>8</DocSecurity>
  <Lines>2</Lines>
  <Paragraphs>9</Paragraphs>
  <ScaleCrop>false</ScaleCrop>
  <Company>神州网信技术有限公司</Company>
  <LinksUpToDate>false</LinksUpToDate>
  <CharactersWithSpaces>4733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胡骁潇</dc:creator>
  <cp:lastModifiedBy>姚</cp:lastModifiedBy>
  <cp:revision>7</cp:revision>
  <dcterms:created xsi:type="dcterms:W3CDTF">2023-11-06T01:28:00Z</dcterms:created>
  <dcterms:modified xsi:type="dcterms:W3CDTF">2024-07-29T02:21:00Z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2052-11.8.2.8959</vt:lpwstr>
  </property>
  <property fmtid="{D5CDD505-2E9C-101B-9397-08002B2CF9AE}" pid="3" name="ICV">
    <vt:lpwstr>9873E9C24C094D1B8CECDA42AF5A7960</vt:lpwstr>
  </property>
</Properties>
</file>