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750" w:lineRule="atLeast"/>
        <w:jc w:val="center"/>
        <w:outlineLvl w:val="1"/>
        <w:rPr>
          <w:rFonts w:ascii="宋体" w:hAnsi="宋体" w:cs="宋体"/>
          <w:b/>
          <w:bCs/>
          <w:color w:val="2F5496"/>
          <w:kern w:val="0"/>
          <w:sz w:val="28"/>
          <w:szCs w:val="28"/>
        </w:rPr>
      </w:pPr>
      <w:r>
        <w:rPr>
          <w:rFonts w:hint="eastAsia" w:ascii="宋体" w:hAnsi="宋体" w:cs="宋体"/>
          <w:b/>
          <w:bCs/>
          <w:color w:val="2F5496"/>
          <w:kern w:val="0"/>
          <w:sz w:val="28"/>
          <w:szCs w:val="28"/>
        </w:rPr>
        <w:t>半年添益2018期</w:t>
      </w:r>
    </w:p>
    <w:p>
      <w:pPr>
        <w:widowControl/>
        <w:spacing w:line="750" w:lineRule="atLeast"/>
        <w:jc w:val="center"/>
        <w:outlineLvl w:val="1"/>
        <w:rPr>
          <w:rFonts w:ascii="宋体" w:hAnsi="宋体" w:cs="宋体"/>
          <w:b/>
          <w:bCs/>
          <w:color w:val="2F5496"/>
          <w:kern w:val="0"/>
          <w:sz w:val="28"/>
          <w:szCs w:val="28"/>
        </w:rPr>
      </w:pPr>
      <w:r>
        <w:rPr>
          <w:rFonts w:hint="eastAsia" w:ascii="宋体" w:hAnsi="宋体" w:cs="宋体"/>
          <w:b/>
          <w:bCs/>
          <w:color w:val="2F5496"/>
          <w:kern w:val="0"/>
          <w:sz w:val="28"/>
          <w:szCs w:val="28"/>
        </w:rPr>
        <w:t>运行公告</w:t>
      </w:r>
    </w:p>
    <w:p>
      <w:pPr>
        <w:widowControl/>
        <w:spacing w:before="100" w:beforeAutospacing="1" w:after="100" w:afterAutospacing="1" w:line="560" w:lineRule="atLeast"/>
        <w:jc w:val="left"/>
        <w:rPr>
          <w:rFonts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>尊敬的投资者：</w:t>
      </w:r>
    </w:p>
    <w:p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>半年添益2018期</w:t>
      </w:r>
      <w:r>
        <w:rPr>
          <w:rFonts w:ascii="宋体" w:hAnsi="宋体" w:eastAsia="宋体" w:cs="宋体"/>
          <w:sz w:val="24"/>
        </w:rPr>
        <w:t>(产品代码：TYG6M2018)最新运作周期已运行结束，产品运行正常。理财产品运行情况见下表：</w:t>
      </w:r>
    </w:p>
    <w:tbl>
      <w:tblPr>
        <w:tblStyle w:val="7"/>
        <w:tblW w:w="10440" w:type="dxa"/>
        <w:tblInd w:w="-88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9"/>
        <w:gridCol w:w="1953"/>
        <w:gridCol w:w="787"/>
        <w:gridCol w:w="1363"/>
        <w:gridCol w:w="923"/>
        <w:gridCol w:w="1050"/>
        <w:gridCol w:w="1067"/>
        <w:gridCol w:w="1050"/>
        <w:gridCol w:w="1038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5" w:hRule="atLeast"/>
        </w:trPr>
        <w:tc>
          <w:tcPr>
            <w:tcW w:w="1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9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3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92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0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10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10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z w:val="20"/>
              </w:rPr>
              <w:t>9运作周期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2024-07-17</w:t>
            </w:r>
            <w:r>
              <w:rPr>
                <w:rFonts w:ascii="宋体" w:hAnsi="宋体" w:eastAsia="宋体" w:cs="宋体"/>
                <w:sz w:val="20"/>
              </w:rPr>
              <w:t>至2025-01-21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189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2025-01-22</w:t>
            </w:r>
          </w:p>
        </w:tc>
        <w:tc>
          <w:tcPr>
            <w:tcW w:w="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 xml:space="preserve">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z w:val="20"/>
              </w:rPr>
              <w:t>8运作周期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2024-01-10</w:t>
            </w:r>
            <w:r>
              <w:rPr>
                <w:rFonts w:ascii="宋体" w:hAnsi="宋体" w:eastAsia="宋体" w:cs="宋体"/>
                <w:sz w:val="20"/>
              </w:rPr>
              <w:t>至2024-07-16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189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2024-07-17</w:t>
            </w:r>
          </w:p>
        </w:tc>
        <w:tc>
          <w:tcPr>
            <w:tcW w:w="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1.1589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1.1589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1.1589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1.1589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3.5295%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z w:val="20"/>
              </w:rPr>
              <w:t>7运作周期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2023-07-05</w:t>
            </w:r>
            <w:r>
              <w:rPr>
                <w:rFonts w:ascii="宋体" w:hAnsi="宋体" w:eastAsia="宋体" w:cs="宋体"/>
                <w:sz w:val="20"/>
              </w:rPr>
              <w:t>至2024-01-09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189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2024-01-10</w:t>
            </w:r>
          </w:p>
        </w:tc>
        <w:tc>
          <w:tcPr>
            <w:tcW w:w="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1.1381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1.1381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1.1381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1.1381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3.0334%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z w:val="20"/>
              </w:rPr>
              <w:t>6运作周期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2022-12-21</w:t>
            </w:r>
            <w:r>
              <w:rPr>
                <w:rFonts w:ascii="宋体" w:hAnsi="宋体" w:eastAsia="宋体" w:cs="宋体"/>
                <w:sz w:val="20"/>
              </w:rPr>
              <w:t>至2023-07-04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196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2023-07-05</w:t>
            </w:r>
          </w:p>
        </w:tc>
        <w:tc>
          <w:tcPr>
            <w:tcW w:w="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1.1205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1.1205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1.1205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1.1205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3.7642%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z w:val="20"/>
              </w:rPr>
              <w:t>5运作周期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2022-06-15</w:t>
            </w:r>
            <w:r>
              <w:rPr>
                <w:rFonts w:ascii="宋体" w:hAnsi="宋体" w:eastAsia="宋体" w:cs="宋体"/>
                <w:sz w:val="20"/>
              </w:rPr>
              <w:t>至2022-12-20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189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2022-12-21</w:t>
            </w:r>
          </w:p>
        </w:tc>
        <w:tc>
          <w:tcPr>
            <w:tcW w:w="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1.0983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1.0983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1.0983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1.0983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1.7029%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z w:val="20"/>
              </w:rPr>
              <w:t>4运作周期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2021-12-08</w:t>
            </w:r>
            <w:r>
              <w:rPr>
                <w:rFonts w:ascii="宋体" w:hAnsi="宋体" w:eastAsia="宋体" w:cs="宋体"/>
                <w:sz w:val="20"/>
              </w:rPr>
              <w:t>至2022-06-14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189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2022-06-15</w:t>
            </w:r>
          </w:p>
        </w:tc>
        <w:tc>
          <w:tcPr>
            <w:tcW w:w="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1.0887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1.0887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1.0887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1.0887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4.8926%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z w:val="20"/>
              </w:rPr>
              <w:t>3运作周期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2021-06-09</w:t>
            </w:r>
            <w:r>
              <w:rPr>
                <w:rFonts w:ascii="宋体" w:hAnsi="宋体" w:eastAsia="宋体" w:cs="宋体"/>
                <w:sz w:val="20"/>
              </w:rPr>
              <w:t>至2021-12-07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182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2021-12-08</w:t>
            </w:r>
          </w:p>
        </w:tc>
        <w:tc>
          <w:tcPr>
            <w:tcW w:w="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1.0618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1.0618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1.0618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1.0618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4.4009%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z w:val="20"/>
              </w:rPr>
              <w:t>2运作周期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2020-12-09</w:t>
            </w:r>
            <w:r>
              <w:rPr>
                <w:rFonts w:ascii="宋体" w:hAnsi="宋体" w:eastAsia="宋体" w:cs="宋体"/>
                <w:sz w:val="20"/>
              </w:rPr>
              <w:t>至2021-06-08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182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2021-06-09</w:t>
            </w:r>
          </w:p>
        </w:tc>
        <w:tc>
          <w:tcPr>
            <w:tcW w:w="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1.0390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1.0390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1.0390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1.0390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3.8560%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z w:val="20"/>
              </w:rPr>
              <w:t>1运作周期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2020-06-10</w:t>
            </w:r>
            <w:r>
              <w:rPr>
                <w:rFonts w:ascii="宋体" w:hAnsi="宋体" w:eastAsia="宋体" w:cs="宋体"/>
                <w:sz w:val="20"/>
              </w:rPr>
              <w:t>至2020-12-08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182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2020-12-09</w:t>
            </w:r>
          </w:p>
        </w:tc>
        <w:tc>
          <w:tcPr>
            <w:tcW w:w="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1.0194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1.0194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1.0194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1.0194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3.8907%</w:t>
            </w:r>
          </w:p>
        </w:tc>
      </w:tr>
    </w:tbl>
    <w:p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>半年添益2018期B款</w:t>
      </w:r>
      <w:r>
        <w:rPr>
          <w:rFonts w:ascii="宋体" w:hAnsi="宋体" w:eastAsia="宋体" w:cs="宋体"/>
          <w:sz w:val="24"/>
        </w:rPr>
        <w:t>(产品代码：TYG6M2018B)最新运作周期已运行结束，产品运行正常。理财产品运行情况见下表：</w:t>
      </w:r>
    </w:p>
    <w:tbl>
      <w:tblPr>
        <w:tblStyle w:val="7"/>
        <w:tblW w:w="10440" w:type="dxa"/>
        <w:tblInd w:w="-88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9"/>
        <w:gridCol w:w="1953"/>
        <w:gridCol w:w="787"/>
        <w:gridCol w:w="1363"/>
        <w:gridCol w:w="923"/>
        <w:gridCol w:w="1050"/>
        <w:gridCol w:w="1067"/>
        <w:gridCol w:w="1050"/>
        <w:gridCol w:w="1038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5" w:hRule="atLeast"/>
        </w:trPr>
        <w:tc>
          <w:tcPr>
            <w:tcW w:w="12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9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3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92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0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10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10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z w:val="20"/>
              </w:rPr>
              <w:t>4运作周期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2024-07-17</w:t>
            </w:r>
            <w:r>
              <w:rPr>
                <w:rFonts w:ascii="宋体" w:hAnsi="宋体" w:eastAsia="宋体" w:cs="宋体"/>
                <w:sz w:val="20"/>
              </w:rPr>
              <w:t>至2025-01-21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189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2025-01-22</w:t>
            </w:r>
          </w:p>
        </w:tc>
        <w:tc>
          <w:tcPr>
            <w:tcW w:w="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 xml:space="preserve">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z w:val="20"/>
              </w:rPr>
              <w:t>3运作周期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2024-01-10</w:t>
            </w:r>
            <w:r>
              <w:rPr>
                <w:rFonts w:ascii="宋体" w:hAnsi="宋体" w:eastAsia="宋体" w:cs="宋体"/>
                <w:sz w:val="20"/>
              </w:rPr>
              <w:t>至2024-07-16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189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2024-07-17</w:t>
            </w:r>
          </w:p>
        </w:tc>
        <w:tc>
          <w:tcPr>
            <w:tcW w:w="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1.1607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1.1607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1.1607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1.1607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3.6275%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z w:val="20"/>
              </w:rPr>
              <w:t>2运作周期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2023-07-05</w:t>
            </w:r>
            <w:r>
              <w:rPr>
                <w:rFonts w:ascii="宋体" w:hAnsi="宋体" w:eastAsia="宋体" w:cs="宋体"/>
                <w:sz w:val="20"/>
              </w:rPr>
              <w:t>至2024-01-09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189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2024-01-10</w:t>
            </w:r>
          </w:p>
        </w:tc>
        <w:tc>
          <w:tcPr>
            <w:tcW w:w="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1.1393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1.1393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1.1393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1.1393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3.1351%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 w:hRule="atLeast"/>
        </w:trPr>
        <w:tc>
          <w:tcPr>
            <w:tcW w:w="12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eastAsia="宋体" w:cs="宋体"/>
                <w:sz w:val="20"/>
              </w:rPr>
              <w:t>1运作周期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2022-12-21</w:t>
            </w:r>
            <w:r>
              <w:rPr>
                <w:rFonts w:ascii="宋体" w:hAnsi="宋体" w:eastAsia="宋体" w:cs="宋体"/>
                <w:sz w:val="20"/>
              </w:rPr>
              <w:t>至2023-07-04</w:t>
            </w:r>
          </w:p>
        </w:tc>
        <w:tc>
          <w:tcPr>
            <w:tcW w:w="7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196</w:t>
            </w:r>
          </w:p>
        </w:tc>
        <w:tc>
          <w:tcPr>
            <w:tcW w:w="13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2023-07-05</w:t>
            </w:r>
          </w:p>
        </w:tc>
        <w:tc>
          <w:tcPr>
            <w:tcW w:w="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1.1211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1.1211</w:t>
            </w:r>
          </w:p>
        </w:tc>
        <w:tc>
          <w:tcPr>
            <w:tcW w:w="10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1.1211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1.1211</w:t>
            </w:r>
          </w:p>
        </w:tc>
        <w:tc>
          <w:tcPr>
            <w:tcW w:w="10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3.8659%</w:t>
            </w:r>
          </w:p>
        </w:tc>
      </w:tr>
    </w:tbl>
    <w:p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</w:rPr>
      </w:pPr>
      <w:bookmarkStart w:id="0" w:name="_GoBack"/>
      <w:bookmarkEnd w:id="0"/>
      <w:r>
        <w:rPr>
          <w:rFonts w:hint="eastAsia" w:ascii="宋体" w:hAnsi="宋体" w:cs="宋体"/>
          <w:kern w:val="0"/>
          <w:sz w:val="24"/>
        </w:rPr>
        <w:t>下一运作周期确认日如遇节假日，则顺延。</w:t>
      </w:r>
    </w:p>
    <w:p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>特此公告。</w:t>
      </w:r>
    </w:p>
    <w:p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0"/>
          <w:szCs w:val="20"/>
        </w:rPr>
      </w:pPr>
      <w:r>
        <w:rPr>
          <w:rFonts w:hint="eastAsia" w:ascii="宋体" w:hAnsi="宋体" w:cs="宋体"/>
          <w:kern w:val="0"/>
          <w:sz w:val="20"/>
          <w:szCs w:val="20"/>
        </w:rPr>
        <w:t>注1：周期年化收益率计算公式为：</w:t>
      </w:r>
      <w:r>
        <w:rPr>
          <w:rFonts w:hint="eastAsia" w:ascii="宋体" w:hAnsi="宋体" w:cs="宋体"/>
          <w:kern w:val="0"/>
          <w:sz w:val="20"/>
          <w:szCs w:val="20"/>
        </w:rPr>
        <w:br w:type="textWrapping"/>
      </w:r>
      <w:r>
        <w:rPr>
          <w:rFonts w:hint="eastAsia" w:ascii="宋体" w:hAnsi="宋体" w:cs="宋体"/>
          <w:kern w:val="0"/>
          <w:sz w:val="20"/>
          <w:szCs w:val="20"/>
        </w:rPr>
        <w:t>（当前确认日净值-上一确认日净值）/上一确认日净值/（当周期运作天数）*365*100%</w:t>
      </w:r>
      <w:r>
        <w:rPr>
          <w:rFonts w:hint="eastAsia" w:ascii="宋体" w:hAnsi="宋体" w:cs="宋体"/>
          <w:kern w:val="0"/>
          <w:sz w:val="20"/>
          <w:szCs w:val="20"/>
        </w:rPr>
        <w:br w:type="textWrapping"/>
      </w:r>
      <w:r>
        <w:rPr>
          <w:rFonts w:hint="eastAsia" w:ascii="宋体" w:hAnsi="宋体" w:cs="宋体"/>
          <w:kern w:val="0"/>
          <w:sz w:val="20"/>
          <w:szCs w:val="20"/>
        </w:rPr>
        <w:t>注2：产品过往业绩相关数据已经产品托管人复核；</w:t>
      </w:r>
      <w:r>
        <w:rPr>
          <w:rFonts w:hint="eastAsia" w:ascii="宋体" w:hAnsi="宋体" w:cs="宋体"/>
          <w:kern w:val="0"/>
          <w:sz w:val="20"/>
          <w:szCs w:val="20"/>
        </w:rPr>
        <w:br w:type="textWrapping"/>
      </w:r>
      <w:r>
        <w:rPr>
          <w:rFonts w:hint="eastAsia" w:ascii="宋体" w:hAnsi="宋体" w:cs="宋体"/>
          <w:kern w:val="0"/>
          <w:sz w:val="20"/>
          <w:szCs w:val="20"/>
        </w:rPr>
        <w:t>注3：理财产品过往业绩不代表其未来的表现及收益，理财非存款，市场有风险，投资需谨慎。</w:t>
      </w:r>
    </w:p>
    <w:p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</w:rPr>
      </w:pPr>
    </w:p>
    <w:p>
      <w:pPr>
        <w:widowControl/>
        <w:spacing w:before="100" w:beforeAutospacing="1" w:after="100" w:afterAutospacing="1"/>
        <w:jc w:val="right"/>
        <w:rPr>
          <w:rFonts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>杭银理财有限责任公司</w:t>
      </w:r>
    </w:p>
    <w:p>
      <w:pPr>
        <w:widowControl/>
        <w:spacing w:before="100" w:beforeAutospacing="1" w:after="100" w:afterAutospacing="1"/>
        <w:jc w:val="right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kern w:val="0"/>
          <w:sz w:val="24"/>
        </w:rPr>
        <w:t>2024年07月17日</w:t>
      </w:r>
    </w:p>
    <w:sectPr>
      <w:headerReference r:id="rId3" w:type="default"/>
      <w:pgSz w:w="11906" w:h="16838"/>
      <w:pgMar w:top="2551" w:right="1803" w:bottom="2551" w:left="1803" w:header="851" w:footer="992" w:gutter="0"/>
      <w:cols w:space="720" w:num="1"/>
      <w:docGrid w:type="lines" w:linePitch="317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  <w: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1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ZlY2ZiYmExOWJmOTY5NWFmNzQwOWFhNmE0ZjgxMTMifQ=="/>
  </w:docVars>
  <w:rsids>
    <w:rsidRoot w:val="00000000"/>
    <w:rsid w:val="69C72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iPriority="99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200" w:line="276" w:lineRule="auto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line="400" w:lineRule="exact"/>
      <w:jc w:val="center"/>
      <w:outlineLvl w:val="0"/>
    </w:pPr>
    <w:rPr>
      <w:rFonts w:ascii="Times New Roman" w:hAnsi="Times New Roman"/>
      <w:b/>
      <w:kern w:val="44"/>
      <w:sz w:val="2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line="400" w:lineRule="exact"/>
      <w:jc w:val="left"/>
      <w:outlineLvl w:val="1"/>
    </w:pPr>
    <w:rPr>
      <w:rFonts w:ascii="Arial" w:hAnsi="Arial"/>
      <w:b/>
    </w:rPr>
  </w:style>
  <w:style w:type="paragraph" w:styleId="4">
    <w:name w:val="heading 3"/>
    <w:basedOn w:val="1"/>
    <w:next w:val="1"/>
    <w:unhideWhenUsed/>
    <w:qFormat/>
    <w:uiPriority w:val="0"/>
    <w:pPr>
      <w:keepNext/>
      <w:keepLines/>
      <w:spacing w:line="400" w:lineRule="exact"/>
      <w:jc w:val="left"/>
      <w:outlineLvl w:val="2"/>
    </w:pPr>
    <w:rPr>
      <w:rFonts w:ascii="Times New Roman" w:hAnsi="Times New Roman"/>
      <w:b/>
    </w:rPr>
  </w:style>
  <w:style w:type="character" w:default="1" w:styleId="8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84</Words>
  <Characters>481</Characters>
  <Lines>4</Lines>
  <Paragraphs>1</Paragraphs>
  <TotalTime>2</TotalTime>
  <ScaleCrop>false</ScaleCrop>
  <LinksUpToDate>false</LinksUpToDate>
  <CharactersWithSpaces>564</CharactersWithSpaces>
  <Application>WPS Office_11.8.2.8411_F1E327BC-269C-435d-A152-05C5408002CA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2022-08-17T14:47:00Z</dcterms:created>
  <dc:creator>Administrator</dc:creator>
  <cp:lastModifiedBy>hccb</cp:lastModifiedBy>
  <dcterms:modified xsi:type="dcterms:W3CDTF">2024-07-17T07:43:46Z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2052-11.8.2.8411</vt:lpwstr>
  </property>
</Properties>
</file>