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半年添益2007期理财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半年添益2007期理财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杭银理财幸福99半年添益2007期理财风险揭示书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杭银理财幸福99半年添益2007期理财产品说明书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半年添益2007期理财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4"/>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19"/>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建仓期风险：如理财计划设置建仓期，则在建仓期内理财计划的投资比例可能无法满足约定的投资比例限制，从而影响对理财计划收益产生影响。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为杭州银行股份有限公司，杭银理财系杭州银行全资子公司，双方存在关联关系。杭州银行作为本理财</w:t>
      </w:r>
      <w:r>
        <w:rPr>
          <w:rFonts w:hint="eastAsia" w:ascii="宋体" w:hAnsi="宋体" w:cs="宋体"/>
          <w:b/>
          <w:sz w:val="24"/>
          <w:highlight w:val="none"/>
          <w:lang w:eastAsia="zh-CN"/>
        </w:rPr>
        <w:t>计划</w:t>
      </w:r>
      <w:r>
        <w:rPr>
          <w:rFonts w:ascii="宋体" w:hAnsi="宋体" w:cs="宋体"/>
          <w:b/>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sz w:val="24"/>
          <w:highlight w:val="none"/>
          <w:lang w:eastAsia="zh-CN"/>
        </w:rPr>
        <w:t>理财计划</w:t>
      </w:r>
      <w:r>
        <w:rPr>
          <w:rFonts w:ascii="宋体" w:hAnsi="宋体" w:cs="宋体"/>
          <w:b/>
          <w:sz w:val="24"/>
          <w:highlight w:val="none"/>
        </w:rPr>
        <w:t>收益，不承担</w:t>
      </w:r>
      <w:r>
        <w:rPr>
          <w:rFonts w:hint="eastAsia" w:ascii="宋体" w:hAnsi="宋体" w:cs="宋体"/>
          <w:b/>
          <w:sz w:val="24"/>
          <w:highlight w:val="none"/>
          <w:lang w:eastAsia="zh-CN"/>
        </w:rPr>
        <w:t>理财计划</w:t>
      </w:r>
      <w:r>
        <w:rPr>
          <w:rFonts w:ascii="宋体" w:hAnsi="宋体" w:cs="宋体"/>
          <w:b/>
          <w:sz w:val="24"/>
          <w:highlight w:val="none"/>
        </w:rPr>
        <w:t>的投资、兑付和风险管理责任。</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理财计划特定风险</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资金流动性风险：本理财</w:t>
      </w:r>
      <w:r>
        <w:rPr>
          <w:rFonts w:hint="eastAsia" w:ascii="宋体" w:hAnsi="宋体" w:cs="宋体"/>
          <w:b/>
          <w:sz w:val="24"/>
          <w:highlight w:val="none"/>
          <w:lang w:val="en-US" w:eastAsia="zh-CN"/>
        </w:rPr>
        <w:t>计划</w:t>
      </w:r>
      <w:r>
        <w:rPr>
          <w:rFonts w:hint="eastAsia" w:ascii="宋体" w:hAnsi="宋体" w:cs="宋体"/>
          <w:b/>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收益不达业绩比较基准风险：业绩比较基准并非预测收益，不代表产品的未来表现和实际收益；本理财</w:t>
      </w:r>
      <w:r>
        <w:rPr>
          <w:rFonts w:hint="eastAsia" w:ascii="宋体" w:hAnsi="宋体" w:cs="宋体"/>
          <w:b/>
          <w:sz w:val="24"/>
          <w:highlight w:val="none"/>
          <w:lang w:val="en-US" w:eastAsia="zh-CN"/>
        </w:rPr>
        <w:t>计划</w:t>
      </w:r>
      <w:r>
        <w:rPr>
          <w:rFonts w:hint="eastAsia" w:ascii="宋体" w:hAnsi="宋体" w:cs="宋体"/>
          <w:b/>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6"/>
        <w:spacing w:line="360" w:lineRule="auto"/>
        <w:jc w:val="both"/>
        <w:rPr>
          <w:rFonts w:hint="eastAsia" w:ascii="宋体" w:hAnsi="宋体" w:cs="宋体"/>
          <w:b/>
          <w:color w:val="auto"/>
          <w:highlight w:val="none"/>
        </w:rPr>
      </w:pPr>
    </w:p>
    <w:p>
      <w:pPr>
        <w:pStyle w:val="16"/>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6"/>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6"/>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6"/>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6"/>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6"/>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6"/>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6"/>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6"/>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半年添益2007期理财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w:t>
      </w:r>
      <w:r>
        <w:rPr>
          <w:rFonts w:hint="eastAsia" w:ascii="宋体" w:hAnsi="宋体" w:cs="宋体"/>
        </w:rPr>
        <w:t>Z7002221000</w:t>
      </w:r>
      <w:r>
        <w:rPr>
          <w:rFonts w:hint="eastAsia" w:ascii="宋体" w:hAnsi="宋体" w:cs="宋体"/>
          <w:lang w:val="en-US" w:eastAsia="zh-CN"/>
        </w:rPr>
        <w:t>174</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银保监会、中国证券监督管理委员会、外汇管理局、银行业理财登记托管中心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半年添益2007期理财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半年添益2007期理财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半年添益2007期理财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半年添益2007期理财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半年添益2007期理财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半年添益2007期理财</w:t>
      </w:r>
      <w:r>
        <w:rPr>
          <w:rFonts w:hint="eastAsia" w:ascii="宋体" w:hAnsi="宋体" w:cs="宋体"/>
          <w:bCs/>
          <w:highlight w:val="none"/>
        </w:rPr>
        <w:t>。</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6"/>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6"/>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6"/>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6"/>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6"/>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6"/>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6"/>
        <w:numPr>
          <w:ilvl w:val="0"/>
          <w:numId w:val="0"/>
        </w:numPr>
        <w:adjustRightInd/>
        <w:spacing w:line="360" w:lineRule="auto"/>
        <w:rPr>
          <w:rFonts w:hint="eastAsia" w:ascii="宋体" w:hAnsi="宋体" w:cs="宋体"/>
          <w:b/>
          <w:color w:val="auto"/>
          <w:kern w:val="2"/>
          <w:highlight w:val="none"/>
        </w:rPr>
      </w:pPr>
    </w:p>
    <w:p>
      <w:pPr>
        <w:pStyle w:val="16"/>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6"/>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6"/>
        <w:adjustRightInd/>
        <w:spacing w:line="360" w:lineRule="auto"/>
        <w:rPr>
          <w:rFonts w:hint="eastAsia" w:ascii="宋体" w:hAnsi="宋体" w:cs="宋体"/>
          <w:b/>
          <w:color w:val="auto"/>
          <w:kern w:val="2"/>
          <w:highlight w:val="none"/>
        </w:rPr>
      </w:pPr>
    </w:p>
    <w:p>
      <w:pPr>
        <w:pStyle w:val="16"/>
        <w:numPr>
          <w:ilvl w:val="0"/>
          <w:numId w:val="18"/>
        </w:numPr>
        <w:adjustRightInd/>
        <w:spacing w:line="360" w:lineRule="auto"/>
        <w:outlineLvl w:val="1"/>
        <w:rPr>
          <w:rFonts w:hint="eastAsia" w:ascii="宋体" w:hAnsi="宋体" w:cs="宋体"/>
          <w:b/>
          <w:color w:val="auto"/>
          <w:kern w:val="2"/>
          <w:highlight w:val="none"/>
        </w:rPr>
      </w:pPr>
      <w:bookmarkStart w:id="0" w:name="_GoBack"/>
      <w:bookmarkEnd w:id="0"/>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半年添益2007期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半年添益2007期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TYG6M2007</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本理财计划在全国银行业理财信息登记系统的原登记编码是〖C1092020000218〗</w:t>
            </w:r>
            <w:r>
              <w:rPr>
                <w:rFonts w:hint="eastAsia" w:ascii="宋体" w:hAnsi="宋体" w:cs="宋体"/>
                <w:color w:val="000000"/>
                <w:kern w:val="0"/>
                <w:highlight w:val="none"/>
              </w:rPr>
              <w:t>，</w:t>
            </w:r>
            <w:r>
              <w:rPr>
                <w:rFonts w:hint="eastAsia" w:ascii="宋体" w:hAnsi="宋体" w:cs="宋体"/>
                <w:color w:val="000000"/>
                <w:sz w:val="21"/>
                <w:szCs w:val="21"/>
                <w:highlight w:val="none"/>
              </w:rPr>
              <w:t>变更登记后为〖Z700222100017</w:t>
            </w:r>
            <w:r>
              <w:rPr>
                <w:rFonts w:hint="eastAsia" w:ascii="宋体" w:hAnsi="宋体" w:cs="宋体"/>
                <w:color w:val="000000"/>
                <w:sz w:val="21"/>
                <w:szCs w:val="21"/>
                <w:highlight w:val="none"/>
                <w:lang w:val="en-US" w:eastAsia="zh-CN"/>
              </w:rPr>
              <w:t>4</w:t>
            </w:r>
            <w:r>
              <w:rPr>
                <w:rFonts w:hint="eastAsia" w:ascii="宋体" w:hAnsi="宋体" w:cs="宋体"/>
                <w:color w:val="000000"/>
                <w:sz w:val="21"/>
                <w:szCs w:val="21"/>
                <w:highlight w:val="none"/>
              </w:rPr>
              <w:t>〗，投资者可依据该编码在“中国理财网（www.chinawealth.com.cn）”查询本理财计划信息。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Cs/>
                <w:color w:val="auto"/>
                <w:kern w:val="2"/>
                <w:sz w:val="21"/>
                <w:szCs w:val="21"/>
                <w:highlight w:val="none"/>
                <w:lang w:eastAsia="zh-CN"/>
              </w:rPr>
            </w:pPr>
            <w:r>
              <w:rPr>
                <w:rFonts w:hint="eastAsia" w:ascii="宋体" w:hAnsi="宋体" w:cs="宋体"/>
                <w:color w:val="000000"/>
                <w:sz w:val="21"/>
                <w:szCs w:val="21"/>
                <w:highlight w:val="none"/>
              </w:rPr>
              <w:t>本理财计划适合</w:t>
            </w:r>
            <w:r>
              <w:rPr>
                <w:rFonts w:hint="eastAsia" w:ascii="宋体" w:hAnsi="宋体" w:cs="宋体"/>
                <w:b/>
                <w:sz w:val="21"/>
                <w:szCs w:val="21"/>
                <w:highlight w:val="none"/>
              </w:rPr>
              <w:t>〖</w:t>
            </w:r>
            <w:r>
              <w:rPr>
                <w:rFonts w:hint="eastAsia" w:ascii="宋体" w:hAnsi="宋体" w:cs="宋体"/>
                <w:b/>
                <w:color w:val="000000"/>
                <w:sz w:val="21"/>
                <w:szCs w:val="21"/>
                <w:highlight w:val="none"/>
              </w:rPr>
              <w:t>机构投资者</w:t>
            </w:r>
            <w:r>
              <w:rPr>
                <w:rFonts w:hint="eastAsia" w:ascii="宋体" w:hAnsi="宋体" w:cs="宋体"/>
                <w:b/>
                <w:sz w:val="21"/>
                <w:szCs w:val="21"/>
                <w:highlight w:val="none"/>
              </w:rPr>
              <w:t>〗</w:t>
            </w:r>
            <w:r>
              <w:rPr>
                <w:rFonts w:hint="eastAsia" w:ascii="宋体" w:hAnsi="宋体" w:cs="宋体"/>
                <w:b/>
                <w:color w:val="000000"/>
                <w:sz w:val="21"/>
                <w:szCs w:val="21"/>
                <w:highlight w:val="none"/>
              </w:rPr>
              <w:t>以及</w:t>
            </w:r>
            <w:r>
              <w:rPr>
                <w:rFonts w:hint="eastAsia" w:ascii="宋体" w:hAnsi="宋体" w:cs="宋体"/>
                <w:b/>
                <w:sz w:val="21"/>
                <w:szCs w:val="21"/>
                <w:highlight w:val="none"/>
              </w:rPr>
              <w:t>〖稳健型、平衡型、成长型、进取型〗</w:t>
            </w:r>
            <w:r>
              <w:rPr>
                <w:rFonts w:hint="eastAsia" w:ascii="宋体" w:hAnsi="宋体" w:cs="宋体"/>
                <w:b/>
                <w:color w:val="000000"/>
                <w:sz w:val="21"/>
                <w:szCs w:val="21"/>
                <w:highlight w:val="none"/>
              </w:rPr>
              <w:t>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TYG6M2007</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bCs/>
                <w:color w:val="auto"/>
                <w:kern w:val="2"/>
                <w:sz w:val="21"/>
                <w:szCs w:val="21"/>
                <w:highlight w:val="none"/>
                <w:lang w:val="en-US" w:eastAsia="zh-CN"/>
              </w:rPr>
            </w:pPr>
            <w:r>
              <w:rPr>
                <w:rFonts w:hint="eastAsia" w:ascii="宋体" w:hAnsi="宋体" w:cs="宋体"/>
                <w:color w:val="auto"/>
                <w:sz w:val="21"/>
                <w:szCs w:val="21"/>
                <w:highlight w:val="none"/>
                <w:lang w:val="en-US" w:eastAsia="zh-CN"/>
              </w:rPr>
              <w:t>W份额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TYG6M2007W</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固定收益类</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w:t>
            </w:r>
            <w:r>
              <w:rPr>
                <w:rFonts w:hint="eastAsia" w:ascii="宋体" w:hAnsi="宋体" w:cs="宋体"/>
                <w:sz w:val="21"/>
                <w:szCs w:val="21"/>
                <w:highlight w:val="none"/>
              </w:rPr>
              <w:t>〖</w:t>
            </w:r>
            <w:r>
              <w:rPr>
                <w:rFonts w:hint="eastAsia" w:ascii="宋体" w:hAnsi="宋体" w:cs="宋体"/>
                <w:color w:val="000000"/>
                <w:sz w:val="21"/>
                <w:szCs w:val="21"/>
                <w:highlight w:val="none"/>
              </w:rPr>
              <w:t>营业网点、网上银行、手机银行</w:t>
            </w:r>
            <w:r>
              <w:rPr>
                <w:rFonts w:hint="eastAsia" w:ascii="宋体" w:hAnsi="宋体" w:cs="宋体"/>
                <w:sz w:val="21"/>
                <w:szCs w:val="21"/>
                <w:highlight w:val="none"/>
              </w:rPr>
              <w:t>〗</w:t>
            </w:r>
            <w:r>
              <w:rPr>
                <w:rFonts w:hint="eastAsia" w:ascii="宋体" w:hAnsi="宋体" w:cs="宋体"/>
                <w:color w:val="000000"/>
                <w:sz w:val="21"/>
                <w:szCs w:val="21"/>
                <w:highlight w:val="none"/>
              </w:rPr>
              <w:t>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人民币</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100</w:t>
            </w:r>
            <w:r>
              <w:rPr>
                <w:rFonts w:hint="eastAsia" w:ascii="宋体" w:hAnsi="宋体" w:cs="宋体"/>
                <w:color w:val="000000"/>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26</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4</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sz w:val="21"/>
                <w:szCs w:val="21"/>
                <w:highlight w:val="none"/>
              </w:rPr>
              <w:t>〖</w:t>
            </w:r>
            <w:r>
              <w:rPr>
                <w:rFonts w:hint="eastAsia" w:ascii="宋体" w:hAnsi="宋体" w:cs="宋体"/>
                <w:sz w:val="21"/>
                <w:szCs w:val="21"/>
                <w:highlight w:val="none"/>
                <w:lang w:val="en-US" w:eastAsia="zh-CN"/>
              </w:rPr>
              <w:t>2000</w:t>
            </w:r>
            <w:r>
              <w:rPr>
                <w:rFonts w:hint="eastAsia" w:ascii="宋体" w:hAnsi="宋体" w:cs="宋体"/>
                <w:sz w:val="21"/>
                <w:szCs w:val="21"/>
                <w:highlight w:val="none"/>
              </w:rPr>
              <w:t>〗</w:t>
            </w:r>
            <w:r>
              <w:rPr>
                <w:rFonts w:hint="eastAsia" w:ascii="宋体" w:hAnsi="宋体" w:cs="宋体"/>
                <w:color w:val="000000"/>
                <w:sz w:val="21"/>
                <w:szCs w:val="21"/>
                <w:highlight w:val="none"/>
              </w:rPr>
              <w:t>万元，则管理人可宣布本理财计划不成立并在原定理财计划成立日</w:t>
            </w:r>
            <w:r>
              <w:rPr>
                <w:rFonts w:hint="eastAsia" w:ascii="宋体" w:hAnsi="宋体" w:cs="宋体"/>
                <w:color w:val="000000"/>
                <w:sz w:val="21"/>
                <w:szCs w:val="21"/>
                <w:highlight w:val="none"/>
                <w:lang w:val="en-US" w:eastAsia="zh-CN"/>
              </w:rPr>
              <w:t>当日</w:t>
            </w:r>
            <w:r>
              <w:rPr>
                <w:rFonts w:hint="eastAsia" w:ascii="宋体" w:hAnsi="宋体" w:cs="宋体"/>
                <w:color w:val="000000"/>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理财计划</w:t>
            </w:r>
            <w:r>
              <w:rPr>
                <w:rFonts w:hint="eastAsia" w:ascii="宋体" w:hAnsi="宋体" w:cs="宋体"/>
                <w:sz w:val="21"/>
                <w:szCs w:val="21"/>
                <w:highlight w:val="none"/>
                <w:lang w:val="en-US" w:eastAsia="zh-CN"/>
              </w:rPr>
              <w:t>〖每半年〗开放一次，具体开放期将以管理人公告为准。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w:t>
            </w:r>
            <w:r>
              <w:rPr>
                <w:rFonts w:hint="eastAsia" w:ascii="宋体" w:hAnsi="宋体" w:cs="宋体"/>
                <w:sz w:val="21"/>
                <w:szCs w:val="21"/>
                <w:highlight w:val="none"/>
              </w:rPr>
              <w:t>〖1〗个</w:t>
            </w:r>
            <w:r>
              <w:rPr>
                <w:rFonts w:hint="eastAsia" w:ascii="宋体" w:hAnsi="宋体" w:cs="宋体"/>
                <w:bCs/>
                <w:sz w:val="21"/>
                <w:szCs w:val="21"/>
                <w:highlight w:val="none"/>
              </w:rPr>
              <w:t>工作日进行确认。</w:t>
            </w:r>
            <w:r>
              <w:rPr>
                <w:rFonts w:hint="eastAsia" w:ascii="宋体" w:hAnsi="宋体" w:cs="宋体"/>
                <w:color w:val="000000"/>
                <w:sz w:val="21"/>
                <w:szCs w:val="21"/>
                <w:highlight w:val="none"/>
              </w:rPr>
              <w:t>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.工作时间为每个工作日上午〖9:00〗至下午〖17:00〗。确认日如遇非工作日，则顺延至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认购/开放期内提交的交易申请，在产品成立日/确认日前一日下午17:00之前可以撤单。</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单位净值=理财计划估值日理财计划总净值/理财计划总份额，单位净值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w:t>
            </w:r>
            <w:r>
              <w:rPr>
                <w:rFonts w:hint="eastAsia" w:ascii="宋体" w:hAnsi="宋体" w:cs="宋体"/>
                <w:color w:val="000000"/>
                <w:sz w:val="21"/>
                <w:szCs w:val="21"/>
                <w:highlight w:val="none"/>
                <w:lang w:val="en-US" w:eastAsia="zh-CN"/>
              </w:rPr>
              <w:t>四</w:t>
            </w:r>
            <w:r>
              <w:rPr>
                <w:rFonts w:hint="eastAsia" w:ascii="宋体" w:hAnsi="宋体" w:cs="宋体"/>
                <w:color w:val="000000"/>
                <w:sz w:val="21"/>
                <w:szCs w:val="21"/>
                <w:highlight w:val="none"/>
              </w:rPr>
              <w:t>位</w:t>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四位后去尾</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2.70%-3.40%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W份额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2.70%-3.40%</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w:t>
            </w:r>
            <w:r>
              <w:rPr>
                <w:rFonts w:hint="eastAsia" w:ascii="宋体" w:hAnsi="宋体" w:cs="宋体"/>
                <w:b/>
                <w:sz w:val="21"/>
                <w:szCs w:val="21"/>
                <w:highlight w:val="none"/>
              </w:rPr>
              <w:t>业绩比较基准不是预期收益率</w:t>
            </w:r>
            <w:r>
              <w:rPr>
                <w:rFonts w:hint="eastAsia" w:ascii="宋体" w:hAnsi="宋体" w:cs="宋体"/>
                <w:b/>
                <w:sz w:val="21"/>
                <w:szCs w:val="21"/>
                <w:highlight w:val="none"/>
                <w:lang w:eastAsia="zh-CN"/>
              </w:rPr>
              <w:t>，</w:t>
            </w:r>
            <w:r>
              <w:rPr>
                <w:rFonts w:hint="eastAsia" w:ascii="宋体" w:hAnsi="宋体" w:cs="宋体"/>
                <w:b/>
                <w:sz w:val="21"/>
                <w:szCs w:val="21"/>
                <w:highlight w:val="none"/>
              </w:rPr>
              <w:t>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0"/>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000000"/>
                <w:sz w:val="21"/>
                <w:szCs w:val="21"/>
                <w:highlight w:val="none"/>
              </w:rPr>
              <w:t>3.固定管理费：</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认购期内按照活期存款利率计息，认购期内的利息不计入认购本金份额。到期日（或理财计划实际终止日）到理财资金返还到账日为还本清算期，还本清算期内不计付利息。</w:t>
            </w:r>
            <w:r>
              <w:rPr>
                <w:rFonts w:hint="eastAsia" w:ascii="宋体" w:hAnsi="宋体" w:cs="宋体"/>
                <w:color w:val="000000"/>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固定收益类资产：包括但不限于各类债券、存款、货币市场金融工具、债券基金、质押式及买断式回购，其他符合监管要求的固定收益类资产及资产管理产品。</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sz w:val="24"/>
          <w:highlight w:val="none"/>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jc w:val="center"/>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6"/>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资产的可能流动性风险（如有）：权益类资产包括但不限于上市公司普通股、上市公司优先股、股票基金、股票定向增发等，受国家政策、经济周期、利率、汇率、股票发行人经营情况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杭州市庆春路46号杭州银行大厦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杭州市庆春路46号杭州银行大厦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江苏苏宁银行股份有限公司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95177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40011-88888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浙江网商银行股份有限公司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浙江省杭州市西湖区古荡街道西溪路556号阿里中心D幢9层、E幢3-8层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0571-26888888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p>
    <w:p>
      <w:pPr>
        <w:spacing w:line="360" w:lineRule="auto"/>
        <w:ind w:firstLine="482" w:firstLineChars="200"/>
        <w:rPr>
          <w:rFonts w:hint="eastAsia" w:ascii="宋体" w:hAnsi="宋体" w:cs="宋体"/>
          <w:b/>
          <w:sz w:val="24"/>
          <w:highlight w:val="none"/>
        </w:rPr>
      </w:pPr>
    </w:p>
    <w:p>
      <w:pPr>
        <w:spacing w:line="360" w:lineRule="auto"/>
        <w:jc w:val="left"/>
        <w:rPr>
          <w:rFonts w:ascii="宋体" w:hAnsi="宋体" w:cs="宋体"/>
          <w:bCs/>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6"/>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val="en-US" w:eastAsia="zh-CN"/>
        </w:rPr>
        <w:t>以收取</w:t>
      </w:r>
      <w:r>
        <w:rPr>
          <w:rFonts w:hint="eastAsia" w:ascii="宋体" w:hAnsi="宋体" w:cs="宋体"/>
          <w:bCs/>
          <w:color w:val="000000"/>
          <w:sz w:val="24"/>
          <w:highlight w:val="none"/>
        </w:rPr>
        <w:t>合同现金流量为目的并持有到期的债券及同业存单类资产，按摊余成本法进行计量。其余债券及同业存单类资产，按市价法估值。市价法不能确定公允价值的，采用估值技术进行估值。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val="en-US" w:eastAsia="zh-CN"/>
        </w:rPr>
        <w:t>对于</w:t>
      </w:r>
      <w:r>
        <w:rPr>
          <w:rFonts w:hint="eastAsia" w:ascii="宋体" w:hAnsi="宋体" w:cs="宋体"/>
          <w:bCs/>
          <w:color w:val="000000"/>
          <w:sz w:val="24"/>
          <w:highlight w:val="none"/>
        </w:rPr>
        <w:t>符合监管要求的债权类资产，按照摊余成本法进行计量。其余债权类资产，按市价法估值。市价法不能确定其公允价值的，采用估值技术进行估值。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6"/>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6"/>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6"/>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6"/>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T为当前投资周期内每单位份额的实际分红金额的合计（如有）</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2"/>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2"/>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2"/>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3"/>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w:t>
      </w:r>
      <w:r>
        <w:rPr>
          <w:rFonts w:hint="eastAsia" w:ascii="宋体" w:hAnsi="宋体" w:cs="宋体"/>
          <w:bCs/>
          <w:color w:val="000000"/>
        </w:rPr>
        <w:t>具体以销售机构要求为准</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7"/>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49"/>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2"/>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4"/>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1"/>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投资者进行投资时，应严格遵守反洗钱相关法规的规定，切实履行反洗钱及反恐怖融资义务。</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3"/>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jc w:val="center"/>
        <w:outlineLvl w:val="0"/>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投资需谨慎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8">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9">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0">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1">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2">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3">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4">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5">
    <w:nsid w:val="D8D75090"/>
    <w:multiLevelType w:val="singleLevel"/>
    <w:tmpl w:val="D8D75090"/>
    <w:lvl w:ilvl="0" w:tentative="0">
      <w:start w:val="1"/>
      <w:numFmt w:val="decimal"/>
      <w:suff w:val="nothing"/>
      <w:lvlText w:val="（%1）"/>
      <w:lvlJc w:val="left"/>
      <w:rPr>
        <w:rFonts w:hint="default"/>
        <w:b w:val="0"/>
        <w:bCs w:val="0"/>
      </w:rPr>
    </w:lvl>
  </w:abstractNum>
  <w:abstractNum w:abstractNumId="26">
    <w:nsid w:val="DD2251DF"/>
    <w:multiLevelType w:val="singleLevel"/>
    <w:tmpl w:val="DD2251DF"/>
    <w:lvl w:ilvl="0" w:tentative="0">
      <w:start w:val="1"/>
      <w:numFmt w:val="decimal"/>
      <w:suff w:val="nothing"/>
      <w:lvlText w:val="（%1）"/>
      <w:lvlJc w:val="left"/>
      <w:rPr>
        <w:rFonts w:hint="default"/>
        <w:b w:val="0"/>
        <w:bCs w:val="0"/>
      </w:rPr>
    </w:lvl>
  </w:abstractNum>
  <w:abstractNum w:abstractNumId="27">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8">
    <w:nsid w:val="E70DF796"/>
    <w:multiLevelType w:val="singleLevel"/>
    <w:tmpl w:val="E70DF796"/>
    <w:lvl w:ilvl="0" w:tentative="0">
      <w:start w:val="1"/>
      <w:numFmt w:val="decimal"/>
      <w:suff w:val="nothing"/>
      <w:lvlText w:val="（%1）"/>
      <w:lvlJc w:val="left"/>
    </w:lvl>
  </w:abstractNum>
  <w:abstractNum w:abstractNumId="29">
    <w:nsid w:val="EFF37F09"/>
    <w:multiLevelType w:val="singleLevel"/>
    <w:tmpl w:val="EFF37F09"/>
    <w:lvl w:ilvl="0" w:tentative="0">
      <w:start w:val="1"/>
      <w:numFmt w:val="decimal"/>
      <w:suff w:val="nothing"/>
      <w:lvlText w:val="（%1）"/>
      <w:lvlJc w:val="left"/>
      <w:rPr>
        <w:rFonts w:hint="default"/>
        <w:b w:val="0"/>
        <w:bCs w:val="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3">
    <w:nsid w:val="F574F5B6"/>
    <w:multiLevelType w:val="singleLevel"/>
    <w:tmpl w:val="F574F5B6"/>
    <w:lvl w:ilvl="0" w:tentative="0">
      <w:start w:val="1"/>
      <w:numFmt w:val="decimal"/>
      <w:suff w:val="nothing"/>
      <w:lvlText w:val="（%1）"/>
      <w:lvlJc w:val="left"/>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5">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6">
    <w:nsid w:val="084A6179"/>
    <w:multiLevelType w:val="singleLevel"/>
    <w:tmpl w:val="084A6179"/>
    <w:lvl w:ilvl="0" w:tentative="0">
      <w:start w:val="1"/>
      <w:numFmt w:val="decimal"/>
      <w:suff w:val="nothing"/>
      <w:lvlText w:val="（%1）"/>
      <w:lvlJc w:val="left"/>
      <w:rPr>
        <w:rFonts w:hint="default"/>
        <w:highlight w:val="none"/>
      </w:rPr>
    </w:lvl>
  </w:abstractNum>
  <w:abstractNum w:abstractNumId="37">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8">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6">
    <w:nsid w:val="2CB63BE6"/>
    <w:multiLevelType w:val="singleLevel"/>
    <w:tmpl w:val="2CB63BE6"/>
    <w:lvl w:ilvl="0" w:tentative="0">
      <w:start w:val="1"/>
      <w:numFmt w:val="decimal"/>
      <w:suff w:val="nothing"/>
      <w:lvlText w:val="（%1）"/>
      <w:lvlJc w:val="left"/>
      <w:rPr>
        <w:rFonts w:hint="default"/>
        <w:b w:val="0"/>
        <w:bCs w:val="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59">
    <w:nsid w:val="5BA91325"/>
    <w:multiLevelType w:val="singleLevel"/>
    <w:tmpl w:val="5BA91325"/>
    <w:lvl w:ilvl="0" w:tentative="0">
      <w:start w:val="1"/>
      <w:numFmt w:val="decimal"/>
      <w:suff w:val="nothing"/>
      <w:lvlText w:val="（%1）"/>
      <w:lvlJc w:val="left"/>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0">
    <w:nsid w:val="61F30F62"/>
    <w:multiLevelType w:val="singleLevel"/>
    <w:tmpl w:val="61F30F62"/>
    <w:lvl w:ilvl="0" w:tentative="0">
      <w:start w:val="1"/>
      <w:numFmt w:val="decimal"/>
      <w:suff w:val="nothing"/>
      <w:lvlText w:val="（%1）"/>
      <w:lvlJc w:val="left"/>
      <w:rPr>
        <w:rFonts w:hint="default"/>
        <w:b w:val="0"/>
        <w:bCs w:val="0"/>
      </w:rPr>
    </w:lvl>
  </w:abstractNum>
  <w:abstractNum w:abstractNumId="8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1"/>
  </w:num>
  <w:num w:numId="3">
    <w:abstractNumId w:val="51"/>
  </w:num>
  <w:num w:numId="4">
    <w:abstractNumId w:val="43"/>
  </w:num>
  <w:num w:numId="5">
    <w:abstractNumId w:val="21"/>
  </w:num>
  <w:num w:numId="6">
    <w:abstractNumId w:val="82"/>
  </w:num>
  <w:num w:numId="7">
    <w:abstractNumId w:val="37"/>
  </w:num>
  <w:num w:numId="8">
    <w:abstractNumId w:val="83"/>
  </w:num>
  <w:num w:numId="9">
    <w:abstractNumId w:val="57"/>
  </w:num>
  <w:num w:numId="10">
    <w:abstractNumId w:val="53"/>
  </w:num>
  <w:num w:numId="11">
    <w:abstractNumId w:val="34"/>
  </w:num>
  <w:num w:numId="12">
    <w:abstractNumId w:val="31"/>
  </w:num>
  <w:num w:numId="13">
    <w:abstractNumId w:val="39"/>
  </w:num>
  <w:num w:numId="14">
    <w:abstractNumId w:val="30"/>
  </w:num>
  <w:num w:numId="15">
    <w:abstractNumId w:val="22"/>
  </w:num>
  <w:num w:numId="16">
    <w:abstractNumId w:val="11"/>
  </w:num>
  <w:num w:numId="17">
    <w:abstractNumId w:val="18"/>
  </w:num>
  <w:num w:numId="18">
    <w:abstractNumId w:val="8"/>
  </w:num>
  <w:num w:numId="19">
    <w:abstractNumId w:val="9"/>
  </w:num>
  <w:num w:numId="20">
    <w:abstractNumId w:val="7"/>
  </w:num>
  <w:num w:numId="21">
    <w:abstractNumId w:val="38"/>
  </w:num>
  <w:num w:numId="22">
    <w:abstractNumId w:val="52"/>
  </w:num>
  <w:num w:numId="23">
    <w:abstractNumId w:val="33"/>
  </w:num>
  <w:num w:numId="24">
    <w:abstractNumId w:val="54"/>
  </w:num>
  <w:num w:numId="25">
    <w:abstractNumId w:val="59"/>
  </w:num>
  <w:num w:numId="26">
    <w:abstractNumId w:val="45"/>
  </w:num>
  <w:num w:numId="27">
    <w:abstractNumId w:val="20"/>
  </w:num>
  <w:num w:numId="28">
    <w:abstractNumId w:val="44"/>
  </w:num>
  <w:num w:numId="29">
    <w:abstractNumId w:val="24"/>
  </w:num>
  <w:num w:numId="30">
    <w:abstractNumId w:val="6"/>
  </w:num>
  <w:num w:numId="31">
    <w:abstractNumId w:val="56"/>
  </w:num>
  <w:num w:numId="32">
    <w:abstractNumId w:val="5"/>
  </w:num>
  <w:num w:numId="33">
    <w:abstractNumId w:val="36"/>
  </w:num>
  <w:num w:numId="34">
    <w:abstractNumId w:val="42"/>
  </w:num>
  <w:num w:numId="35">
    <w:abstractNumId w:val="81"/>
  </w:num>
  <w:num w:numId="36">
    <w:abstractNumId w:val="35"/>
  </w:num>
  <w:num w:numId="37">
    <w:abstractNumId w:val="23"/>
  </w:num>
  <w:num w:numId="38">
    <w:abstractNumId w:val="47"/>
  </w:num>
  <w:num w:numId="39">
    <w:abstractNumId w:val="0"/>
  </w:num>
  <w:num w:numId="40">
    <w:abstractNumId w:val="26"/>
  </w:num>
  <w:num w:numId="41">
    <w:abstractNumId w:val="50"/>
  </w:num>
  <w:num w:numId="42">
    <w:abstractNumId w:val="3"/>
  </w:num>
  <w:num w:numId="43">
    <w:abstractNumId w:val="27"/>
  </w:num>
  <w:num w:numId="44">
    <w:abstractNumId w:val="17"/>
  </w:num>
  <w:num w:numId="45">
    <w:abstractNumId w:val="55"/>
  </w:num>
  <w:num w:numId="46">
    <w:abstractNumId w:val="40"/>
  </w:num>
  <w:num w:numId="47">
    <w:abstractNumId w:val="19"/>
  </w:num>
  <w:num w:numId="48">
    <w:abstractNumId w:val="32"/>
  </w:num>
  <w:num w:numId="49">
    <w:abstractNumId w:val="28"/>
  </w:num>
  <w:num w:numId="50">
    <w:abstractNumId w:val="29"/>
  </w:num>
  <w:num w:numId="51">
    <w:abstractNumId w:val="80"/>
  </w:num>
  <w:num w:numId="52">
    <w:abstractNumId w:val="46"/>
  </w:num>
  <w:num w:numId="53">
    <w:abstractNumId w:val="2"/>
  </w:num>
  <w:num w:numId="54">
    <w:abstractNumId w:val="58"/>
  </w:num>
  <w:num w:numId="55">
    <w:abstractNumId w:val="12"/>
  </w:num>
  <w:num w:numId="56">
    <w:abstractNumId w:val="10"/>
  </w:num>
  <w:num w:numId="57">
    <w:abstractNumId w:val="13"/>
  </w:num>
  <w:num w:numId="58">
    <w:abstractNumId w:val="41"/>
  </w:num>
  <w:num w:numId="59">
    <w:abstractNumId w:val="25"/>
  </w:num>
  <w:num w:numId="60">
    <w:abstractNumId w:val="4"/>
  </w:num>
  <w:num w:numId="61">
    <w:abstractNumId w:val="49"/>
  </w:num>
  <w:num w:numId="62">
    <w:abstractNumId w:val="67"/>
  </w:num>
  <w:num w:numId="63">
    <w:abstractNumId w:val="66"/>
  </w:num>
  <w:num w:numId="64">
    <w:abstractNumId w:val="68"/>
  </w:num>
  <w:num w:numId="65">
    <w:abstractNumId w:val="69"/>
  </w:num>
  <w:num w:numId="66">
    <w:abstractNumId w:val="70"/>
  </w:num>
  <w:num w:numId="67">
    <w:abstractNumId w:val="71"/>
  </w:num>
  <w:num w:numId="68">
    <w:abstractNumId w:val="72"/>
  </w:num>
  <w:num w:numId="69">
    <w:abstractNumId w:val="73"/>
  </w:num>
  <w:num w:numId="70">
    <w:abstractNumId w:val="48"/>
  </w:num>
  <w:num w:numId="71">
    <w:abstractNumId w:val="16"/>
  </w:num>
  <w:num w:numId="72">
    <w:abstractNumId w:val="60"/>
  </w:num>
  <w:num w:numId="73">
    <w:abstractNumId w:val="61"/>
  </w:num>
  <w:num w:numId="74">
    <w:abstractNumId w:val="62"/>
  </w:num>
  <w:num w:numId="75">
    <w:abstractNumId w:val="63"/>
  </w:num>
  <w:num w:numId="76">
    <w:abstractNumId w:val="64"/>
  </w:num>
  <w:num w:numId="77">
    <w:abstractNumId w:val="65"/>
  </w:num>
  <w:num w:numId="78">
    <w:abstractNumId w:val="74"/>
  </w:num>
  <w:num w:numId="79">
    <w:abstractNumId w:val="75"/>
  </w:num>
  <w:num w:numId="80">
    <w:abstractNumId w:val="15"/>
  </w:num>
  <w:num w:numId="81">
    <w:abstractNumId w:val="76"/>
  </w:num>
  <w:num w:numId="82">
    <w:abstractNumId w:val="77"/>
  </w:num>
  <w:num w:numId="83">
    <w:abstractNumId w:val="78"/>
  </w:num>
  <w:num w:numId="84">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3D45A6"/>
    <w:rsid w:val="004A3A51"/>
    <w:rsid w:val="00D5498D"/>
    <w:rsid w:val="01034118"/>
    <w:rsid w:val="01364432"/>
    <w:rsid w:val="01523B8E"/>
    <w:rsid w:val="01BB3F30"/>
    <w:rsid w:val="01E60817"/>
    <w:rsid w:val="01FD241C"/>
    <w:rsid w:val="02E503FA"/>
    <w:rsid w:val="03330234"/>
    <w:rsid w:val="03F1228C"/>
    <w:rsid w:val="046C4318"/>
    <w:rsid w:val="04D62C5D"/>
    <w:rsid w:val="05165B63"/>
    <w:rsid w:val="05E05E4D"/>
    <w:rsid w:val="05ED7265"/>
    <w:rsid w:val="06420CFA"/>
    <w:rsid w:val="06503B59"/>
    <w:rsid w:val="065B6789"/>
    <w:rsid w:val="06DA626B"/>
    <w:rsid w:val="06F301FD"/>
    <w:rsid w:val="0752555A"/>
    <w:rsid w:val="07C960D7"/>
    <w:rsid w:val="07E45984"/>
    <w:rsid w:val="0828699A"/>
    <w:rsid w:val="087D4021"/>
    <w:rsid w:val="08E1077C"/>
    <w:rsid w:val="09155E8F"/>
    <w:rsid w:val="096C0468"/>
    <w:rsid w:val="097E3F67"/>
    <w:rsid w:val="09FE573C"/>
    <w:rsid w:val="0A0C6349"/>
    <w:rsid w:val="0A1347F5"/>
    <w:rsid w:val="0A1F3796"/>
    <w:rsid w:val="0A2A32B9"/>
    <w:rsid w:val="0B8E27E3"/>
    <w:rsid w:val="0BF71AE2"/>
    <w:rsid w:val="0C9C7394"/>
    <w:rsid w:val="0CA6603D"/>
    <w:rsid w:val="0D0B1B00"/>
    <w:rsid w:val="0D3F210A"/>
    <w:rsid w:val="0E36795A"/>
    <w:rsid w:val="0E4A4B6F"/>
    <w:rsid w:val="0E9465E2"/>
    <w:rsid w:val="0EAE473F"/>
    <w:rsid w:val="0EF65480"/>
    <w:rsid w:val="0F3349D0"/>
    <w:rsid w:val="0F4C037E"/>
    <w:rsid w:val="0F821EAC"/>
    <w:rsid w:val="10776FA2"/>
    <w:rsid w:val="10E7087B"/>
    <w:rsid w:val="10FA5463"/>
    <w:rsid w:val="119C4829"/>
    <w:rsid w:val="11BA058F"/>
    <w:rsid w:val="12081858"/>
    <w:rsid w:val="12B62B3B"/>
    <w:rsid w:val="12F57C75"/>
    <w:rsid w:val="12F65E46"/>
    <w:rsid w:val="12F96486"/>
    <w:rsid w:val="13031153"/>
    <w:rsid w:val="13181417"/>
    <w:rsid w:val="135A629F"/>
    <w:rsid w:val="13CF7B8E"/>
    <w:rsid w:val="14B80FF2"/>
    <w:rsid w:val="14C57FED"/>
    <w:rsid w:val="150C5665"/>
    <w:rsid w:val="15485BE1"/>
    <w:rsid w:val="15C56302"/>
    <w:rsid w:val="160940BB"/>
    <w:rsid w:val="1659752C"/>
    <w:rsid w:val="16CE5BE1"/>
    <w:rsid w:val="16E43A7F"/>
    <w:rsid w:val="175F7C56"/>
    <w:rsid w:val="185A3DA1"/>
    <w:rsid w:val="198C4B50"/>
    <w:rsid w:val="19BB4557"/>
    <w:rsid w:val="19DA4F78"/>
    <w:rsid w:val="19F13F4F"/>
    <w:rsid w:val="1A102675"/>
    <w:rsid w:val="1A3B5FB6"/>
    <w:rsid w:val="1B280245"/>
    <w:rsid w:val="1B581220"/>
    <w:rsid w:val="1B843575"/>
    <w:rsid w:val="1BBE4697"/>
    <w:rsid w:val="1CD6762A"/>
    <w:rsid w:val="1D4D5B7F"/>
    <w:rsid w:val="1D5076C2"/>
    <w:rsid w:val="1D552DD9"/>
    <w:rsid w:val="1DAB6D83"/>
    <w:rsid w:val="1E3173A3"/>
    <w:rsid w:val="1E792E51"/>
    <w:rsid w:val="1F0F5A19"/>
    <w:rsid w:val="1F1D6E1F"/>
    <w:rsid w:val="1F3E7F7D"/>
    <w:rsid w:val="1F51312D"/>
    <w:rsid w:val="1FC9553A"/>
    <w:rsid w:val="204D3B12"/>
    <w:rsid w:val="205A2AB3"/>
    <w:rsid w:val="20B6224D"/>
    <w:rsid w:val="21025026"/>
    <w:rsid w:val="21036497"/>
    <w:rsid w:val="21CE3241"/>
    <w:rsid w:val="22A04AF7"/>
    <w:rsid w:val="22A73C8E"/>
    <w:rsid w:val="22D3594B"/>
    <w:rsid w:val="22F12819"/>
    <w:rsid w:val="22F16CBB"/>
    <w:rsid w:val="234F46D7"/>
    <w:rsid w:val="23753F06"/>
    <w:rsid w:val="238E1AAE"/>
    <w:rsid w:val="23DF60A6"/>
    <w:rsid w:val="24030B6D"/>
    <w:rsid w:val="24345B9A"/>
    <w:rsid w:val="245517BD"/>
    <w:rsid w:val="2483647E"/>
    <w:rsid w:val="256F076F"/>
    <w:rsid w:val="25AF7681"/>
    <w:rsid w:val="25CA2E84"/>
    <w:rsid w:val="26820AF7"/>
    <w:rsid w:val="268D46D2"/>
    <w:rsid w:val="27947E62"/>
    <w:rsid w:val="27EB2573"/>
    <w:rsid w:val="292668E3"/>
    <w:rsid w:val="29361BBD"/>
    <w:rsid w:val="2A124404"/>
    <w:rsid w:val="2A1B5D68"/>
    <w:rsid w:val="2A5975B6"/>
    <w:rsid w:val="2A991D32"/>
    <w:rsid w:val="2AB92324"/>
    <w:rsid w:val="2AD6555A"/>
    <w:rsid w:val="2B376BE0"/>
    <w:rsid w:val="2B5B0398"/>
    <w:rsid w:val="2C1B1E9D"/>
    <w:rsid w:val="2CAB68C5"/>
    <w:rsid w:val="2E354AE5"/>
    <w:rsid w:val="2EBC6D03"/>
    <w:rsid w:val="2F196945"/>
    <w:rsid w:val="2F1F666C"/>
    <w:rsid w:val="2FD32A37"/>
    <w:rsid w:val="30111202"/>
    <w:rsid w:val="30551FFC"/>
    <w:rsid w:val="311F702A"/>
    <w:rsid w:val="31331DE0"/>
    <w:rsid w:val="31A82883"/>
    <w:rsid w:val="320E3E15"/>
    <w:rsid w:val="32B15B31"/>
    <w:rsid w:val="32C937E9"/>
    <w:rsid w:val="333F6AA7"/>
    <w:rsid w:val="3480359E"/>
    <w:rsid w:val="34BE4ED5"/>
    <w:rsid w:val="35476F5E"/>
    <w:rsid w:val="354D3F58"/>
    <w:rsid w:val="359A216E"/>
    <w:rsid w:val="35CB65AD"/>
    <w:rsid w:val="36631FD8"/>
    <w:rsid w:val="36C419F2"/>
    <w:rsid w:val="36E72D9B"/>
    <w:rsid w:val="36FD7080"/>
    <w:rsid w:val="379F2ED6"/>
    <w:rsid w:val="37CA172C"/>
    <w:rsid w:val="37DC2068"/>
    <w:rsid w:val="38071350"/>
    <w:rsid w:val="38224FD0"/>
    <w:rsid w:val="38E31C93"/>
    <w:rsid w:val="39775E90"/>
    <w:rsid w:val="39AC0F1B"/>
    <w:rsid w:val="39B95084"/>
    <w:rsid w:val="39BA0AF0"/>
    <w:rsid w:val="3A3E2041"/>
    <w:rsid w:val="3B131EF6"/>
    <w:rsid w:val="3B490D86"/>
    <w:rsid w:val="3BD74075"/>
    <w:rsid w:val="3C2F2290"/>
    <w:rsid w:val="3E2C1E51"/>
    <w:rsid w:val="3E6704D2"/>
    <w:rsid w:val="3EA67C14"/>
    <w:rsid w:val="3EAD1B36"/>
    <w:rsid w:val="3F056B9E"/>
    <w:rsid w:val="3F354A62"/>
    <w:rsid w:val="3FB01289"/>
    <w:rsid w:val="3FE233B8"/>
    <w:rsid w:val="3FF54C55"/>
    <w:rsid w:val="40181F9C"/>
    <w:rsid w:val="406370BC"/>
    <w:rsid w:val="40DF388D"/>
    <w:rsid w:val="40FB7670"/>
    <w:rsid w:val="412E2C9B"/>
    <w:rsid w:val="41B60000"/>
    <w:rsid w:val="423C06E2"/>
    <w:rsid w:val="42815397"/>
    <w:rsid w:val="42C94634"/>
    <w:rsid w:val="43113F5B"/>
    <w:rsid w:val="43BB29BF"/>
    <w:rsid w:val="45540446"/>
    <w:rsid w:val="458F3937"/>
    <w:rsid w:val="459F641E"/>
    <w:rsid w:val="45A93DC9"/>
    <w:rsid w:val="45BB5620"/>
    <w:rsid w:val="45EC58A2"/>
    <w:rsid w:val="45F127ED"/>
    <w:rsid w:val="46263D02"/>
    <w:rsid w:val="46CD66A0"/>
    <w:rsid w:val="472803B7"/>
    <w:rsid w:val="478411E4"/>
    <w:rsid w:val="48021DEB"/>
    <w:rsid w:val="488B59A4"/>
    <w:rsid w:val="48CC5267"/>
    <w:rsid w:val="494502E1"/>
    <w:rsid w:val="494C4325"/>
    <w:rsid w:val="49BB2867"/>
    <w:rsid w:val="49C64B62"/>
    <w:rsid w:val="4A010AC9"/>
    <w:rsid w:val="4A7F0ADF"/>
    <w:rsid w:val="4AA612F0"/>
    <w:rsid w:val="4AE56FB7"/>
    <w:rsid w:val="4B0D3113"/>
    <w:rsid w:val="4B2770CB"/>
    <w:rsid w:val="4B660D6A"/>
    <w:rsid w:val="4B992D86"/>
    <w:rsid w:val="4C1A730D"/>
    <w:rsid w:val="4C6B0DDA"/>
    <w:rsid w:val="4C6E1306"/>
    <w:rsid w:val="4CC946ED"/>
    <w:rsid w:val="4CF979F4"/>
    <w:rsid w:val="4D8C0BC8"/>
    <w:rsid w:val="4E186164"/>
    <w:rsid w:val="4E247E9A"/>
    <w:rsid w:val="4E2F1033"/>
    <w:rsid w:val="4E8274B0"/>
    <w:rsid w:val="4EA65BC4"/>
    <w:rsid w:val="4EF420E3"/>
    <w:rsid w:val="4EFC1B31"/>
    <w:rsid w:val="4F2836A5"/>
    <w:rsid w:val="4FF363B3"/>
    <w:rsid w:val="501216FC"/>
    <w:rsid w:val="50B73634"/>
    <w:rsid w:val="51434E1B"/>
    <w:rsid w:val="51504FE6"/>
    <w:rsid w:val="549B0520"/>
    <w:rsid w:val="54E90CED"/>
    <w:rsid w:val="54E91D9C"/>
    <w:rsid w:val="55A47BB4"/>
    <w:rsid w:val="5625142C"/>
    <w:rsid w:val="56B44788"/>
    <w:rsid w:val="570528AC"/>
    <w:rsid w:val="57141583"/>
    <w:rsid w:val="57BB6218"/>
    <w:rsid w:val="57FF3AAA"/>
    <w:rsid w:val="58DD2EEE"/>
    <w:rsid w:val="58E96C7A"/>
    <w:rsid w:val="59263C31"/>
    <w:rsid w:val="59AD3C67"/>
    <w:rsid w:val="5A4B183F"/>
    <w:rsid w:val="5B0D630F"/>
    <w:rsid w:val="5B602150"/>
    <w:rsid w:val="5B9919B4"/>
    <w:rsid w:val="5B9E0365"/>
    <w:rsid w:val="5BB70148"/>
    <w:rsid w:val="5BF22FE4"/>
    <w:rsid w:val="5C2F1987"/>
    <w:rsid w:val="5C3C3DDC"/>
    <w:rsid w:val="5C751668"/>
    <w:rsid w:val="5D160516"/>
    <w:rsid w:val="5D690386"/>
    <w:rsid w:val="5D713BC5"/>
    <w:rsid w:val="5D7D0F36"/>
    <w:rsid w:val="5DB61BFF"/>
    <w:rsid w:val="5DEF454B"/>
    <w:rsid w:val="5E076A27"/>
    <w:rsid w:val="5E5A6C63"/>
    <w:rsid w:val="5F3C6712"/>
    <w:rsid w:val="5F4B58F3"/>
    <w:rsid w:val="6053481F"/>
    <w:rsid w:val="60553A8D"/>
    <w:rsid w:val="606E0DED"/>
    <w:rsid w:val="60AB2000"/>
    <w:rsid w:val="60F2599C"/>
    <w:rsid w:val="61C97391"/>
    <w:rsid w:val="61D85325"/>
    <w:rsid w:val="62860AAA"/>
    <w:rsid w:val="628B7CEE"/>
    <w:rsid w:val="629D5796"/>
    <w:rsid w:val="62B8299F"/>
    <w:rsid w:val="63FA4C5C"/>
    <w:rsid w:val="64102A52"/>
    <w:rsid w:val="64BC6713"/>
    <w:rsid w:val="66F54088"/>
    <w:rsid w:val="671E2162"/>
    <w:rsid w:val="67C2281F"/>
    <w:rsid w:val="680C1A56"/>
    <w:rsid w:val="684F0C72"/>
    <w:rsid w:val="68D8721E"/>
    <w:rsid w:val="6A7F04CC"/>
    <w:rsid w:val="6A831914"/>
    <w:rsid w:val="6B4C3753"/>
    <w:rsid w:val="6B610D05"/>
    <w:rsid w:val="6BAC21D5"/>
    <w:rsid w:val="6CED1CB3"/>
    <w:rsid w:val="6D30397A"/>
    <w:rsid w:val="6D3B42C3"/>
    <w:rsid w:val="6D5A3D63"/>
    <w:rsid w:val="6D9A4080"/>
    <w:rsid w:val="6E1942EF"/>
    <w:rsid w:val="6E7E575F"/>
    <w:rsid w:val="6EC27507"/>
    <w:rsid w:val="6EF15941"/>
    <w:rsid w:val="6F926461"/>
    <w:rsid w:val="6F9921A1"/>
    <w:rsid w:val="6FA453FA"/>
    <w:rsid w:val="71E101E4"/>
    <w:rsid w:val="71EA2A00"/>
    <w:rsid w:val="720B7A64"/>
    <w:rsid w:val="720F6016"/>
    <w:rsid w:val="722D6F9E"/>
    <w:rsid w:val="72581C8E"/>
    <w:rsid w:val="73407EBD"/>
    <w:rsid w:val="734143C0"/>
    <w:rsid w:val="73932176"/>
    <w:rsid w:val="73EF4563"/>
    <w:rsid w:val="74037319"/>
    <w:rsid w:val="74175679"/>
    <w:rsid w:val="744124AA"/>
    <w:rsid w:val="74664F47"/>
    <w:rsid w:val="756E538F"/>
    <w:rsid w:val="75D950C9"/>
    <w:rsid w:val="76F41323"/>
    <w:rsid w:val="77100360"/>
    <w:rsid w:val="778222EA"/>
    <w:rsid w:val="778B4219"/>
    <w:rsid w:val="77A30DC4"/>
    <w:rsid w:val="77C62323"/>
    <w:rsid w:val="77E0572E"/>
    <w:rsid w:val="77ED4104"/>
    <w:rsid w:val="78EC13E3"/>
    <w:rsid w:val="78EF4372"/>
    <w:rsid w:val="79771B00"/>
    <w:rsid w:val="7980282D"/>
    <w:rsid w:val="798F6426"/>
    <w:rsid w:val="79B94653"/>
    <w:rsid w:val="7ACA272A"/>
    <w:rsid w:val="7B0E7C70"/>
    <w:rsid w:val="7B2E004A"/>
    <w:rsid w:val="7B76641B"/>
    <w:rsid w:val="7BBF1397"/>
    <w:rsid w:val="7BEA2EC4"/>
    <w:rsid w:val="7CED52DC"/>
    <w:rsid w:val="7DAD7B6B"/>
    <w:rsid w:val="7E4C7E5D"/>
    <w:rsid w:val="7E6F339A"/>
    <w:rsid w:val="7E810662"/>
    <w:rsid w:val="7ED67E61"/>
    <w:rsid w:val="7F590AE3"/>
    <w:rsid w:val="7FB62C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0"/>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4"/>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19"/>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3"/>
    <w:uiPriority w:val="0"/>
    <w:pPr>
      <w:jc w:val="left"/>
    </w:pPr>
  </w:style>
  <w:style w:type="paragraph" w:styleId="6">
    <w:name w:val="Balloon Text"/>
    <w:basedOn w:val="1"/>
    <w:link w:val="22"/>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1"/>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Default"/>
    <w:qFormat/>
    <w:uiPriority w:val="0"/>
    <w:pPr>
      <w:widowControl w:val="0"/>
      <w:autoSpaceDE w:val="0"/>
      <w:autoSpaceDN w:val="0"/>
      <w:adjustRightInd w:val="0"/>
    </w:pPr>
    <w:rPr>
      <w:color w:val="000000"/>
      <w:sz w:val="24"/>
      <w:szCs w:val="24"/>
      <w:lang w:val="en-US" w:eastAsia="zh-CN" w:bidi="ar-SA"/>
    </w:rPr>
  </w:style>
  <w:style w:type="paragraph" w:customStyle="1" w:styleId="17">
    <w:name w:val="List Paragraph"/>
    <w:basedOn w:val="1"/>
    <w:unhideWhenUsed/>
    <w:uiPriority w:val="99"/>
    <w:pPr>
      <w:ind w:firstLine="420" w:firstLineChars="200"/>
    </w:pPr>
  </w:style>
  <w:style w:type="paragraph" w:customStyle="1" w:styleId="18">
    <w:name w:val="样式1"/>
    <w:basedOn w:val="1"/>
    <w:next w:val="1"/>
    <w:uiPriority w:val="0"/>
    <w:pPr>
      <w:keepNext/>
      <w:keepLines/>
      <w:spacing w:before="340" w:beforeLines="0" w:after="330" w:afterLines="0" w:line="576" w:lineRule="auto"/>
      <w:outlineLvl w:val="0"/>
    </w:pPr>
    <w:rPr>
      <w:rFonts w:hint="eastAsia"/>
      <w:b/>
      <w:kern w:val="44"/>
      <w:sz w:val="44"/>
    </w:rPr>
  </w:style>
  <w:style w:type="character" w:customStyle="1" w:styleId="19">
    <w:name w:val="标题 3 Char"/>
    <w:link w:val="4"/>
    <w:uiPriority w:val="0"/>
    <w:rPr>
      <w:rFonts w:hAnsi="Calibri" w:eastAsia="宋体"/>
      <w:b/>
      <w:sz w:val="24"/>
    </w:rPr>
  </w:style>
  <w:style w:type="character" w:customStyle="1" w:styleId="20">
    <w:name w:val="标题 1 Char"/>
    <w:link w:val="2"/>
    <w:uiPriority w:val="0"/>
    <w:rPr>
      <w:rFonts w:eastAsia="宋体"/>
      <w:b/>
      <w:kern w:val="44"/>
      <w:sz w:val="44"/>
    </w:rPr>
  </w:style>
  <w:style w:type="character" w:customStyle="1" w:styleId="21">
    <w:name w:val="批注主题 Char"/>
    <w:link w:val="10"/>
    <w:uiPriority w:val="0"/>
    <w:rPr>
      <w:rFonts w:ascii="Calibri" w:hAnsi="Calibri" w:cs="黑体"/>
      <w:b/>
      <w:bCs/>
      <w:kern w:val="2"/>
      <w:sz w:val="21"/>
      <w:szCs w:val="24"/>
    </w:rPr>
  </w:style>
  <w:style w:type="character" w:customStyle="1" w:styleId="22">
    <w:name w:val="批注框文本 Char"/>
    <w:link w:val="6"/>
    <w:uiPriority w:val="0"/>
    <w:rPr>
      <w:rFonts w:ascii="Calibri" w:hAnsi="Calibri" w:cs="黑体"/>
      <w:kern w:val="2"/>
      <w:sz w:val="18"/>
      <w:szCs w:val="18"/>
    </w:rPr>
  </w:style>
  <w:style w:type="character" w:customStyle="1" w:styleId="23">
    <w:name w:val="批注文字 Char"/>
    <w:link w:val="5"/>
    <w:uiPriority w:val="0"/>
    <w:rPr>
      <w:rFonts w:ascii="Calibri" w:hAnsi="Calibri" w:cs="黑体"/>
      <w:kern w:val="2"/>
      <w:sz w:val="21"/>
      <w:szCs w:val="24"/>
    </w:rPr>
  </w:style>
  <w:style w:type="character" w:customStyle="1" w:styleId="24">
    <w:name w:val="标题 2 Char"/>
    <w:link w:val="3"/>
    <w:uiPriority w:val="0"/>
    <w:rPr>
      <w:rFonts w:ascii="Arial" w:hAnsi="Arial" w:eastAsia="宋体"/>
      <w:b/>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36396</Words>
  <Characters>38771</Characters>
  <Lines>1</Lines>
  <Paragraphs>1</Paragraphs>
  <TotalTime>0</TotalTime>
  <ScaleCrop>false</ScaleCrop>
  <LinksUpToDate>false</LinksUpToDate>
  <CharactersWithSpaces>38996</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2024-03-18T07:31:24Z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