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cs="宋体"/>
          <w:b/>
          <w:bCs/>
          <w:sz w:val="44"/>
          <w:szCs w:val="44"/>
          <w:highlight w:val="none"/>
          <w:lang w:eastAsia="zh-CN"/>
        </w:rPr>
        <w:t>幸福99添益固收(稳盈存款存单策略)14天持有期理财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b/>
          <w:bCs/>
          <w:sz w:val="44"/>
          <w:szCs w:val="44"/>
          <w:highlight w:val="none"/>
          <w:lang w:val="en-US" w:eastAsia="zh-CN"/>
        </w:rPr>
      </w:pPr>
      <w:r>
        <w:rPr>
          <w:rFonts w:hint="eastAsia" w:ascii="宋体" w:hAnsi="宋体" w:cs="宋体"/>
          <w:b/>
          <w:bCs/>
          <w:sz w:val="44"/>
          <w:szCs w:val="44"/>
          <w:highlight w:val="none"/>
          <w:lang w:eastAsia="zh-CN"/>
        </w:rPr>
        <w:t>幸福99添益固收(稳盈存款存单策略)14天持有期理财</w:t>
      </w:r>
      <w:r>
        <w:rPr>
          <w:rFonts w:hint="eastAsia" w:ascii="宋体" w:hAnsi="宋体" w:eastAsia="宋体" w:cs="宋体"/>
          <w:b/>
          <w:bCs/>
          <w:sz w:val="44"/>
          <w:szCs w:val="44"/>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幸福99添益固收(稳盈存款存单策略)14天持有期理财风险揭示书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幸福99添益固收(稳盈存款存单策略)14天持有期理财产品说明书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cs="宋体"/>
          <w:b/>
          <w:highlight w:val="none"/>
          <w:lang w:eastAsia="zh-CN"/>
        </w:rPr>
        <w:t>幸福99添益固收(稳盈存款存单策略)14天持有期理财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val="en-US"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资金流动性风险：本理财计划认购/申购份额确认后，投资者需持有份额一定期限后才能申请赎回，期间不得提前赎回。</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收益不达业绩比较基准风险：本理财计划的投资收益与投资者的申购、赎回时点密切相关，收益存在一定的波动性，理财计划本金出现损失的可能性不容忽视。</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未知价风险：产品以产品申购和赎回确认时的单位净值，按照“金额申购、份额赎回”的原则计算投资者申购份额和赎回资金，产品净值可能会有波动</w:t>
      </w:r>
      <w:r>
        <w:rPr>
          <w:rFonts w:hint="eastAsia" w:ascii="宋体" w:hAnsi="宋体" w:cs="宋体"/>
          <w:b/>
          <w:sz w:val="24"/>
          <w:highlight w:val="none"/>
          <w:lang w:eastAsia="zh-CN"/>
        </w:rPr>
        <w:t>。</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lang w:eastAsia="zh-CN"/>
        </w:rPr>
        <w:t>无固定期限</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1</w:t>
      </w:r>
      <w:r>
        <w:rPr>
          <w:rFonts w:hint="eastAsia" w:ascii="宋体" w:hAnsi="宋体" w:cs="宋体"/>
          <w:b/>
          <w:sz w:val="24"/>
          <w:highlight w:val="none"/>
        </w:rPr>
        <w:t>〗,〖</w:t>
      </w:r>
      <w:r>
        <w:rPr>
          <w:rFonts w:hint="eastAsia" w:ascii="宋体" w:hAnsi="宋体" w:cs="宋体"/>
          <w:b/>
          <w:sz w:val="24"/>
          <w:highlight w:val="none"/>
          <w:lang w:val="en-US" w:eastAsia="zh-CN"/>
        </w:rPr>
        <w:t>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总体风险〖程度低，收益波动小，产品本金安全性高，收益不能实现的可能性很小〗。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w:t>
      </w:r>
      <w:r>
        <w:rPr>
          <w:rFonts w:hint="eastAsia" w:ascii="宋体" w:hAnsi="宋体" w:cs="宋体"/>
          <w:b/>
          <w:sz w:val="24"/>
          <w:highlight w:val="none"/>
          <w:lang w:eastAsia="zh-CN"/>
        </w:rPr>
        <w:t>保守型、</w:t>
      </w:r>
      <w:r>
        <w:rPr>
          <w:rFonts w:hint="eastAsia" w:ascii="宋体" w:hAnsi="宋体" w:cs="宋体"/>
          <w:b/>
          <w:sz w:val="24"/>
          <w:highlight w:val="none"/>
        </w:rPr>
        <w:t>稳健型</w:t>
      </w:r>
      <w:r>
        <w:rPr>
          <w:rFonts w:hint="eastAsia" w:ascii="宋体" w:hAnsi="宋体" w:cs="宋体"/>
          <w:b/>
          <w:sz w:val="24"/>
          <w:highlight w:val="none"/>
          <w:lang w:eastAsia="zh-CN"/>
        </w:rPr>
        <w:t>、</w:t>
      </w:r>
      <w:r>
        <w:rPr>
          <w:rFonts w:hint="eastAsia" w:ascii="宋体" w:hAnsi="宋体" w:cs="宋体"/>
          <w:b/>
          <w:sz w:val="24"/>
          <w:highlight w:val="none"/>
        </w:rPr>
        <w:t>平衡型、成长型、进取型〗的个人投资者，个人投资者的风险承受能力评估以销售机构为准。</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理财计划管理人有权按照国内外反洗钱相关适用的法律法规和监管要求，从销售机构获得相应必要的投资者身份信息并报送投资者身份信息及其持有理财产品信息。销售机构将在合法、合理且必要时向管理人提供投资者身份识别信息（投资者身份识别信息包括但不限于：投资者的姓名、性别、国籍、职业、住所地或者工作单位地址、常居地地址、联系方式、身份证明文件的种类、号码和有效期限、代理人信息、受益所有人信息），以及在合法、合理且必要时进一步提供身份证明文件的复印件和影印件以及其他必要信息。投资者签署后即表示同意并配合提供前述信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br w:type="page"/>
      </w: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0" w:firstLineChars="0"/>
        <w:jc w:val="both"/>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lang w:eastAsia="zh-CN"/>
        </w:rPr>
        <w:t>幸福99添益固收(稳盈存款存单策略)14天持有期理财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〖Z7002224000014〗</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杭银理财有限责任公司简称杭银理财，官网网站为https://www.hzbankwealth.com.cn</w:t>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val="en-US"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w:t>
      </w:r>
      <w:r>
        <w:rPr>
          <w:rFonts w:hint="eastAsia" w:ascii="宋体" w:hAnsi="宋体" w:cs="宋体"/>
          <w:bCs/>
          <w:color w:val="auto"/>
          <w:kern w:val="2"/>
          <w:highlight w:val="none"/>
          <w:lang w:eastAsia="zh-CN"/>
        </w:rPr>
        <w:t>幸福99添益固收(稳盈存款存单策略)14天持有期理财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cs="宋体"/>
          <w:bCs/>
          <w:color w:val="auto"/>
          <w:kern w:val="2"/>
          <w:highlight w:val="none"/>
          <w:lang w:eastAsia="zh-CN"/>
        </w:rPr>
        <w:t>幸福99添益固收(稳盈存款存单策略)14天持有期理财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cs="宋体"/>
          <w:bCs/>
          <w:color w:val="auto"/>
          <w:kern w:val="2"/>
          <w:highlight w:val="none"/>
          <w:lang w:eastAsia="zh-CN"/>
        </w:rPr>
        <w:t>幸福99添益固收(稳盈存款存单策略)14天持有期理财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w:t>
      </w:r>
      <w:r>
        <w:rPr>
          <w:rFonts w:hint="eastAsia" w:ascii="宋体" w:hAnsi="宋体" w:cs="宋体"/>
          <w:bCs/>
          <w:color w:val="auto"/>
          <w:kern w:val="2"/>
          <w:highlight w:val="none"/>
          <w:lang w:eastAsia="zh-CN"/>
        </w:rPr>
        <w:t>幸福99添益固收(稳盈存款存单策略)14天持有期理财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指作为幸福99添益固收(稳盈存款存单策略)14天持有期理财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cs="宋体"/>
          <w:bCs/>
          <w:color w:val="auto"/>
          <w:kern w:val="2"/>
          <w:highlight w:val="none"/>
          <w:lang w:eastAsia="zh-CN"/>
        </w:rPr>
        <w:t>幸福99添益固收(稳盈存款存单策略)14天持有期理财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持有期：</w:t>
      </w:r>
      <w:r>
        <w:rPr>
          <w:rFonts w:hint="eastAsia" w:ascii="宋体" w:hAnsi="宋体" w:cs="宋体"/>
          <w:bCs/>
          <w:color w:val="auto"/>
          <w:kern w:val="2"/>
          <w:highlight w:val="none"/>
        </w:rPr>
        <w:t>指投资者认购</w:t>
      </w:r>
      <w:r>
        <w:rPr>
          <w:rFonts w:hint="eastAsia" w:ascii="宋体" w:hAnsi="宋体" w:cs="宋体"/>
          <w:bCs/>
          <w:color w:val="auto"/>
          <w:kern w:val="2"/>
          <w:highlight w:val="none"/>
          <w:lang w:val="en-US" w:eastAsia="zh-CN"/>
        </w:rPr>
        <w:t>或</w:t>
      </w:r>
      <w:r>
        <w:rPr>
          <w:rFonts w:hint="eastAsia" w:ascii="宋体" w:hAnsi="宋体" w:cs="宋体"/>
          <w:bCs/>
          <w:color w:val="auto"/>
          <w:kern w:val="2"/>
          <w:highlight w:val="none"/>
        </w:rPr>
        <w:t>申购份额后，需持有固定期限后才可进行赎回。</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指管理人向投资者提供申购、赎回交易的时间。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指管理人确认投资者申购、赎回交易是否有效的日期。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1</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R1</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lang w:eastAsia="zh-CN"/>
              </w:rPr>
              <w:t>保守型、</w:t>
            </w: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w:t>
            </w:r>
            <w:r>
              <w:rPr>
                <w:rFonts w:hint="eastAsia" w:ascii="宋体" w:hAnsi="宋体" w:cs="宋体"/>
                <w:b/>
                <w:bCs w:val="0"/>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R2</w:t>
            </w:r>
          </w:p>
        </w:tc>
        <w:tc>
          <w:tcPr>
            <w:tcW w:w="1382"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稳健型</w:t>
            </w:r>
            <w:r>
              <w:rPr>
                <w:rFonts w:hint="eastAsia" w:ascii="宋体" w:hAnsi="宋体" w:cs="宋体"/>
                <w:b w:val="0"/>
                <w:bCs/>
                <w:color w:val="auto"/>
                <w:kern w:val="2"/>
                <w:highlight w:val="none"/>
                <w:lang w:eastAsia="zh-CN"/>
              </w:rPr>
              <w:t>、</w:t>
            </w:r>
            <w:r>
              <w:rPr>
                <w:rFonts w:hint="eastAsia" w:ascii="宋体" w:hAnsi="宋体" w:cs="宋体"/>
                <w:b w:val="0"/>
                <w:bCs/>
                <w:color w:val="auto"/>
                <w:kern w:val="2"/>
                <w:highlight w:val="none"/>
              </w:rPr>
              <w:t>平衡型</w:t>
            </w:r>
            <w:r>
              <w:rPr>
                <w:rFonts w:hint="eastAsia" w:ascii="宋体" w:hAnsi="宋体" w:cs="宋体"/>
                <w:b w:val="0"/>
                <w:bCs/>
                <w:color w:val="auto"/>
                <w:kern w:val="2"/>
                <w:highlight w:val="none"/>
                <w:lang w:eastAsia="zh-CN"/>
              </w:rPr>
              <w:t>、成长</w:t>
            </w:r>
            <w:r>
              <w:rPr>
                <w:rFonts w:hint="eastAsia" w:ascii="宋体" w:hAnsi="宋体" w:cs="宋体"/>
                <w:b w:val="0"/>
                <w:bCs/>
                <w:color w:val="auto"/>
                <w:kern w:val="2"/>
                <w:highlight w:val="none"/>
              </w:rPr>
              <w:t>型</w:t>
            </w:r>
            <w:r>
              <w:rPr>
                <w:rFonts w:hint="eastAsia" w:ascii="宋体" w:hAnsi="宋体" w:cs="宋体"/>
                <w:b w:val="0"/>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平衡型</w:t>
            </w:r>
            <w:r>
              <w:rPr>
                <w:rFonts w:hint="eastAsia" w:ascii="宋体" w:hAnsi="宋体" w:cs="宋体"/>
                <w:b w:val="0"/>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ascii="宋体" w:hAnsi="宋体" w:cs="宋体"/>
          <w:bCs/>
          <w:color w:val="auto"/>
          <w:kern w:val="2"/>
          <w:highlight w:val="none"/>
        </w:rPr>
      </w:pPr>
      <w:r>
        <w:rPr>
          <w:rFonts w:hint="eastAsia" w:ascii="宋体" w:hAnsi="宋体" w:cs="宋体"/>
          <w:bCs/>
          <w:color w:val="auto"/>
          <w:kern w:val="2"/>
          <w:highlight w:val="none"/>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sz w:val="21"/>
                <w:szCs w:val="21"/>
                <w:highlight w:val="none"/>
                <w:lang w:eastAsia="zh-CN"/>
              </w:rPr>
              <w:t>幸福99添益固收(稳盈存款存单策略)14天持有期理财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添益稳盈14天持有期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TYGC14D2402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本理财计划在全国银行业理财信息登记系统的登记编码是〖Z7002224000014〗，投资者可依据该编码在“中国理财网（www.chinawealth.com.cn）”查询本理财计划信息。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val="0"/>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color w:val="000000"/>
                <w:sz w:val="21"/>
                <w:szCs w:val="21"/>
                <w:highlight w:val="none"/>
                <w:lang w:val="en-US" w:eastAsia="zh-CN"/>
              </w:rPr>
              <w:t>保守型、稳健型、</w:t>
            </w:r>
            <w:r>
              <w:rPr>
                <w:rFonts w:hint="eastAsia" w:ascii="宋体" w:hAnsi="宋体" w:cs="宋体"/>
                <w:b/>
                <w:color w:val="000000"/>
                <w:sz w:val="21"/>
                <w:szCs w:val="21"/>
                <w:highlight w:val="none"/>
              </w:rPr>
              <w:t>平衡型、成长型、进取型〗的个人投资者。</w:t>
            </w:r>
            <w:r>
              <w:rPr>
                <w:rFonts w:hint="eastAsia" w:ascii="宋体" w:hAnsi="宋体" w:cs="宋体"/>
                <w:bCs w:val="0"/>
                <w:color w:val="000000"/>
                <w:sz w:val="21"/>
                <w:szCs w:val="21"/>
                <w:highlight w:val="none"/>
              </w:rPr>
              <w:t>投资者风险承受能力评级水平以销售机构评估为准。</w:t>
            </w:r>
          </w:p>
          <w:p>
            <w:pPr>
              <w:widowControl/>
              <w:spacing w:line="360" w:lineRule="auto"/>
              <w:contextualSpacing/>
              <w:rPr>
                <w:rFonts w:hint="eastAsia" w:ascii="宋体" w:hAnsi="宋体" w:cs="宋体"/>
                <w:b w:val="0"/>
                <w:bCs/>
                <w:color w:val="000000"/>
                <w:sz w:val="21"/>
                <w:szCs w:val="21"/>
                <w:highlight w:val="none"/>
                <w:lang w:eastAsia="zh-CN"/>
              </w:rPr>
            </w:pPr>
            <w:r>
              <w:rPr>
                <w:rFonts w:hint="eastAsia" w:ascii="宋体" w:hAnsi="宋体" w:cs="宋体"/>
                <w:b w:val="0"/>
                <w:bCs/>
                <w:color w:val="000000"/>
                <w:sz w:val="21"/>
                <w:szCs w:val="21"/>
                <w:highlight w:val="none"/>
                <w:lang w:eastAsia="zh-CN"/>
              </w:rPr>
              <w:t>其中：</w:t>
            </w:r>
          </w:p>
          <w:p>
            <w:pPr>
              <w:widowControl/>
              <w:spacing w:line="360" w:lineRule="auto"/>
              <w:contextualSpacing/>
              <w:rPr>
                <w:rFonts w:hint="eastAsia" w:ascii="宋体" w:hAnsi="宋体" w:cs="宋体"/>
                <w:b w:val="0"/>
                <w:bCs/>
                <w:color w:val="000000"/>
                <w:sz w:val="21"/>
                <w:szCs w:val="21"/>
                <w:highlight w:val="none"/>
                <w:lang w:val="en-US" w:eastAsia="zh-CN"/>
              </w:rPr>
            </w:pPr>
            <w:r>
              <w:rPr>
                <w:rFonts w:hint="eastAsia" w:ascii="宋体" w:hAnsi="宋体" w:cs="宋体"/>
                <w:b w:val="0"/>
                <w:bCs/>
                <w:color w:val="000000"/>
                <w:sz w:val="21"/>
                <w:szCs w:val="21"/>
                <w:highlight w:val="none"/>
                <w:lang w:val="en-US" w:eastAsia="zh-CN"/>
              </w:rPr>
              <w:t>A份额（销售代码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TYGC14D2402A</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rPr>
              <w:t>普通个人投资者和机构客户</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r>
              <w:rPr>
                <w:rFonts w:hint="eastAsia" w:ascii="宋体" w:hAnsi="宋体" w:cs="宋体"/>
                <w:b w:val="0"/>
                <w:bCs/>
                <w:color w:val="000000"/>
                <w:sz w:val="21"/>
                <w:szCs w:val="21"/>
                <w:highlight w:val="none"/>
                <w:lang w:val="en-US" w:eastAsia="zh-CN"/>
              </w:rPr>
              <w:t>。</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b w:val="0"/>
                <w:bCs/>
                <w:color w:val="000000"/>
                <w:sz w:val="21"/>
                <w:szCs w:val="21"/>
                <w:highlight w:val="none"/>
                <w:lang w:val="en-US" w:eastAsia="zh-CN"/>
              </w:rPr>
              <w:t>B份额（销售代码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TYGC14D2402B</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lang w:val="en-US" w:eastAsia="zh-CN"/>
              </w:rPr>
              <w:t>新市民</w:t>
            </w:r>
            <w:r>
              <w:rPr>
                <w:rFonts w:hint="eastAsia" w:ascii="宋体" w:hAnsi="宋体" w:cs="宋体"/>
                <w:sz w:val="21"/>
                <w:szCs w:val="21"/>
                <w:highlight w:val="none"/>
              </w:rPr>
              <w:t>客户</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p>
          <w:p>
            <w:pPr>
              <w:widowControl/>
              <w:spacing w:line="360" w:lineRule="auto"/>
              <w:contextualSpacing/>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C份额</w:t>
            </w:r>
            <w:r>
              <w:rPr>
                <w:rFonts w:hint="eastAsia" w:ascii="宋体" w:hAnsi="宋体" w:cs="宋体"/>
                <w:b w:val="0"/>
                <w:bCs/>
                <w:color w:val="000000"/>
                <w:sz w:val="21"/>
                <w:szCs w:val="21"/>
                <w:highlight w:val="none"/>
                <w:lang w:val="en-US" w:eastAsia="zh-CN"/>
              </w:rPr>
              <w:t>（销售代码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TYGC14D2402C</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lang w:val="en-US" w:eastAsia="zh-CN"/>
              </w:rPr>
              <w:t>其他代销机构</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p>
          <w:p>
            <w:pPr>
              <w:widowControl/>
              <w:spacing w:line="360" w:lineRule="auto"/>
              <w:contextualSpacing/>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Z份额</w:t>
            </w:r>
            <w:r>
              <w:rPr>
                <w:rFonts w:hint="eastAsia" w:ascii="宋体" w:hAnsi="宋体" w:cs="宋体"/>
                <w:b w:val="0"/>
                <w:bCs/>
                <w:color w:val="000000"/>
                <w:sz w:val="21"/>
                <w:szCs w:val="21"/>
                <w:highlight w:val="none"/>
                <w:lang w:val="en-US" w:eastAsia="zh-CN"/>
              </w:rPr>
              <w:t>（销售代码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TYGC14D2402Z</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lang w:val="en-US" w:eastAsia="zh-CN"/>
              </w:rPr>
              <w:t>其他代销机构</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eastAsia="zh-CN"/>
              </w:rPr>
              <w:t>否</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cs="宋体"/>
                <w:color w:val="000000"/>
                <w:sz w:val="21"/>
                <w:szCs w:val="21"/>
                <w:highlight w:val="none"/>
              </w:rPr>
            </w:pPr>
            <w:r>
              <w:rPr>
                <w:rFonts w:hint="eastAsia" w:ascii="宋体" w:hAnsi="宋体" w:cs="宋体"/>
                <w:color w:val="000000"/>
                <w:sz w:val="21"/>
                <w:szCs w:val="21"/>
                <w:highlight w:val="none"/>
              </w:rPr>
              <w:t>可通过杭银理财直销渠道</w:t>
            </w:r>
            <w:r>
              <w:rPr>
                <w:rFonts w:hint="eastAsia" w:ascii="宋体" w:hAnsi="宋体" w:cs="宋体"/>
                <w:color w:val="000000"/>
                <w:sz w:val="21"/>
                <w:szCs w:val="21"/>
                <w:highlight w:val="none"/>
                <w:lang w:eastAsia="zh-CN"/>
              </w:rPr>
              <w:t>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通过代理销售机构购买的，具体销售渠道以代理销售机构披露为准。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2024</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16</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2024</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w:t>
            </w:r>
            <w:r>
              <w:rPr>
                <w:rFonts w:hint="eastAsia" w:ascii="宋体" w:hAnsi="宋体" w:cs="宋体"/>
                <w:color w:val="000000"/>
                <w:sz w:val="21"/>
                <w:szCs w:val="21"/>
                <w:highlight w:val="none"/>
                <w:lang w:eastAsia="zh-CN"/>
              </w:rPr>
              <w:t>15：45</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2024</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widowControl/>
              <w:spacing w:line="360" w:lineRule="auto"/>
              <w:contextualSpacing/>
              <w:rPr>
                <w:rFonts w:hint="eastAsia" w:ascii="宋体" w:hAnsi="宋体" w:eastAsia="宋体" w:cs="宋体"/>
                <w:sz w:val="21"/>
                <w:szCs w:val="21"/>
                <w:highlight w:val="none"/>
                <w:lang w:eastAsia="zh-CN"/>
              </w:rPr>
            </w:pPr>
            <w:r>
              <w:rPr>
                <w:rFonts w:hint="eastAsia" w:ascii="宋体" w:hAnsi="宋体" w:cs="宋体"/>
                <w:color w:val="000000"/>
                <w:sz w:val="21"/>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bCs/>
                <w:color w:val="FF0000"/>
                <w:sz w:val="21"/>
                <w:szCs w:val="21"/>
                <w:highlight w:val="none"/>
                <w:lang w:val="en-US" w:eastAsia="zh-CN"/>
              </w:rPr>
            </w:pPr>
            <w:r>
              <w:rPr>
                <w:rFonts w:hint="eastAsia" w:ascii="宋体" w:hAnsi="宋体" w:cs="宋体"/>
                <w:bCs/>
                <w:color w:val="auto"/>
                <w:sz w:val="21"/>
                <w:szCs w:val="21"/>
                <w:highlight w:val="none"/>
                <w:lang w:val="en-US" w:eastAsia="zh-CN"/>
              </w:rPr>
              <w:t>各份额</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万元，则管理人可宣布本理财计划不成立并在原定理财计划成立日后</w:t>
            </w:r>
            <w:r>
              <w:rPr>
                <w:rFonts w:hint="eastAsia" w:ascii="宋体" w:hAnsi="宋体" w:cs="宋体"/>
                <w:sz w:val="21"/>
                <w:szCs w:val="21"/>
                <w:highlight w:val="none"/>
              </w:rPr>
              <w:t>〖</w:t>
            </w:r>
            <w:r>
              <w:rPr>
                <w:rFonts w:hint="eastAsia" w:ascii="宋体" w:hAnsi="宋体" w:cs="宋体"/>
                <w:color w:val="000000"/>
                <w:sz w:val="21"/>
                <w:szCs w:val="21"/>
                <w:highlight w:val="none"/>
              </w:rPr>
              <w:t>2</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color w:val="000000"/>
                <w:sz w:val="21"/>
                <w:szCs w:val="21"/>
                <w:highlight w:val="none"/>
                <w:lang w:val="en-US" w:eastAsia="zh-CN"/>
              </w:rPr>
              <w:t>的</w:t>
            </w:r>
            <w:r>
              <w:rPr>
                <w:rFonts w:hint="eastAsia" w:ascii="宋体" w:hAnsi="宋体" w:cs="宋体"/>
                <w:color w:val="000000"/>
                <w:sz w:val="21"/>
                <w:szCs w:val="21"/>
                <w:highlight w:val="none"/>
              </w:rPr>
              <w:t>开放期为〖封闭期后的每个交易日〗。如遇特殊情况，则以管理人公告为准。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持有期</w:t>
            </w:r>
          </w:p>
        </w:tc>
        <w:tc>
          <w:tcPr>
            <w:tcW w:w="7185" w:type="dxa"/>
            <w:noWrap w:val="0"/>
            <w:vAlign w:val="center"/>
          </w:tcPr>
          <w:p>
            <w:pPr>
              <w:widowControl/>
              <w:spacing w:line="360" w:lineRule="auto"/>
              <w:contextualSpacing/>
              <w:jc w:val="left"/>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rPr>
              <w:t>本理财计划的持有期为</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，投资者认购/申购份额确认成功后，每一笔份额需自产品成立日（含）/确认日（含）起最低持有满</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后方可按规则申请赎回。如投资者多次购买产品，其中持有</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及以上的份额，可申请赎回；持有</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以内的份额，不可申请赎回。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1.本理财计划在每个开放期的工作时间均可进行申购</w:t>
            </w:r>
            <w:r>
              <w:rPr>
                <w:rFonts w:hint="eastAsia" w:ascii="宋体" w:hAnsi="宋体" w:cs="宋体"/>
                <w:color w:val="000000"/>
                <w:sz w:val="21"/>
                <w:szCs w:val="21"/>
                <w:highlight w:val="none"/>
                <w:lang w:val="en-US" w:eastAsia="zh-CN"/>
              </w:rPr>
              <w:t>和撤单</w:t>
            </w:r>
            <w:r>
              <w:rPr>
                <w:rFonts w:hint="eastAsia" w:ascii="宋体" w:hAnsi="宋体" w:cs="宋体"/>
                <w:color w:val="000000"/>
                <w:sz w:val="21"/>
                <w:szCs w:val="21"/>
                <w:highlight w:val="none"/>
              </w:rPr>
              <w:t>，申购申请将在申购确认日，即</w:t>
            </w:r>
            <w:r>
              <w:rPr>
                <w:rFonts w:hint="eastAsia" w:ascii="宋体" w:hAnsi="宋体" w:cs="宋体"/>
                <w:color w:val="000000"/>
                <w:sz w:val="21"/>
                <w:szCs w:val="21"/>
                <w:highlight w:val="none"/>
                <w:lang w:val="en-US" w:eastAsia="zh-CN"/>
              </w:rPr>
              <w:t>申购申请日后</w:t>
            </w:r>
            <w:r>
              <w:rPr>
                <w:rFonts w:hint="eastAsia" w:ascii="宋体" w:hAnsi="宋体" w:cs="宋体"/>
                <w:color w:val="000000"/>
                <w:sz w:val="21"/>
                <w:szCs w:val="21"/>
                <w:highlight w:val="none"/>
              </w:rPr>
              <w:t>的第</w:t>
            </w:r>
            <w:r>
              <w:rPr>
                <w:rFonts w:hint="eastAsia" w:ascii="宋体" w:hAnsi="宋体" w:cs="宋体"/>
                <w:sz w:val="21"/>
                <w:szCs w:val="21"/>
                <w:highlight w:val="none"/>
              </w:rPr>
              <w:t>〖1〗个</w:t>
            </w:r>
            <w:r>
              <w:rPr>
                <w:rFonts w:hint="eastAsia" w:ascii="宋体" w:hAnsi="宋体" w:cs="宋体"/>
                <w:sz w:val="21"/>
                <w:szCs w:val="21"/>
                <w:highlight w:val="none"/>
                <w:lang w:val="en-US" w:eastAsia="zh-CN"/>
              </w:rPr>
              <w:t>交易</w:t>
            </w:r>
            <w:r>
              <w:rPr>
                <w:rFonts w:hint="eastAsia" w:ascii="宋体" w:hAnsi="宋体" w:cs="宋体"/>
                <w:bCs/>
                <w:sz w:val="21"/>
                <w:szCs w:val="21"/>
                <w:highlight w:val="none"/>
              </w:rPr>
              <w:t>日进行确认。</w:t>
            </w:r>
            <w:r>
              <w:rPr>
                <w:rFonts w:hint="eastAsia" w:ascii="宋体" w:hAnsi="宋体" w:cs="宋体"/>
                <w:color w:val="000000"/>
                <w:sz w:val="21"/>
                <w:szCs w:val="21"/>
                <w:highlight w:val="none"/>
              </w:rPr>
              <w:t>确认日如遇非</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2.满足最低持有期后</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本理财计划在每个开放期的工作时间均可进行赎回</w:t>
            </w:r>
            <w:r>
              <w:rPr>
                <w:rFonts w:hint="eastAsia" w:ascii="宋体" w:hAnsi="宋体" w:cs="宋体"/>
                <w:color w:val="000000"/>
                <w:sz w:val="21"/>
                <w:szCs w:val="21"/>
                <w:highlight w:val="none"/>
                <w:lang w:val="en-US" w:eastAsia="zh-CN"/>
              </w:rPr>
              <w:t>和撤单</w:t>
            </w:r>
            <w:r>
              <w:rPr>
                <w:rFonts w:hint="eastAsia" w:ascii="宋体" w:hAnsi="宋体" w:cs="宋体"/>
                <w:color w:val="000000"/>
                <w:sz w:val="21"/>
                <w:szCs w:val="21"/>
                <w:highlight w:val="none"/>
              </w:rPr>
              <w:t>，赎回申请将在赎回确认日，即</w:t>
            </w:r>
            <w:r>
              <w:rPr>
                <w:rFonts w:hint="eastAsia" w:ascii="宋体" w:hAnsi="宋体" w:cs="宋体"/>
                <w:color w:val="000000"/>
                <w:sz w:val="21"/>
                <w:szCs w:val="21"/>
                <w:highlight w:val="none"/>
                <w:lang w:val="en-US" w:eastAsia="zh-CN"/>
              </w:rPr>
              <w:t>赎回申请日</w:t>
            </w:r>
            <w:r>
              <w:rPr>
                <w:rFonts w:hint="eastAsia" w:ascii="宋体" w:hAnsi="宋体" w:cs="宋体"/>
                <w:color w:val="000000"/>
                <w:sz w:val="21"/>
                <w:szCs w:val="21"/>
                <w:highlight w:val="none"/>
              </w:rPr>
              <w:t>后的第</w:t>
            </w:r>
            <w:r>
              <w:rPr>
                <w:rFonts w:hint="eastAsia" w:ascii="宋体" w:hAnsi="宋体" w:cs="宋体"/>
                <w:sz w:val="21"/>
                <w:szCs w:val="21"/>
                <w:highlight w:val="none"/>
              </w:rPr>
              <w:t>〖1〗个</w:t>
            </w:r>
            <w:r>
              <w:rPr>
                <w:rFonts w:hint="eastAsia" w:ascii="宋体" w:hAnsi="宋体" w:cs="宋体"/>
                <w:sz w:val="21"/>
                <w:szCs w:val="21"/>
                <w:highlight w:val="none"/>
                <w:lang w:val="en-US" w:eastAsia="zh-CN"/>
              </w:rPr>
              <w:t>交易</w:t>
            </w:r>
            <w:r>
              <w:rPr>
                <w:rFonts w:hint="eastAsia" w:ascii="宋体" w:hAnsi="宋体" w:cs="宋体"/>
                <w:bCs/>
                <w:sz w:val="21"/>
                <w:szCs w:val="21"/>
                <w:highlight w:val="none"/>
              </w:rPr>
              <w:t>日进行确认。</w:t>
            </w:r>
            <w:r>
              <w:rPr>
                <w:rFonts w:hint="eastAsia" w:ascii="宋体" w:hAnsi="宋体" w:cs="宋体"/>
                <w:color w:val="000000"/>
                <w:sz w:val="21"/>
                <w:szCs w:val="21"/>
                <w:highlight w:val="none"/>
              </w:rPr>
              <w:t>确认日如遇非</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在交易日的</w:t>
            </w:r>
            <w:r>
              <w:rPr>
                <w:rFonts w:hint="eastAsia" w:ascii="宋体" w:hAnsi="宋体" w:cs="宋体"/>
                <w:color w:val="auto"/>
                <w:kern w:val="2"/>
                <w:sz w:val="21"/>
                <w:szCs w:val="21"/>
                <w:highlight w:val="none"/>
                <w:lang w:eastAsia="zh-CN"/>
              </w:rPr>
              <w:t>15：45</w:t>
            </w:r>
            <w:r>
              <w:rPr>
                <w:rFonts w:hint="eastAsia" w:ascii="宋体" w:hAnsi="宋体" w:cs="宋体"/>
                <w:color w:val="auto"/>
                <w:kern w:val="2"/>
                <w:sz w:val="21"/>
                <w:szCs w:val="21"/>
                <w:highlight w:val="none"/>
              </w:rPr>
              <w:t>之前提交的申购和赎回申请，申请日为提出申请当日；在交易日</w:t>
            </w:r>
            <w:r>
              <w:rPr>
                <w:rFonts w:hint="eastAsia" w:ascii="宋体" w:hAnsi="宋体" w:cs="宋体"/>
                <w:color w:val="auto"/>
                <w:kern w:val="2"/>
                <w:sz w:val="21"/>
                <w:szCs w:val="21"/>
                <w:highlight w:val="none"/>
                <w:lang w:eastAsia="zh-CN"/>
              </w:rPr>
              <w:t>15：45</w:t>
            </w:r>
            <w:r>
              <w:rPr>
                <w:rFonts w:hint="eastAsia" w:ascii="宋体" w:hAnsi="宋体" w:cs="宋体"/>
                <w:color w:val="auto"/>
                <w:kern w:val="2"/>
                <w:sz w:val="21"/>
                <w:szCs w:val="21"/>
                <w:highlight w:val="none"/>
              </w:rPr>
              <w:t>之后及非交易日提交的申购和赎回申请，申请日为提出申请日的下一交易日</w:t>
            </w:r>
            <w:r>
              <w:rPr>
                <w:rFonts w:hint="eastAsia" w:ascii="宋体" w:hAnsi="宋体" w:cs="宋体"/>
                <w:color w:val="auto"/>
                <w:kern w:val="2"/>
                <w:sz w:val="21"/>
                <w:szCs w:val="21"/>
                <w:highlight w:val="none"/>
                <w:lang w:eastAsia="zh-CN"/>
              </w:rPr>
              <w:t>。</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.工作时间为每个</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日上午〖9:00〗至下午〖1</w:t>
            </w:r>
            <w:r>
              <w:rPr>
                <w:rFonts w:hint="eastAsia" w:ascii="宋体" w:hAnsi="宋体" w:cs="宋体"/>
                <w:color w:val="000000"/>
                <w:sz w:val="21"/>
                <w:szCs w:val="21"/>
                <w:highlight w:val="none"/>
                <w:lang w:eastAsia="zh-CN"/>
              </w:rPr>
              <w:t>5</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4</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〗。确认日如遇非</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default" w:ascii="宋体" w:hAnsi="宋体" w:eastAsia="宋体" w:cs="宋体"/>
                <w:bCs/>
                <w:color w:val="FF0000"/>
                <w:sz w:val="21"/>
                <w:szCs w:val="21"/>
                <w:highlight w:val="none"/>
                <w:lang w:val="en-US" w:eastAsia="zh-CN"/>
              </w:rPr>
            </w:pPr>
            <w:r>
              <w:rPr>
                <w:rFonts w:hint="eastAsia" w:ascii="宋体" w:hAnsi="宋体" w:cs="宋体"/>
                <w:bCs/>
                <w:color w:val="auto"/>
                <w:sz w:val="21"/>
                <w:szCs w:val="21"/>
                <w:highlight w:val="none"/>
                <w:lang w:val="en-US" w:eastAsia="zh-CN"/>
              </w:rPr>
              <w:t>5.上述交易安排如有调整，请以管理人公告为准。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lang w:val="en-US" w:eastAsia="zh-CN"/>
              </w:rPr>
              <w:t>A、B、C、Z份额：</w:t>
            </w:r>
            <w:r>
              <w:rPr>
                <w:rFonts w:hint="eastAsia" w:ascii="宋体" w:hAnsi="宋体" w:cs="宋体"/>
                <w:sz w:val="21"/>
                <w:szCs w:val="21"/>
                <w:highlight w:val="none"/>
              </w:rPr>
              <w:t>单</w:t>
            </w:r>
            <w:r>
              <w:rPr>
                <w:rFonts w:hint="eastAsia" w:ascii="宋体" w:hAnsi="宋体" w:cs="宋体"/>
                <w:sz w:val="21"/>
                <w:szCs w:val="21"/>
                <w:highlight w:val="none"/>
                <w:lang w:val="en-US" w:eastAsia="zh-CN"/>
              </w:rPr>
              <w:t>户持有上限</w:t>
            </w:r>
            <w:r>
              <w:rPr>
                <w:rFonts w:hint="eastAsia" w:ascii="宋体" w:hAnsi="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cs="宋体"/>
                <w:sz w:val="21"/>
                <w:szCs w:val="21"/>
                <w:highlight w:val="none"/>
              </w:rPr>
              <w:t>000〗万元</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六</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color w:val="000000"/>
                <w:sz w:val="21"/>
                <w:szCs w:val="21"/>
                <w:highlight w:val="none"/>
                <w:lang w:val="en-US" w:eastAsia="zh-CN"/>
              </w:rPr>
              <w:t>小数点六位以后去尾。</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color w:val="000000"/>
                <w:sz w:val="21"/>
                <w:szCs w:val="21"/>
                <w:highlight w:val="none"/>
                <w:lang w:val="en-US" w:eastAsia="zh-CN"/>
              </w:rPr>
              <w:t>于确认日当</w:t>
            </w:r>
            <w:r>
              <w:rPr>
                <w:rFonts w:hint="eastAsia" w:ascii="宋体" w:hAnsi="宋体" w:cs="宋体"/>
                <w:color w:val="000000"/>
                <w:sz w:val="21"/>
                <w:szCs w:val="21"/>
                <w:highlight w:val="none"/>
                <w:lang w:eastAsia="zh-CN"/>
              </w:rPr>
              <w:t>日</w:t>
            </w:r>
            <w:r>
              <w:rPr>
                <w:rFonts w:hint="eastAsia" w:ascii="宋体" w:hAnsi="宋体" w:cs="宋体"/>
                <w:color w:val="000000"/>
                <w:sz w:val="21"/>
                <w:szCs w:val="21"/>
                <w:highlight w:val="none"/>
              </w:rPr>
              <w:t>，最晚</w:t>
            </w:r>
            <w:r>
              <w:rPr>
                <w:rFonts w:hint="eastAsia" w:ascii="宋体" w:hAnsi="宋体" w:cs="宋体"/>
                <w:color w:val="000000"/>
                <w:sz w:val="21"/>
                <w:szCs w:val="21"/>
                <w:highlight w:val="none"/>
                <w:lang w:val="en-US" w:eastAsia="zh-CN"/>
              </w:rPr>
              <w:t>于确认日后</w:t>
            </w:r>
            <w:r>
              <w:rPr>
                <w:rFonts w:hint="eastAsia" w:ascii="宋体" w:hAnsi="宋体" w:cs="宋体"/>
                <w:sz w:val="21"/>
                <w:szCs w:val="21"/>
                <w:highlight w:val="none"/>
              </w:rPr>
              <w:t>〖</w:t>
            </w:r>
            <w:r>
              <w:rPr>
                <w:rFonts w:hint="eastAsia" w:ascii="宋体" w:hAnsi="宋体" w:cs="宋体"/>
                <w:sz w:val="21"/>
                <w:szCs w:val="21"/>
                <w:highlight w:val="none"/>
                <w:lang w:val="en-US" w:eastAsia="zh-CN"/>
              </w:rPr>
              <w:t>2</w:t>
            </w:r>
            <w:r>
              <w:rPr>
                <w:rFonts w:hint="eastAsia" w:ascii="宋体" w:hAnsi="宋体" w:cs="宋体"/>
                <w:sz w:val="21"/>
                <w:szCs w:val="21"/>
                <w:highlight w:val="none"/>
              </w:rPr>
              <w:t>〗</w:t>
            </w:r>
            <w:r>
              <w:rPr>
                <w:rFonts w:hint="eastAsia" w:ascii="宋体" w:hAnsi="宋体" w:cs="宋体"/>
                <w:color w:val="000000"/>
                <w:sz w:val="21"/>
                <w:szCs w:val="21"/>
                <w:highlight w:val="none"/>
              </w:rPr>
              <w:t>个</w:t>
            </w:r>
            <w:r>
              <w:rPr>
                <w:rFonts w:hint="eastAsia" w:ascii="宋体" w:hAnsi="宋体" w:cs="宋体"/>
                <w:color w:val="000000"/>
                <w:sz w:val="21"/>
                <w:szCs w:val="21"/>
                <w:highlight w:val="none"/>
                <w:lang w:eastAsia="zh-CN"/>
              </w:rPr>
              <w:t>交易日</w:t>
            </w:r>
            <w:r>
              <w:rPr>
                <w:rFonts w:hint="eastAsia" w:ascii="宋体" w:hAnsi="宋体" w:cs="宋体"/>
                <w:color w:val="000000"/>
                <w:sz w:val="21"/>
                <w:szCs w:val="21"/>
                <w:highlight w:val="none"/>
              </w:rPr>
              <w:t>内（遇节假日顺延）理财资金与收益一次性支付。如遇资金在途或法定</w:t>
            </w:r>
            <w:r>
              <w:rPr>
                <w:rFonts w:hint="eastAsia" w:ascii="宋体" w:hAnsi="宋体" w:cs="宋体"/>
                <w:color w:val="000000"/>
                <w:sz w:val="21"/>
                <w:szCs w:val="21"/>
                <w:highlight w:val="none"/>
                <w:lang w:val="en-US" w:eastAsia="zh-CN"/>
              </w:rPr>
              <w:t>工作</w:t>
            </w:r>
            <w:r>
              <w:rPr>
                <w:rFonts w:hint="eastAsia" w:ascii="宋体" w:hAnsi="宋体" w:cs="宋体"/>
                <w:color w:val="000000"/>
                <w:sz w:val="21"/>
                <w:szCs w:val="21"/>
                <w:highlight w:val="none"/>
                <w:lang w:eastAsia="zh-CN"/>
              </w:rPr>
              <w:t>日</w:t>
            </w:r>
            <w:r>
              <w:rPr>
                <w:rFonts w:hint="eastAsia" w:ascii="宋体" w:hAnsi="宋体" w:cs="宋体"/>
                <w:color w:val="000000"/>
                <w:sz w:val="21"/>
                <w:szCs w:val="21"/>
                <w:highlight w:val="none"/>
              </w:rPr>
              <w:t>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color w:val="000000"/>
                <w:sz w:val="21"/>
                <w:szCs w:val="21"/>
                <w:highlight w:val="none"/>
                <w:lang w:val="en-US" w:eastAsia="zh-CN"/>
              </w:rPr>
              <w:t>于到期日后〖1〗个交易</w:t>
            </w:r>
            <w:r>
              <w:rPr>
                <w:rFonts w:hint="eastAsia" w:ascii="宋体" w:hAnsi="宋体" w:cs="宋体"/>
                <w:color w:val="000000"/>
                <w:sz w:val="21"/>
                <w:szCs w:val="21"/>
                <w:highlight w:val="none"/>
                <w:lang w:eastAsia="zh-CN"/>
              </w:rPr>
              <w:t>日</w:t>
            </w:r>
            <w:r>
              <w:rPr>
                <w:rFonts w:hint="eastAsia" w:ascii="宋体" w:hAnsi="宋体" w:cs="宋体"/>
                <w:color w:val="000000"/>
                <w:sz w:val="21"/>
                <w:szCs w:val="21"/>
                <w:highlight w:val="none"/>
              </w:rPr>
              <w:t>，最晚</w:t>
            </w:r>
            <w:r>
              <w:rPr>
                <w:rFonts w:hint="eastAsia" w:ascii="宋体" w:hAnsi="宋体" w:cs="宋体"/>
                <w:color w:val="000000"/>
                <w:sz w:val="21"/>
                <w:szCs w:val="21"/>
                <w:highlight w:val="none"/>
                <w:lang w:val="en-US" w:eastAsia="zh-CN"/>
              </w:rPr>
              <w:t>于到期日后</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w:t>
            </w:r>
            <w:r>
              <w:rPr>
                <w:rFonts w:hint="eastAsia" w:ascii="宋体" w:hAnsi="宋体" w:cs="宋体"/>
                <w:color w:val="000000"/>
                <w:sz w:val="21"/>
                <w:szCs w:val="21"/>
                <w:highlight w:val="none"/>
                <w:lang w:eastAsia="zh-CN"/>
              </w:rPr>
              <w:t>交易日</w:t>
            </w:r>
            <w:r>
              <w:rPr>
                <w:rFonts w:hint="eastAsia" w:ascii="宋体" w:hAnsi="宋体" w:cs="宋体"/>
                <w:color w:val="000000"/>
                <w:sz w:val="21"/>
                <w:szCs w:val="21"/>
                <w:highlight w:val="none"/>
              </w:rPr>
              <w:t>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eastAsia="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中国人民银行1年期定期存款利率+0.50%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中国人民银行1年期定期存款利率+0.60%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中国人民银行1年期定期存款利率+0.50%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Z份额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中国人民银行1年期定期存款利率+0.50%</w:t>
            </w:r>
            <w:r>
              <w:rPr>
                <w:rFonts w:hint="eastAsia" w:ascii="宋体" w:hAnsi="宋体" w:cs="宋体"/>
                <w:sz w:val="21"/>
                <w:szCs w:val="21"/>
                <w:highlight w:val="none"/>
              </w:rPr>
              <w:t>〗（年化）</w:t>
            </w:r>
          </w:p>
          <w:p>
            <w:pPr>
              <w:widowControl/>
              <w:spacing w:line="360" w:lineRule="auto"/>
              <w:jc w:val="left"/>
              <w:rPr>
                <w:rFonts w:hint="eastAsia" w:ascii="宋体" w:hAnsi="宋体" w:cs="宋体"/>
                <w:b/>
                <w:bCs/>
                <w:sz w:val="21"/>
                <w:szCs w:val="21"/>
                <w:highlight w:val="none"/>
              </w:rPr>
            </w:pPr>
            <w:r>
              <w:rPr>
                <w:rFonts w:hint="eastAsia" w:ascii="宋体" w:hAnsi="宋体" w:cs="宋体"/>
                <w:b/>
                <w:bCs/>
                <w:sz w:val="21"/>
                <w:szCs w:val="21"/>
                <w:highlight w:val="none"/>
              </w:rPr>
              <w:t>业绩基准测算依据：本理财计划</w:t>
            </w:r>
            <w:r>
              <w:rPr>
                <w:rFonts w:hint="eastAsia" w:ascii="宋体" w:hAnsi="宋体" w:cs="宋体"/>
                <w:b/>
                <w:bCs/>
                <w:sz w:val="21"/>
                <w:szCs w:val="21"/>
                <w:highlight w:val="none"/>
                <w:lang w:val="en-US" w:eastAsia="zh-CN"/>
              </w:rPr>
              <w:t>重点</w:t>
            </w:r>
            <w:r>
              <w:rPr>
                <w:rFonts w:hint="eastAsia" w:ascii="宋体" w:hAnsi="宋体" w:cs="宋体"/>
                <w:b/>
                <w:bCs/>
                <w:sz w:val="21"/>
                <w:szCs w:val="21"/>
                <w:highlight w:val="none"/>
              </w:rPr>
              <w:t>投资于</w:t>
            </w:r>
            <w:r>
              <w:rPr>
                <w:rFonts w:hint="eastAsia" w:ascii="宋体" w:hAnsi="宋体" w:cs="宋体"/>
                <w:b/>
                <w:bCs/>
                <w:sz w:val="21"/>
                <w:szCs w:val="21"/>
                <w:highlight w:val="none"/>
                <w:lang w:val="en-US" w:eastAsia="zh-CN"/>
              </w:rPr>
              <w:t>同业存单、存款、信用债等资产，根据当前市场环境，拟投资产收益率在2.2%-3.5%左右，同时根据流动性管理需要和监管要求配置不低于5%的高流动性资产。综合来看，扣除相关税费成本后，A、C、Z份额业绩比较基准的中枢预计在2.0%左右，B份额业绩比较基准的中枢预计在2.1%左右</w:t>
            </w:r>
            <w:r>
              <w:rPr>
                <w:rFonts w:hint="eastAsia" w:ascii="宋体" w:hAnsi="宋体" w:cs="宋体"/>
                <w:b/>
                <w:bCs/>
                <w:sz w:val="21"/>
                <w:szCs w:val="21"/>
                <w:highlight w:val="none"/>
              </w:rPr>
              <w:t>。</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本理财计划为净值型理财产品，其业绩表现将随市场波动具有不确定性。本公司提醒投资者关注，业绩比较基准</w:t>
            </w:r>
            <w:r>
              <w:rPr>
                <w:rFonts w:hint="eastAsia" w:ascii="宋体" w:hAnsi="宋体" w:cs="宋体"/>
                <w:b/>
                <w:sz w:val="21"/>
                <w:szCs w:val="21"/>
                <w:highlight w:val="none"/>
                <w:lang w:val="en-US" w:eastAsia="zh-CN"/>
              </w:rPr>
              <w:t>不是预期收益率，并</w:t>
            </w:r>
            <w:r>
              <w:rPr>
                <w:rFonts w:hint="eastAsia" w:ascii="宋体" w:hAnsi="宋体" w:cs="宋体"/>
                <w:b/>
                <w:sz w:val="21"/>
                <w:szCs w:val="21"/>
                <w:highlight w:val="none"/>
              </w:rPr>
              <w:t>不代表理财计划的未来表现和实际收益，也不构成对理财计划收益的承诺。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Z</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Z</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bCs/>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7.浮动管理费。本理财计划免除</w:t>
            </w:r>
            <w:r>
              <w:rPr>
                <w:rFonts w:hint="eastAsia" w:ascii="宋体" w:hAnsi="宋体" w:cs="宋体"/>
                <w:color w:val="000000"/>
                <w:sz w:val="21"/>
                <w:szCs w:val="21"/>
                <w:highlight w:val="none"/>
                <w:lang w:val="en-US" w:eastAsia="zh-CN"/>
              </w:rPr>
              <w:t>浮动管理</w:t>
            </w:r>
            <w:r>
              <w:rPr>
                <w:rFonts w:hint="eastAsia" w:ascii="宋体" w:hAnsi="宋体" w:cs="宋体"/>
                <w:color w:val="000000"/>
                <w:sz w:val="21"/>
                <w:szCs w:val="21"/>
                <w:highlight w:val="none"/>
              </w:rPr>
              <w:t>费</w:t>
            </w:r>
            <w:r>
              <w:rPr>
                <w:rFonts w:hint="eastAsia" w:ascii="宋体" w:hAnsi="宋体" w:cs="宋体"/>
                <w:color w:val="00000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w:t>
            </w:r>
            <w:r>
              <w:rPr>
                <w:rFonts w:hint="eastAsia" w:ascii="宋体" w:hAnsi="宋体" w:cs="宋体"/>
                <w:b/>
                <w:color w:val="00000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本理财计划</w:t>
      </w:r>
      <w:r>
        <w:rPr>
          <w:rFonts w:hint="eastAsia" w:ascii="宋体" w:hAnsi="宋体" w:cs="宋体"/>
          <w:bCs/>
          <w:sz w:val="24"/>
          <w:highlight w:val="none"/>
          <w:lang w:eastAsia="zh-CN"/>
        </w:rPr>
        <w:t>主要投资于固定收益类资产，包括但不限于存款，</w:t>
      </w:r>
      <w:r>
        <w:rPr>
          <w:rFonts w:hint="eastAsia" w:ascii="宋体" w:hAnsi="宋体" w:cs="宋体"/>
          <w:bCs/>
          <w:sz w:val="24"/>
          <w:highlight w:val="none"/>
          <w:lang w:val="en-US" w:eastAsia="zh-CN"/>
        </w:rPr>
        <w:t>同业存单</w:t>
      </w:r>
      <w:r>
        <w:rPr>
          <w:rFonts w:hint="eastAsia" w:ascii="宋体" w:hAnsi="宋体" w:cs="宋体"/>
          <w:bCs/>
          <w:sz w:val="24"/>
          <w:highlight w:val="none"/>
          <w:lang w:eastAsia="zh-CN"/>
        </w:rPr>
        <w:t>，质押式、买断式回购</w:t>
      </w:r>
      <w:r>
        <w:rPr>
          <w:rFonts w:hint="eastAsia" w:ascii="宋体" w:hAnsi="宋体" w:cs="宋体"/>
          <w:bCs/>
          <w:sz w:val="24"/>
          <w:highlight w:val="none"/>
          <w:lang w:val="en-US" w:eastAsia="zh-CN"/>
        </w:rPr>
        <w:t>，利率债</w:t>
      </w:r>
      <w:r>
        <w:rPr>
          <w:rFonts w:hint="eastAsia" w:ascii="宋体" w:hAnsi="宋体" w:cs="宋体"/>
          <w:bCs/>
          <w:sz w:val="24"/>
          <w:highlight w:val="none"/>
          <w:lang w:eastAsia="zh-CN"/>
        </w:rPr>
        <w:t>，</w:t>
      </w:r>
      <w:r>
        <w:rPr>
          <w:rFonts w:hint="eastAsia" w:ascii="宋体" w:hAnsi="宋体" w:cs="宋体"/>
          <w:bCs/>
          <w:sz w:val="24"/>
          <w:highlight w:val="none"/>
          <w:lang w:val="en-US" w:eastAsia="zh-CN"/>
        </w:rPr>
        <w:t>信用债</w:t>
      </w:r>
      <w:r>
        <w:rPr>
          <w:rFonts w:hint="eastAsia" w:ascii="宋体" w:hAnsi="宋体" w:cs="宋体"/>
          <w:bCs/>
          <w:sz w:val="24"/>
          <w:highlight w:val="none"/>
          <w:lang w:eastAsia="zh-CN"/>
        </w:rPr>
        <w:t>及</w:t>
      </w:r>
      <w:r>
        <w:rPr>
          <w:rFonts w:hint="eastAsia" w:ascii="宋体" w:hAnsi="宋体" w:cs="宋体"/>
          <w:bCs/>
          <w:sz w:val="24"/>
          <w:highlight w:val="none"/>
          <w:lang w:val="en-US" w:eastAsia="zh-CN"/>
        </w:rPr>
        <w:t>相关资产</w:t>
      </w:r>
      <w:r>
        <w:rPr>
          <w:rFonts w:hint="eastAsia" w:ascii="宋体" w:hAnsi="宋体" w:cs="宋体"/>
          <w:bCs/>
          <w:sz w:val="24"/>
          <w:highlight w:val="none"/>
          <w:lang w:eastAsia="zh-CN"/>
        </w:rPr>
        <w:t>管理产品</w:t>
      </w:r>
      <w:r>
        <w:rPr>
          <w:rFonts w:hint="eastAsia" w:ascii="宋体" w:hAnsi="宋体" w:cs="宋体"/>
          <w:bCs/>
          <w:sz w:val="24"/>
          <w:highlight w:val="none"/>
          <w:lang w:val="en-US" w:eastAsia="zh-CN"/>
        </w:rPr>
        <w:t>等</w:t>
      </w:r>
      <w:r>
        <w:rPr>
          <w:rFonts w:hint="eastAsia" w:ascii="宋体" w:hAnsi="宋体" w:cs="宋体"/>
          <w:bCs/>
          <w:sz w:val="24"/>
          <w:highlight w:val="none"/>
          <w:lang w:eastAsia="zh-CN"/>
        </w:rPr>
        <w:t>。</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lang w:val="en-US" w:eastAsia="zh-CN"/>
              </w:rPr>
              <w:t>100%</w:t>
            </w:r>
          </w:p>
        </w:tc>
      </w:tr>
    </w:tbl>
    <w:p>
      <w:pPr>
        <w:pStyle w:val="1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bCs/>
          <w:color w:val="auto"/>
          <w:kern w:val="2"/>
          <w:highlight w:val="none"/>
        </w:rPr>
      </w:pPr>
      <w:r>
        <w:rPr>
          <w:rFonts w:hint="eastAsia" w:ascii="宋体" w:hAnsi="宋体" w:cs="宋体"/>
          <w:bCs/>
          <w:color w:val="auto"/>
          <w:kern w:val="2"/>
          <w:highlight w:val="none"/>
        </w:rPr>
        <w:t>本理财计划自成立日起</w:t>
      </w:r>
      <w:r>
        <w:rPr>
          <w:rFonts w:hint="eastAsia" w:ascii="宋体" w:hAnsi="宋体" w:cs="宋体"/>
          <w:highlight w:val="none"/>
        </w:rPr>
        <w:t>〖</w:t>
      </w:r>
      <w:r>
        <w:rPr>
          <w:rFonts w:hint="eastAsia" w:ascii="宋体" w:hAnsi="宋体" w:cs="宋体"/>
          <w:highlight w:val="none"/>
          <w:lang w:val="en-US" w:eastAsia="zh-CN"/>
        </w:rPr>
        <w:t>1</w:t>
      </w:r>
      <w:r>
        <w:rPr>
          <w:rFonts w:hint="eastAsia" w:ascii="宋体" w:hAnsi="宋体" w:cs="宋体"/>
          <w:highlight w:val="none"/>
        </w:rPr>
        <w:t>〗</w:t>
      </w:r>
      <w:r>
        <w:rPr>
          <w:rFonts w:hint="eastAsia" w:ascii="宋体" w:hAnsi="宋体" w:cs="宋体"/>
          <w:bCs/>
          <w:color w:val="auto"/>
          <w:kern w:val="2"/>
          <w:highlight w:val="none"/>
        </w:rPr>
        <w:t>个月为建仓期，管理人应当在建仓期结束前使各项投资比例符合约定。在理财计划存续期间如遇市场变化导致各类投资品投资比例暂时超出以上范围，为保护投资者利益，管理人将在流动性受限资产可出售、可转让或者恢复交易的15个交易日内调整至上述比例范围。</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1"/>
        </w:numPr>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资产配置策略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管理人</w:t>
      </w:r>
      <w:r>
        <w:rPr>
          <w:rFonts w:hint="eastAsia" w:ascii="宋体" w:hAnsi="宋体" w:cs="宋体"/>
          <w:bCs/>
          <w:color w:val="auto"/>
          <w:kern w:val="2"/>
          <w:highlight w:val="none"/>
          <w:lang w:val="en-US" w:eastAsia="zh-CN"/>
        </w:rPr>
        <w:t>将采取利率策略、信用策略，判断不同资产在经济周期的不同阶段的相对投资价值，确定不同资产在组合中的配置比例</w:t>
      </w:r>
      <w:r>
        <w:rPr>
          <w:rFonts w:hint="eastAsia" w:ascii="宋体" w:hAnsi="宋体" w:cs="宋体"/>
          <w:bCs/>
          <w:color w:val="auto"/>
          <w:kern w:val="2"/>
          <w:highlight w:val="none"/>
        </w:rPr>
        <w:t>。</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同业存单及存款类资产投资策略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管理人</w:t>
      </w:r>
      <w:r>
        <w:rPr>
          <w:rFonts w:hint="eastAsia" w:ascii="宋体" w:hAnsi="宋体" w:cs="宋体"/>
          <w:bCs/>
          <w:color w:val="auto"/>
          <w:kern w:val="2"/>
          <w:highlight w:val="none"/>
          <w:lang w:val="en-US" w:eastAsia="zh-CN"/>
        </w:rPr>
        <w:t>将优选资质良好的同业存单发行主体和存款融资主体，统筹考虑资产收益性、安全性和流动性因素，运用宏观择时、曲线挖掘、精细择券等策略捕捉信用利差、期限利差、估值洼地等机会增厚组合收益</w:t>
      </w:r>
      <w:r>
        <w:rPr>
          <w:rFonts w:hint="eastAsia" w:ascii="宋体" w:hAnsi="宋体" w:cs="宋体"/>
          <w:bCs/>
          <w:color w:val="auto"/>
          <w:kern w:val="2"/>
          <w:highlight w:val="none"/>
        </w:rPr>
        <w:t>。</w:t>
      </w:r>
    </w:p>
    <w:p>
      <w:pPr>
        <w:numPr>
          <w:ilvl w:val="0"/>
          <w:numId w:val="22"/>
        </w:numPr>
        <w:spacing w:line="360" w:lineRule="auto"/>
        <w:jc w:val="left"/>
        <w:rPr>
          <w:rFonts w:ascii="宋体" w:hAnsi="宋体" w:cs="宋体"/>
          <w:bCs/>
          <w:sz w:val="24"/>
          <w:highlight w:val="none"/>
        </w:rPr>
      </w:pPr>
      <w:r>
        <w:rPr>
          <w:rFonts w:hint="eastAsia" w:ascii="宋体" w:hAnsi="宋体" w:cs="宋体"/>
          <w:bCs/>
          <w:sz w:val="24"/>
          <w:highlight w:val="none"/>
          <w:lang w:val="en-US" w:eastAsia="zh-CN"/>
        </w:rPr>
        <w:t>杠杆和久期策</w:t>
      </w:r>
      <w:r>
        <w:rPr>
          <w:rFonts w:hint="eastAsia" w:ascii="宋体" w:hAnsi="宋体" w:cs="宋体"/>
          <w:bCs/>
          <w:sz w:val="24"/>
          <w:highlight w:val="none"/>
        </w:rPr>
        <w:t>略</w:t>
      </w:r>
    </w:p>
    <w:p>
      <w:pPr>
        <w:pStyle w:val="17"/>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sz w:val="24"/>
          <w:highlight w:val="none"/>
        </w:rPr>
        <w:t>管理人</w:t>
      </w:r>
      <w:r>
        <w:rPr>
          <w:rFonts w:hint="eastAsia" w:ascii="宋体" w:hAnsi="宋体" w:cs="宋体"/>
          <w:bCs/>
          <w:color w:val="auto"/>
          <w:kern w:val="2"/>
          <w:sz w:val="24"/>
          <w:highlight w:val="none"/>
          <w:lang w:val="en-US" w:eastAsia="zh-CN"/>
        </w:rPr>
        <w:t>将科学控制组合杠杆和久期，实现资产组合稳健增值的目标</w:t>
      </w:r>
      <w:r>
        <w:rPr>
          <w:rFonts w:hint="eastAsia" w:ascii="宋体" w:hAnsi="宋体" w:cs="宋体"/>
          <w:bCs/>
          <w:color w:val="auto"/>
          <w:kern w:val="2"/>
          <w:sz w:val="24"/>
          <w:highlight w:val="none"/>
        </w:rPr>
        <w:t>。</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highlight w:val="none"/>
        </w:rPr>
        <w:t>管理人发行的全部开放式公募理财计划投资单一上市公司发行的股票,不得超过该上市公司可流通股票的15%。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应当持有不低于该理财产品资产净值5%的现金或者到期日在一年以内的国债、中央银行票据和政策性金融债券。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资产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7"/>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781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6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托管人名称</w:t>
            </w:r>
          </w:p>
        </w:tc>
        <w:tc>
          <w:tcPr>
            <w:tcW w:w="6070" w:type="dxa"/>
            <w:noWrap w:val="0"/>
            <w:vAlign w:val="top"/>
          </w:tcPr>
          <w:p>
            <w:pPr>
              <w:spacing w:line="360" w:lineRule="auto"/>
              <w:jc w:val="left"/>
              <w:rPr>
                <w:rFonts w:ascii="宋体" w:hAnsi="宋体" w:cs="宋体"/>
                <w:bCs/>
                <w:szCs w:val="21"/>
                <w:highlight w:val="none"/>
              </w:rPr>
            </w:pPr>
            <w:r>
              <w:rPr>
                <w:rFonts w:hint="eastAsia" w:ascii="宋体" w:hAnsi="宋体" w:cs="宋体"/>
                <w:bCs/>
                <w:szCs w:val="21"/>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托管人住所</w:t>
            </w:r>
          </w:p>
        </w:tc>
        <w:tc>
          <w:tcPr>
            <w:tcW w:w="6070" w:type="dxa"/>
            <w:noWrap w:val="0"/>
            <w:vAlign w:val="top"/>
          </w:tcPr>
          <w:p>
            <w:pPr>
              <w:spacing w:line="360" w:lineRule="auto"/>
              <w:jc w:val="left"/>
              <w:rPr>
                <w:rFonts w:hint="eastAsia" w:ascii="宋体" w:hAnsi="宋体" w:cs="宋体"/>
                <w:bCs/>
                <w:szCs w:val="21"/>
                <w:highlight w:val="none"/>
              </w:rPr>
            </w:pPr>
            <w:r>
              <w:rPr>
                <w:rFonts w:hint="eastAsia" w:ascii="宋体" w:hAnsi="宋体" w:cs="宋体"/>
                <w:bCs/>
                <w:szCs w:val="21"/>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托管人职责</w:t>
            </w:r>
          </w:p>
        </w:tc>
        <w:tc>
          <w:tcPr>
            <w:tcW w:w="6070" w:type="dxa"/>
            <w:noWrap w:val="0"/>
            <w:vAlign w:val="top"/>
          </w:tcPr>
          <w:p>
            <w:pPr>
              <w:spacing w:line="360" w:lineRule="auto"/>
              <w:jc w:val="left"/>
              <w:rPr>
                <w:rFonts w:hint="eastAsia" w:ascii="宋体" w:hAnsi="宋体" w:cs="宋体"/>
                <w:bCs/>
                <w:szCs w:val="21"/>
                <w:highlight w:val="none"/>
              </w:rPr>
            </w:pPr>
            <w:r>
              <w:rPr>
                <w:rFonts w:hint="eastAsia" w:ascii="宋体" w:hAnsi="宋体" w:cs="宋体"/>
                <w:bCs/>
                <w:szCs w:val="21"/>
                <w:highlight w:val="none"/>
              </w:rPr>
              <w:t>主要提供包括账户开立、资金保管、资金结算、估值核对等理财产品托管服务。</w:t>
            </w:r>
          </w:p>
        </w:tc>
      </w:tr>
    </w:tbl>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7802"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618"/>
        <w:gridCol w:w="1180"/>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restart"/>
            <w:noWrap w:val="0"/>
            <w:vAlign w:val="center"/>
          </w:tcPr>
          <w:p>
            <w:pPr>
              <w:spacing w:line="360" w:lineRule="auto"/>
              <w:jc w:val="both"/>
              <w:rPr>
                <w:rFonts w:hint="eastAsia" w:ascii="宋体" w:hAnsi="宋体" w:cs="宋体"/>
                <w:bCs/>
                <w:szCs w:val="21"/>
                <w:highlight w:val="none"/>
              </w:rPr>
            </w:pPr>
            <w:r>
              <w:rPr>
                <w:rFonts w:hint="eastAsia" w:ascii="宋体" w:hAnsi="宋体" w:cs="宋体"/>
                <w:bCs/>
                <w:szCs w:val="21"/>
                <w:highlight w:val="none"/>
              </w:rPr>
              <w:t>销售机构信息</w:t>
            </w:r>
          </w:p>
        </w:tc>
        <w:tc>
          <w:tcPr>
            <w:tcW w:w="2618" w:type="dxa"/>
            <w:vMerge w:val="restart"/>
            <w:noWrap w:val="0"/>
            <w:vAlign w:val="center"/>
          </w:tcPr>
          <w:p>
            <w:pPr>
              <w:keepNext w:val="0"/>
              <w:keepLines w:val="0"/>
              <w:widowControl/>
              <w:suppressLineNumbers w:val="0"/>
              <w:spacing w:line="360" w:lineRule="auto"/>
              <w:jc w:val="center"/>
              <w:textAlignment w:val="auto"/>
              <w:rPr>
                <w:rFonts w:hint="eastAsia" w:ascii="宋体" w:hAnsi="宋体" w:eastAsia="宋体" w:cs="宋体"/>
                <w:bCs/>
                <w:szCs w:val="24"/>
                <w:highlight w:val="none"/>
                <w:lang w:val="en-US" w:eastAsia="zh-CN"/>
              </w:rPr>
            </w:pPr>
            <w:r>
              <w:rPr>
                <w:rFonts w:hint="eastAsia" w:ascii="宋体" w:hAnsi="宋体" w:eastAsia="宋体" w:cs="宋体"/>
                <w:bCs/>
                <w:i w:val="0"/>
                <w:color w:val="auto"/>
                <w:kern w:val="2"/>
                <w:sz w:val="24"/>
                <w:szCs w:val="24"/>
                <w:highlight w:val="none"/>
                <w:u w:val="none"/>
                <w:lang w:val="en-US" w:eastAsia="zh-CN" w:bidi="ar"/>
              </w:rPr>
              <w:t>杭银理财有限责任公司</w:t>
            </w:r>
          </w:p>
        </w:tc>
        <w:tc>
          <w:tcPr>
            <w:tcW w:w="1180"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住所</w:t>
            </w:r>
          </w:p>
        </w:tc>
        <w:tc>
          <w:tcPr>
            <w:tcW w:w="3042"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Cs w:val="21"/>
                <w:highlight w:val="none"/>
              </w:rPr>
            </w:pPr>
          </w:p>
        </w:tc>
        <w:tc>
          <w:tcPr>
            <w:tcW w:w="2618" w:type="dxa"/>
            <w:vMerge w:val="continue"/>
            <w:noWrap w:val="0"/>
            <w:vAlign w:val="center"/>
          </w:tcPr>
          <w:p>
            <w:pPr>
              <w:spacing w:line="360" w:lineRule="auto"/>
              <w:jc w:val="center"/>
              <w:rPr>
                <w:rFonts w:hint="eastAsia" w:ascii="宋体" w:hAnsi="宋体" w:cs="宋体"/>
                <w:bCs/>
                <w:szCs w:val="24"/>
                <w:highlight w:val="none"/>
              </w:rPr>
            </w:pPr>
          </w:p>
        </w:tc>
        <w:tc>
          <w:tcPr>
            <w:tcW w:w="1180"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客服热线</w:t>
            </w:r>
          </w:p>
        </w:tc>
        <w:tc>
          <w:tcPr>
            <w:tcW w:w="3042"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销售机构职责</w:t>
            </w:r>
          </w:p>
        </w:tc>
        <w:tc>
          <w:tcPr>
            <w:tcW w:w="6840" w:type="dxa"/>
            <w:gridSpan w:val="3"/>
            <w:noWrap w:val="0"/>
            <w:vAlign w:val="top"/>
          </w:tcPr>
          <w:p>
            <w:pPr>
              <w:spacing w:line="360" w:lineRule="auto"/>
              <w:jc w:val="left"/>
              <w:rPr>
                <w:rFonts w:hint="eastAsia" w:ascii="宋体" w:hAnsi="宋体" w:cs="宋体"/>
                <w:bCs/>
                <w:szCs w:val="21"/>
                <w:highlight w:val="none"/>
              </w:rPr>
            </w:pPr>
            <w:r>
              <w:rPr>
                <w:rFonts w:hint="eastAsia" w:ascii="宋体" w:hAnsi="宋体" w:cs="宋体"/>
                <w:bCs/>
                <w:szCs w:val="21"/>
                <w:highlight w:val="none"/>
              </w:rPr>
              <w:t>主要负责理财计划推广、投资者风险承受能力评估、投资者适当性管理、理财计划份额认购、申购及赎回办理。</w:t>
            </w:r>
          </w:p>
          <w:p>
            <w:pPr>
              <w:spacing w:line="360" w:lineRule="auto"/>
              <w:jc w:val="left"/>
              <w:rPr>
                <w:rFonts w:ascii="宋体" w:hAnsi="宋体" w:cs="宋体"/>
                <w:bCs/>
                <w:szCs w:val="21"/>
                <w:highlight w:val="none"/>
              </w:rPr>
            </w:pPr>
            <w:r>
              <w:rPr>
                <w:rFonts w:hint="eastAsia" w:ascii="宋体" w:hAnsi="宋体" w:cs="宋体"/>
                <w:bCs/>
                <w:szCs w:val="21"/>
                <w:highlight w:val="none"/>
              </w:rPr>
              <w:t>协助管理人负责与投资者签订理财计划合同、与投资者沟通及进行信息披露、接受投资者咨询和维护等销售服务。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在本理财计划发行后</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val="en-US" w:eastAsia="zh-CN"/>
        </w:rPr>
        <w:t>如</w:t>
      </w:r>
      <w:r>
        <w:rPr>
          <w:rFonts w:hint="eastAsia" w:ascii="宋体" w:hAnsi="宋体" w:cs="宋体"/>
          <w:bCs/>
          <w:color w:val="000000"/>
          <w:sz w:val="24"/>
          <w:highlight w:val="none"/>
        </w:rPr>
        <w:t>新增</w:t>
      </w:r>
      <w:r>
        <w:rPr>
          <w:rFonts w:hint="eastAsia" w:ascii="宋体" w:hAnsi="宋体" w:cs="宋体"/>
          <w:bCs/>
          <w:color w:val="000000"/>
          <w:sz w:val="24"/>
          <w:highlight w:val="none"/>
          <w:lang w:val="en-US" w:eastAsia="zh-CN"/>
        </w:rPr>
        <w:t>/减少</w:t>
      </w:r>
      <w:r>
        <w:rPr>
          <w:rFonts w:hint="eastAsia" w:ascii="宋体" w:hAnsi="宋体" w:cs="宋体"/>
          <w:bCs/>
          <w:color w:val="000000"/>
          <w:sz w:val="24"/>
          <w:highlight w:val="none"/>
        </w:rPr>
        <w:t>销售机构</w:t>
      </w:r>
      <w:r>
        <w:rPr>
          <w:rFonts w:hint="eastAsia" w:ascii="宋体" w:hAnsi="宋体" w:cs="宋体"/>
          <w:bCs/>
          <w:color w:val="000000"/>
          <w:sz w:val="24"/>
          <w:highlight w:val="none"/>
          <w:lang w:val="en-US" w:eastAsia="zh-CN"/>
        </w:rPr>
        <w:t>或销售机构信息变更，请</w:t>
      </w:r>
      <w:r>
        <w:rPr>
          <w:rFonts w:hint="eastAsia" w:ascii="宋体" w:hAnsi="宋体" w:cs="宋体"/>
          <w:bCs/>
          <w:color w:val="000000"/>
          <w:sz w:val="24"/>
          <w:highlight w:val="none"/>
        </w:rPr>
        <w:t>以管理人</w:t>
      </w:r>
      <w:r>
        <w:rPr>
          <w:rFonts w:hint="eastAsia" w:ascii="宋体" w:hAnsi="宋体" w:cs="宋体"/>
          <w:bCs/>
          <w:color w:val="000000"/>
          <w:sz w:val="24"/>
          <w:highlight w:val="none"/>
          <w:lang w:val="en-US" w:eastAsia="zh-CN"/>
        </w:rPr>
        <w:t>最新</w:t>
      </w:r>
      <w:r>
        <w:rPr>
          <w:rFonts w:hint="eastAsia" w:ascii="宋体" w:hAnsi="宋体" w:cs="宋体"/>
          <w:bCs/>
          <w:color w:val="000000"/>
          <w:sz w:val="24"/>
          <w:highlight w:val="none"/>
        </w:rPr>
        <w:t>公告</w:t>
      </w:r>
      <w:r>
        <w:rPr>
          <w:rFonts w:hint="eastAsia" w:ascii="宋体" w:hAnsi="宋体" w:cs="宋体"/>
          <w:bCs/>
          <w:color w:val="000000"/>
          <w:sz w:val="24"/>
          <w:highlight w:val="none"/>
          <w:lang w:val="en-US"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val="en-US" w:eastAsia="zh-CN"/>
        </w:rPr>
        <w:t>工作</w:t>
      </w:r>
      <w:r>
        <w:rPr>
          <w:rFonts w:hint="eastAsia" w:ascii="宋体" w:hAnsi="宋体" w:cs="宋体"/>
          <w:bCs/>
          <w:color w:val="000000"/>
          <w:sz w:val="24"/>
          <w:highlight w:val="none"/>
          <w:lang w:eastAsia="zh-CN"/>
        </w:rPr>
        <w:t>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以A份额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以A份额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，如理财计划实际运作结果不达业绩比较基准时，管理人有权减免固定管理费。</w:t>
      </w:r>
    </w:p>
    <w:p>
      <w:pPr>
        <w:numPr>
          <w:ilvl w:val="0"/>
          <w:numId w:val="3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本理财计划免除</w:t>
      </w:r>
      <w:r>
        <w:rPr>
          <w:rFonts w:hint="eastAsia" w:ascii="宋体" w:hAnsi="宋体" w:cs="宋体"/>
          <w:bCs/>
          <w:color w:val="000000"/>
          <w:sz w:val="24"/>
          <w:highlight w:val="none"/>
          <w:lang w:val="en-US" w:eastAsia="zh-CN"/>
        </w:rPr>
        <w:t>浮动管理费。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1"/>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1"/>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1"/>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2"/>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3"/>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w:t>
      </w:r>
      <w:r>
        <w:rPr>
          <w:rFonts w:hint="eastAsia" w:ascii="宋体" w:hAnsi="宋体" w:cs="宋体"/>
          <w:b/>
          <w:color w:val="000000"/>
          <w:sz w:val="24"/>
          <w:highlight w:val="none"/>
          <w:lang w:val="en-US" w:eastAsia="zh-CN"/>
        </w:rPr>
        <w:t>产生盈利</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〗为例，假设购买时理财计划净值为1.00元，折算份额为100,000.00份，假设投资理财计划362天。到期时扣除托管费、固定管理费、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w:t>
      </w:r>
      <w:r>
        <w:rPr>
          <w:rFonts w:hint="eastAsia" w:ascii="宋体" w:hAnsi="宋体" w:cs="宋体"/>
          <w:bCs/>
          <w:color w:val="000000"/>
          <w:sz w:val="24"/>
          <w:highlight w:val="none"/>
          <w:lang w:val="en-US" w:eastAsia="zh-CN"/>
        </w:rPr>
        <w:t>28</w:t>
      </w:r>
      <w:r>
        <w:rPr>
          <w:rFonts w:hint="eastAsia" w:ascii="宋体" w:hAnsi="宋体" w:cs="宋体"/>
          <w:bCs/>
          <w:color w:val="000000"/>
          <w:sz w:val="24"/>
          <w:highlight w:val="none"/>
        </w:rPr>
        <w:t>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期间无分红，</w:t>
      </w:r>
      <w:r>
        <w:rPr>
          <w:rFonts w:hint="eastAsia" w:ascii="宋体" w:hAnsi="宋体" w:cs="宋体"/>
          <w:bCs/>
          <w:color w:val="000000"/>
          <w:sz w:val="24"/>
          <w:highlight w:val="none"/>
        </w:rPr>
        <w:t>此时，(1.0</w:t>
      </w:r>
      <w:r>
        <w:rPr>
          <w:rFonts w:hint="eastAsia" w:ascii="宋体" w:hAnsi="宋体" w:cs="宋体"/>
          <w:bCs/>
          <w:color w:val="000000"/>
          <w:sz w:val="24"/>
          <w:highlight w:val="none"/>
          <w:lang w:val="en-US" w:eastAsia="zh-CN"/>
        </w:rPr>
        <w:t>28</w:t>
      </w:r>
      <w:r>
        <w:rPr>
          <w:rFonts w:hint="eastAsia" w:ascii="宋体" w:hAnsi="宋体" w:cs="宋体"/>
          <w:bCs/>
          <w:color w:val="000000"/>
          <w:sz w:val="24"/>
          <w:highlight w:val="none"/>
        </w:rPr>
        <w:t>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/1.00-1)×365/362=</w:t>
      </w:r>
      <w:r>
        <w:rPr>
          <w:rFonts w:hint="eastAsia" w:ascii="宋体" w:hAnsi="宋体" w:cs="宋体"/>
          <w:bCs/>
          <w:color w:val="000000"/>
          <w:sz w:val="24"/>
          <w:highlight w:val="none"/>
          <w:lang w:val="en-US" w:eastAsia="zh-CN"/>
        </w:rPr>
        <w:t>2.88</w:t>
      </w:r>
      <w:r>
        <w:rPr>
          <w:rFonts w:hint="eastAsia" w:ascii="宋体" w:hAnsi="宋体" w:cs="宋体"/>
          <w:bCs/>
          <w:color w:val="000000"/>
          <w:sz w:val="24"/>
          <w:highlight w:val="none"/>
        </w:rPr>
        <w:t>%，即投资</w:t>
      </w:r>
      <w:r>
        <w:rPr>
          <w:rFonts w:hint="eastAsia" w:ascii="宋体" w:hAnsi="宋体" w:cs="宋体"/>
          <w:bCs/>
          <w:color w:val="000000"/>
          <w:sz w:val="24"/>
          <w:highlight w:val="none"/>
          <w:lang w:val="en-US" w:eastAsia="zh-CN"/>
        </w:rPr>
        <w:t>收益达到年化</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2.88%</w:t>
      </w:r>
      <w:r>
        <w:rPr>
          <w:rFonts w:hint="eastAsia" w:ascii="宋体" w:hAnsi="宋体" w:cs="宋体"/>
          <w:bCs/>
          <w:color w:val="000000"/>
          <w:sz w:val="24"/>
          <w:highlight w:val="none"/>
        </w:rPr>
        <w:t>〗，投资者最终收益为：100,000.00×(1.0</w:t>
      </w:r>
      <w:r>
        <w:rPr>
          <w:rFonts w:hint="eastAsia" w:ascii="宋体" w:hAnsi="宋体" w:cs="宋体"/>
          <w:bCs/>
          <w:color w:val="000000"/>
          <w:sz w:val="24"/>
          <w:highlight w:val="none"/>
          <w:lang w:val="en-US" w:eastAsia="zh-CN"/>
        </w:rPr>
        <w:t>28</w:t>
      </w:r>
      <w:r>
        <w:rPr>
          <w:rFonts w:hint="eastAsia" w:ascii="宋体" w:hAnsi="宋体" w:cs="宋体"/>
          <w:bCs/>
          <w:color w:val="000000"/>
          <w:sz w:val="24"/>
          <w:highlight w:val="none"/>
        </w:rPr>
        <w:t>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-1.00）=</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8</w:t>
      </w:r>
      <w:r>
        <w:rPr>
          <w:rFonts w:hint="eastAsia" w:ascii="宋体" w:hAnsi="宋体" w:cs="宋体"/>
          <w:bCs/>
          <w:color w:val="000000"/>
          <w:sz w:val="24"/>
          <w:highlight w:val="none"/>
        </w:rPr>
        <w:t>60.00（元）</w:t>
      </w:r>
    </w:p>
    <w:p>
      <w:pPr>
        <w:numPr>
          <w:ilvl w:val="0"/>
          <w:numId w:val="43"/>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val="en-US" w:eastAsia="zh-CN"/>
        </w:rPr>
        <w:t>二</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〗为例，假设购买时理财计划净值为1.00元，折算份额为100,000.00份，假设投资理财计划362天。到期时扣除托管费、固定管理费、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期间无分红，</w:t>
      </w:r>
      <w:r>
        <w:rPr>
          <w:rFonts w:hint="eastAsia" w:ascii="宋体" w:hAnsi="宋体" w:cs="宋体"/>
          <w:bCs/>
          <w:color w:val="000000"/>
          <w:sz w:val="24"/>
          <w:highlight w:val="none"/>
        </w:rPr>
        <w:t>投资者最终收益为：100,000.00×（0.9975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-1.00）=-250.00（元）。</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6"/>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7"/>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w:t>
      </w:r>
      <w:r>
        <w:rPr>
          <w:rFonts w:hint="eastAsia" w:ascii="宋体" w:hAnsi="宋体" w:cs="宋体"/>
          <w:bCs/>
          <w:sz w:val="24"/>
          <w:highlight w:val="none"/>
          <w:lang w:val="en-US" w:eastAsia="zh-CN"/>
        </w:rPr>
        <w:t>的</w:t>
      </w:r>
      <w:r>
        <w:rPr>
          <w:rFonts w:hint="eastAsia" w:ascii="宋体" w:hAnsi="宋体" w:cs="宋体"/>
          <w:bCs/>
          <w:sz w:val="24"/>
          <w:highlight w:val="none"/>
        </w:rPr>
        <w:t>工作时间可进行申购</w:t>
      </w:r>
      <w:r>
        <w:rPr>
          <w:rFonts w:hint="eastAsia" w:ascii="宋体" w:hAnsi="宋体" w:cs="宋体"/>
          <w:bCs/>
          <w:sz w:val="24"/>
          <w:highlight w:val="none"/>
          <w:lang w:val="en-US" w:eastAsia="zh-CN"/>
        </w:rPr>
        <w:t>和撤单</w:t>
      </w:r>
      <w:r>
        <w:rPr>
          <w:rFonts w:hint="eastAsia" w:ascii="宋体" w:hAnsi="宋体" w:cs="宋体"/>
          <w:bCs/>
          <w:sz w:val="24"/>
          <w:highlight w:val="none"/>
        </w:rPr>
        <w:t>，申购申请将在确认日进行确认，即申购</w:t>
      </w:r>
      <w:r>
        <w:rPr>
          <w:rFonts w:hint="eastAsia" w:ascii="宋体" w:hAnsi="宋体" w:cs="宋体"/>
          <w:bCs/>
          <w:sz w:val="24"/>
          <w:highlight w:val="none"/>
          <w:lang w:val="en-US" w:eastAsia="zh-CN"/>
        </w:rPr>
        <w:t>申请日</w:t>
      </w:r>
      <w:r>
        <w:rPr>
          <w:rFonts w:hint="eastAsia" w:ascii="宋体" w:hAnsi="宋体" w:cs="宋体"/>
          <w:bCs/>
          <w:sz w:val="24"/>
          <w:highlight w:val="none"/>
        </w:rPr>
        <w:t>后的第〖1〗个</w:t>
      </w:r>
      <w:r>
        <w:rPr>
          <w:rFonts w:hint="eastAsia" w:ascii="宋体" w:hAnsi="宋体" w:cs="宋体"/>
          <w:bCs/>
          <w:sz w:val="24"/>
          <w:highlight w:val="none"/>
          <w:lang w:val="en-US" w:eastAsia="zh-CN"/>
        </w:rPr>
        <w:t>交易</w:t>
      </w:r>
      <w:r>
        <w:rPr>
          <w:rFonts w:hint="eastAsia" w:ascii="宋体" w:hAnsi="宋体" w:cs="宋体"/>
          <w:bCs/>
          <w:sz w:val="24"/>
          <w:highlight w:val="none"/>
        </w:rPr>
        <w:t>日进行确认。</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满足赎回条件后，</w:t>
      </w:r>
      <w:r>
        <w:rPr>
          <w:rFonts w:hint="eastAsia" w:ascii="宋体" w:hAnsi="宋体" w:cs="宋体"/>
          <w:bCs/>
          <w:sz w:val="24"/>
          <w:highlight w:val="none"/>
        </w:rPr>
        <w:t>本理财计划在每个开放期的工作时间可进行赎回</w:t>
      </w:r>
      <w:r>
        <w:rPr>
          <w:rFonts w:hint="eastAsia" w:ascii="宋体" w:hAnsi="宋体" w:cs="宋体"/>
          <w:bCs/>
          <w:sz w:val="24"/>
          <w:highlight w:val="none"/>
          <w:lang w:val="en-US" w:eastAsia="zh-CN"/>
        </w:rPr>
        <w:t>和撤单</w:t>
      </w:r>
      <w:r>
        <w:rPr>
          <w:rFonts w:hint="eastAsia" w:ascii="宋体" w:hAnsi="宋体" w:cs="宋体"/>
          <w:bCs/>
          <w:sz w:val="24"/>
          <w:highlight w:val="none"/>
        </w:rPr>
        <w:t>，赎回申请将在确认日进行确认，即赎回</w:t>
      </w:r>
      <w:r>
        <w:rPr>
          <w:rFonts w:hint="eastAsia" w:ascii="宋体" w:hAnsi="宋体" w:cs="宋体"/>
          <w:bCs/>
          <w:sz w:val="24"/>
          <w:highlight w:val="none"/>
          <w:lang w:val="en-US" w:eastAsia="zh-CN"/>
        </w:rPr>
        <w:t>申请日</w:t>
      </w:r>
      <w:r>
        <w:rPr>
          <w:rFonts w:hint="eastAsia" w:ascii="宋体" w:hAnsi="宋体" w:cs="宋体"/>
          <w:bCs/>
          <w:sz w:val="24"/>
          <w:highlight w:val="none"/>
        </w:rPr>
        <w:t>后的第〖1〗个</w:t>
      </w:r>
      <w:r>
        <w:rPr>
          <w:rFonts w:hint="eastAsia" w:ascii="宋体" w:hAnsi="宋体" w:cs="宋体"/>
          <w:bCs/>
          <w:sz w:val="24"/>
          <w:highlight w:val="none"/>
          <w:lang w:val="en-US" w:eastAsia="zh-CN"/>
        </w:rPr>
        <w:t>交易</w:t>
      </w:r>
      <w:r>
        <w:rPr>
          <w:rFonts w:hint="eastAsia" w:ascii="宋体" w:hAnsi="宋体" w:cs="宋体"/>
          <w:bCs/>
          <w:sz w:val="24"/>
          <w:highlight w:val="none"/>
        </w:rPr>
        <w:t>日进行确认。</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highlight w:val="none"/>
        </w:rPr>
        <w:t>在交易日的</w:t>
      </w:r>
      <w:r>
        <w:rPr>
          <w:rFonts w:hint="eastAsia" w:ascii="宋体" w:hAnsi="宋体" w:cs="宋体"/>
          <w:bCs/>
          <w:highlight w:val="none"/>
          <w:lang w:eastAsia="zh-CN"/>
        </w:rPr>
        <w:t>15：45</w:t>
      </w:r>
      <w:r>
        <w:rPr>
          <w:rFonts w:hint="eastAsia" w:ascii="宋体" w:hAnsi="宋体" w:cs="宋体"/>
          <w:bCs/>
          <w:highlight w:val="none"/>
        </w:rPr>
        <w:t>之前提交的申购和赎回申请，申请日为提出申请当日；在交易日</w:t>
      </w:r>
      <w:r>
        <w:rPr>
          <w:rFonts w:hint="eastAsia" w:ascii="宋体" w:hAnsi="宋体" w:cs="宋体"/>
          <w:bCs/>
          <w:highlight w:val="none"/>
          <w:lang w:eastAsia="zh-CN"/>
        </w:rPr>
        <w:t>15：45</w:t>
      </w:r>
      <w:r>
        <w:rPr>
          <w:rFonts w:hint="eastAsia" w:ascii="宋体" w:hAnsi="宋体" w:cs="宋体"/>
          <w:bCs/>
          <w:highlight w:val="none"/>
        </w:rPr>
        <w:t>之后及非交易日提交的申购和赎回申请，申请日为提出申请日的下一交易日。</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w:t>
      </w:r>
      <w:r>
        <w:rPr>
          <w:rFonts w:hint="eastAsia" w:ascii="宋体" w:hAnsi="宋体" w:cs="宋体"/>
          <w:bCs/>
          <w:sz w:val="24"/>
          <w:highlight w:val="none"/>
          <w:lang w:val="en-US" w:eastAsia="zh-CN"/>
        </w:rPr>
        <w:t>交易</w:t>
      </w:r>
      <w:r>
        <w:rPr>
          <w:rFonts w:hint="eastAsia" w:ascii="宋体" w:hAnsi="宋体" w:cs="宋体"/>
          <w:bCs/>
          <w:sz w:val="24"/>
          <w:highlight w:val="none"/>
        </w:rPr>
        <w:t>日上午〖9:00〗至下午〖1</w:t>
      </w:r>
      <w:r>
        <w:rPr>
          <w:rFonts w:hint="eastAsia" w:ascii="宋体" w:hAnsi="宋体" w:cs="宋体"/>
          <w:bCs/>
          <w:sz w:val="24"/>
          <w:highlight w:val="none"/>
          <w:lang w:eastAsia="zh-CN"/>
        </w:rPr>
        <w:t>5</w:t>
      </w:r>
      <w:r>
        <w:rPr>
          <w:rFonts w:hint="eastAsia" w:ascii="宋体" w:hAnsi="宋体" w:cs="宋体"/>
          <w:bCs/>
          <w:sz w:val="24"/>
          <w:highlight w:val="none"/>
        </w:rPr>
        <w:t>:</w:t>
      </w:r>
      <w:r>
        <w:rPr>
          <w:rFonts w:hint="eastAsia" w:ascii="宋体" w:hAnsi="宋体" w:cs="宋体"/>
          <w:bCs/>
          <w:sz w:val="24"/>
          <w:highlight w:val="none"/>
          <w:lang w:eastAsia="zh-CN"/>
        </w:rPr>
        <w:t>4</w:t>
      </w:r>
      <w:r>
        <w:rPr>
          <w:rFonts w:hint="eastAsia" w:ascii="宋体" w:hAnsi="宋体" w:cs="宋体"/>
          <w:bCs/>
          <w:sz w:val="24"/>
          <w:highlight w:val="none"/>
          <w:lang w:val="en-US" w:eastAsia="zh-CN"/>
        </w:rPr>
        <w:t>5</w:t>
      </w:r>
      <w:r>
        <w:rPr>
          <w:rFonts w:hint="eastAsia" w:ascii="宋体" w:hAnsi="宋体" w:cs="宋体"/>
          <w:bCs/>
          <w:sz w:val="24"/>
          <w:highlight w:val="none"/>
        </w:rPr>
        <w:t>〗。</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7"/>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于确认日当</w:t>
      </w:r>
      <w:r>
        <w:rPr>
          <w:rFonts w:hint="eastAsia" w:ascii="宋体" w:hAnsi="宋体" w:cs="宋体"/>
          <w:bCs/>
          <w:sz w:val="24"/>
          <w:highlight w:val="none"/>
        </w:rPr>
        <w:t>日，最晚</w:t>
      </w:r>
      <w:r>
        <w:rPr>
          <w:rFonts w:hint="eastAsia" w:ascii="宋体" w:hAnsi="宋体" w:cs="宋体"/>
          <w:bCs/>
          <w:sz w:val="24"/>
          <w:highlight w:val="none"/>
          <w:lang w:val="en-US" w:eastAsia="zh-CN"/>
        </w:rPr>
        <w:t>于确认日后</w:t>
      </w:r>
      <w:r>
        <w:rPr>
          <w:rFonts w:hint="eastAsia" w:ascii="宋体" w:hAnsi="宋体" w:cs="宋体"/>
          <w:bCs/>
          <w:sz w:val="24"/>
          <w:highlight w:val="none"/>
        </w:rPr>
        <w:t>〖</w:t>
      </w:r>
      <w:r>
        <w:rPr>
          <w:rFonts w:hint="eastAsia" w:ascii="宋体" w:hAnsi="宋体" w:cs="宋体"/>
          <w:bCs/>
          <w:sz w:val="24"/>
          <w:highlight w:val="none"/>
          <w:lang w:val="en-US" w:eastAsia="zh-CN"/>
        </w:rPr>
        <w:t>2</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7"/>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如连续2日（含）以上开放日发生巨额赎回，对于已经接受的赎回申请，管理人可以延缓支付赎回款项，但延缓期限不得超过20个工作日。</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7"/>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于到期日后</w:t>
      </w:r>
      <w:r>
        <w:rPr>
          <w:rFonts w:hint="eastAsia" w:ascii="宋体" w:hAnsi="宋体" w:cs="宋体"/>
          <w:bCs/>
          <w:sz w:val="24"/>
          <w:highlight w:val="none"/>
        </w:rPr>
        <w:t>〖</w:t>
      </w:r>
      <w:r>
        <w:rPr>
          <w:rFonts w:hint="eastAsia" w:ascii="宋体" w:hAnsi="宋体" w:cs="宋体"/>
          <w:bCs/>
          <w:sz w:val="24"/>
          <w:highlight w:val="none"/>
          <w:lang w:val="en-US" w:eastAsia="zh-CN"/>
        </w:rPr>
        <w:t>1</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日、最晚</w:t>
      </w:r>
      <w:r>
        <w:rPr>
          <w:rFonts w:hint="eastAsia" w:ascii="宋体" w:hAnsi="宋体" w:cs="宋体"/>
          <w:bCs/>
          <w:sz w:val="24"/>
          <w:highlight w:val="none"/>
          <w:lang w:val="en-US" w:eastAsia="zh-CN"/>
        </w:rPr>
        <w:t>于到期日后</w:t>
      </w:r>
      <w:r>
        <w:rPr>
          <w:rFonts w:hint="eastAsia" w:ascii="宋体" w:hAnsi="宋体" w:cs="宋体"/>
          <w:bCs/>
          <w:sz w:val="24"/>
          <w:highlight w:val="none"/>
        </w:rPr>
        <w:t>〖</w:t>
      </w:r>
      <w:r>
        <w:rPr>
          <w:rFonts w:hint="eastAsia" w:ascii="宋体" w:hAnsi="宋体" w:cs="宋体"/>
          <w:bCs/>
          <w:sz w:val="24"/>
          <w:highlight w:val="none"/>
          <w:lang w:val="en-US" w:eastAsia="zh-CN"/>
        </w:rPr>
        <w:t>3</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sz w:val="24"/>
          <w:highlight w:val="none"/>
        </w:rPr>
        <w:t>2</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3"/>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3"/>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3"/>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3"/>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3"/>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3"/>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7"/>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7"/>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发行公告：管理人应在理财计划成立日后3个工作日内披露，包括成立日期、募集规模等信息。</w:t>
      </w:r>
    </w:p>
    <w:p>
      <w:pPr>
        <w:numPr>
          <w:ilvl w:val="0"/>
          <w:numId w:val="5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8"/>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p>
    <w:p>
      <w:pPr>
        <w:numPr>
          <w:ilvl w:val="0"/>
          <w:numId w:val="0"/>
        </w:numPr>
        <w:spacing w:line="360" w:lineRule="auto"/>
        <w:ind w:firstLine="0" w:firstLineChars="0"/>
        <w:rPr>
          <w:rFonts w:hint="eastAsia" w:ascii="宋体" w:hAnsi="宋体" w:cs="宋体"/>
          <w:b/>
          <w:sz w:val="24"/>
          <w:highlight w:val="none"/>
          <w:u w:val="none"/>
        </w:rPr>
      </w:pPr>
      <w:r>
        <w:rPr>
          <w:rFonts w:hint="eastAsia" w:ascii="宋体" w:hAnsi="宋体" w:cs="宋体"/>
          <w:bCs/>
          <w:color w:val="000000"/>
          <w:sz w:val="24"/>
          <w:highlight w:val="none"/>
          <w:u w:val="none"/>
          <w:lang w:eastAsia="zh-CN"/>
        </w:rPr>
        <w:t>如本理财计划成立不足</w:t>
      </w:r>
      <w:r>
        <w:rPr>
          <w:rFonts w:hint="eastAsia" w:ascii="宋体" w:hAnsi="宋体" w:cs="宋体"/>
          <w:bCs/>
          <w:color w:val="000000"/>
          <w:sz w:val="24"/>
          <w:highlight w:val="none"/>
          <w:u w:val="none"/>
          <w:lang w:val="en-US" w:eastAsia="zh-CN"/>
        </w:rPr>
        <w:t>90个工作日或剩余存续期不超过90个工作日的，管理人可不编制当期的季度、半年和年度报告等运行报告。</w:t>
      </w:r>
    </w:p>
    <w:p>
      <w:pPr>
        <w:numPr>
          <w:ilvl w:val="0"/>
          <w:numId w:val="58"/>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1"/>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2"/>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firstLine="0" w:firstLineChars="0"/>
        <w:outlineLvl w:val="1"/>
        <w:rPr>
          <w:rFonts w:hint="eastAsia" w:ascii="宋体" w:hAnsi="宋体" w:cs="宋体"/>
          <w:b/>
          <w:kern w:val="0"/>
          <w:sz w:val="24"/>
          <w:highlight w:val="none"/>
        </w:rPr>
      </w:pPr>
      <w:r>
        <w:rPr>
          <w:rFonts w:hint="eastAsia" w:ascii="宋体" w:hAnsi="宋体" w:cs="宋体"/>
          <w:bCs/>
          <w:highlight w:val="none"/>
        </w:rPr>
        <w:t>投资者风险承受能力评级水平以销售机构评估为准。</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5"/>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5"/>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5"/>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6"/>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6"/>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6"/>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6"/>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69"/>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bCs/>
          <w:color w:val="auto"/>
          <w:kern w:val="2"/>
          <w:highlight w:val="none"/>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rPr>
        <w:fldChar w:fldCharType="begin"/>
      </w:r>
      <w:r>
        <w:rPr>
          <w:rFonts w:hint="eastAsia" w:ascii="宋体" w:hAnsi="宋体" w:cs="宋体"/>
          <w:bCs/>
          <w:color w:val="auto"/>
          <w:kern w:val="2"/>
          <w:highlight w:val="none"/>
        </w:rPr>
        <w:instrText xml:space="preserve"> HYPERLINK "https://www.hzbankwealth.com.cn" </w:instrText>
      </w:r>
      <w:r>
        <w:rPr>
          <w:rFonts w:hint="eastAsia" w:ascii="宋体" w:hAnsi="宋体" w:cs="宋体"/>
          <w:bCs/>
          <w:color w:val="auto"/>
          <w:kern w:val="2"/>
          <w:highlight w:val="none"/>
        </w:rPr>
        <w:fldChar w:fldCharType="separate"/>
      </w:r>
      <w:r>
        <w:rPr>
          <w:rStyle w:val="14"/>
          <w:rFonts w:hint="eastAsia" w:ascii="宋体" w:hAnsi="宋体" w:cs="宋体"/>
          <w:bCs/>
          <w:kern w:val="2"/>
          <w:highlight w:val="none"/>
        </w:rPr>
        <w:t>https://www.hzbankwealth.com.cn</w:t>
      </w:r>
      <w:r>
        <w:rPr>
          <w:rFonts w:hint="eastAsia" w:ascii="宋体" w:hAnsi="宋体" w:cs="宋体"/>
          <w:bCs/>
          <w:color w:val="auto"/>
          <w:kern w:val="2"/>
          <w:highlight w:val="none"/>
        </w:rPr>
        <w:fldChar w:fldCharType="end"/>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9"/>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u w:val="single"/>
          <w:lang w:val="en-US" w:eastAsia="zh-CN"/>
        </w:rPr>
        <w:fldChar w:fldCharType="begin"/>
      </w:r>
      <w:r>
        <w:rPr>
          <w:rFonts w:hint="eastAsia" w:ascii="宋体" w:hAnsi="宋体" w:cs="宋体"/>
          <w:kern w:val="0"/>
          <w:sz w:val="24"/>
          <w:highlight w:val="none"/>
          <w:u w:val="single"/>
          <w:lang w:val="en-US" w:eastAsia="zh-CN"/>
        </w:rPr>
        <w:instrText xml:space="preserve"> HYPERLINK "http://www.hzbankwealth.cn" </w:instrText>
      </w:r>
      <w:r>
        <w:rPr>
          <w:rFonts w:hint="eastAsia" w:ascii="宋体" w:hAnsi="宋体" w:cs="宋体"/>
          <w:kern w:val="0"/>
          <w:sz w:val="24"/>
          <w:highlight w:val="none"/>
          <w:u w:val="single"/>
          <w:lang w:val="en-US" w:eastAsia="zh-CN"/>
        </w:rPr>
        <w:fldChar w:fldCharType="separate"/>
      </w:r>
      <w:r>
        <w:rPr>
          <w:rStyle w:val="14"/>
          <w:rFonts w:hint="eastAsia" w:ascii="宋体" w:hAnsi="宋体" w:cs="宋体"/>
          <w:kern w:val="0"/>
          <w:sz w:val="24"/>
          <w:highlight w:val="none"/>
          <w:lang w:val="en-US" w:eastAsia="zh-CN"/>
        </w:rPr>
        <w:t>www.hzbank.com.cn</w:t>
      </w:r>
      <w:r>
        <w:rPr>
          <w:rFonts w:hint="eastAsia" w:ascii="宋体" w:hAnsi="宋体" w:cs="宋体"/>
          <w:kern w:val="0"/>
          <w:sz w:val="24"/>
          <w:highlight w:val="none"/>
          <w:u w:val="singl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0"/>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0"/>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1"/>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0"/>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2"/>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0"/>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3"/>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0"/>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0"/>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val="en-US"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val="en-US" w:eastAsia="zh-CN"/>
        </w:rPr>
        <w:t>赎回</w:t>
      </w:r>
      <w:r>
        <w:rPr>
          <w:rFonts w:hint="eastAsia" w:ascii="宋体" w:hAnsi="宋体"/>
          <w:sz w:val="24"/>
          <w:highlight w:val="none"/>
        </w:rPr>
        <w:t>日前的理财收益，也不计付存款利息。</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0"/>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0"/>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0"/>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w:t>
      </w:r>
      <w:r>
        <w:rPr>
          <w:rFonts w:hint="eastAsia" w:cs="黑体"/>
          <w:sz w:val="24"/>
          <w:highlight w:val="none"/>
          <w:lang w:val="en-US" w:eastAsia="zh-CN"/>
        </w:rPr>
        <w:t>代理</w:t>
      </w:r>
      <w:r>
        <w:rPr>
          <w:rFonts w:hint="eastAsia" w:ascii="Calibri" w:hAnsi="Calibri" w:eastAsia="宋体" w:cs="黑体"/>
          <w:sz w:val="24"/>
          <w:highlight w:val="none"/>
          <w:lang w:val="en-US" w:eastAsia="zh-CN"/>
        </w:rPr>
        <w:t>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7"/>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7"/>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7"/>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7"/>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7"/>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cs="黑体"/>
          <w:b/>
          <w:bCs/>
          <w:sz w:val="24"/>
          <w:highlight w:val="none"/>
          <w:lang w:val="en-US" w:eastAsia="zh-CN"/>
        </w:rPr>
        <w:t>代理</w:t>
      </w:r>
      <w:r>
        <w:rPr>
          <w:rFonts w:hint="eastAsia" w:ascii="宋体" w:hAnsi="宋体" w:eastAsia="宋体" w:cs="黑体"/>
          <w:b/>
          <w:bCs/>
          <w:sz w:val="24"/>
          <w:highlight w:val="none"/>
          <w:lang w:val="en-US" w:eastAsia="zh-CN"/>
        </w:rPr>
        <w:t>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8"/>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cs="黑体"/>
          <w:sz w:val="24"/>
          <w:highlight w:val="none"/>
          <w:lang w:val="en-US"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cs="黑体"/>
          <w:sz w:val="24"/>
          <w:highlight w:val="none"/>
          <w:lang w:val="en-US"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Inj1Y+wAQAA&#10;TgMAAA4AAAAAAAAAAQAgAAAAHgEAAGRycy9lMm9Eb2MueG1sUEsFBgAAAAAGAAYAWQEAAEAFAAAA&#10;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102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25"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3">
    <w:nsid w:val="85460E80"/>
    <w:multiLevelType w:val="singleLevel"/>
    <w:tmpl w:val="85460E80"/>
    <w:lvl w:ilvl="0" w:tentative="0">
      <w:start w:val="1"/>
      <w:numFmt w:val="decimal"/>
      <w:suff w:val="nothing"/>
      <w:lvlText w:val="（%1）"/>
      <w:lvlJc w:val="left"/>
      <w:rPr>
        <w:rFonts w:hint="default"/>
        <w:b w:val="0"/>
        <w:bCs w:val="0"/>
      </w:rPr>
    </w:lvl>
  </w:abstractNum>
  <w:abstractNum w:abstractNumId="4">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5">
    <w:nsid w:val="8906C252"/>
    <w:multiLevelType w:val="singleLevel"/>
    <w:tmpl w:val="8906C252"/>
    <w:lvl w:ilvl="0" w:tentative="0">
      <w:start w:val="1"/>
      <w:numFmt w:val="decimal"/>
      <w:suff w:val="nothing"/>
      <w:lvlText w:val="（%1）"/>
      <w:lvlJc w:val="left"/>
      <w:rPr>
        <w:rFonts w:hint="default"/>
        <w:b w:val="0"/>
        <w:bCs w:val="0"/>
      </w:rPr>
    </w:lvl>
  </w:abstractNum>
  <w:abstractNum w:abstractNumId="6">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7">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8">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9">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10">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1">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2">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3">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4">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5">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6">
    <w:nsid w:val="AC40BB97"/>
    <w:multiLevelType w:val="singleLevel"/>
    <w:tmpl w:val="AC40BB97"/>
    <w:lvl w:ilvl="0" w:tentative="0">
      <w:start w:val="1"/>
      <w:numFmt w:val="chineseCounting"/>
      <w:suff w:val="nothing"/>
      <w:lvlText w:val="%1、"/>
      <w:lvlJc w:val="left"/>
      <w:rPr>
        <w:rFonts w:hint="eastAsia"/>
      </w:rPr>
    </w:lvl>
  </w:abstractNum>
  <w:abstractNum w:abstractNumId="17">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8">
    <w:nsid w:val="B08226EF"/>
    <w:multiLevelType w:val="singleLevel"/>
    <w:tmpl w:val="B08226EF"/>
    <w:lvl w:ilvl="0" w:tentative="0">
      <w:start w:val="1"/>
      <w:numFmt w:val="chineseCounting"/>
      <w:suff w:val="space"/>
      <w:lvlText w:val="第%1条"/>
      <w:lvlJc w:val="left"/>
      <w:rPr>
        <w:rFonts w:hint="eastAsia"/>
      </w:rPr>
    </w:lvl>
  </w:abstractNum>
  <w:abstractNum w:abstractNumId="19">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20">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1">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2">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3">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4">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5">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6">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7">
    <w:nsid w:val="D8D75090"/>
    <w:multiLevelType w:val="singleLevel"/>
    <w:tmpl w:val="D8D75090"/>
    <w:lvl w:ilvl="0" w:tentative="0">
      <w:start w:val="1"/>
      <w:numFmt w:val="decimal"/>
      <w:suff w:val="nothing"/>
      <w:lvlText w:val="（%1）"/>
      <w:lvlJc w:val="left"/>
      <w:rPr>
        <w:rFonts w:hint="default"/>
        <w:b w:val="0"/>
        <w:bCs w:val="0"/>
      </w:rPr>
    </w:lvl>
  </w:abstractNum>
  <w:abstractNum w:abstractNumId="28">
    <w:nsid w:val="DD2251DF"/>
    <w:multiLevelType w:val="singleLevel"/>
    <w:tmpl w:val="DD2251DF"/>
    <w:lvl w:ilvl="0" w:tentative="0">
      <w:start w:val="1"/>
      <w:numFmt w:val="decimal"/>
      <w:suff w:val="nothing"/>
      <w:lvlText w:val="（%1）"/>
      <w:lvlJc w:val="left"/>
      <w:rPr>
        <w:rFonts w:hint="default"/>
        <w:b w:val="0"/>
        <w:bCs w:val="0"/>
      </w:rPr>
    </w:lvl>
  </w:abstractNum>
  <w:abstractNum w:abstractNumId="29">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30">
    <w:nsid w:val="E70DF796"/>
    <w:multiLevelType w:val="singleLevel"/>
    <w:tmpl w:val="E70DF796"/>
    <w:lvl w:ilvl="0" w:tentative="0">
      <w:start w:val="1"/>
      <w:numFmt w:val="decimal"/>
      <w:suff w:val="nothing"/>
      <w:lvlText w:val="（%1）"/>
      <w:lvlJc w:val="left"/>
    </w:lvl>
  </w:abstractNum>
  <w:abstractNum w:abstractNumId="31">
    <w:nsid w:val="EFF37F09"/>
    <w:multiLevelType w:val="singleLevel"/>
    <w:tmpl w:val="EFF37F09"/>
    <w:lvl w:ilvl="0" w:tentative="0">
      <w:start w:val="1"/>
      <w:numFmt w:val="decimal"/>
      <w:suff w:val="nothing"/>
      <w:lvlText w:val="（%1）"/>
      <w:lvlJc w:val="left"/>
      <w:rPr>
        <w:rFonts w:hint="default"/>
        <w:b w:val="0"/>
        <w:bCs w:val="0"/>
      </w:rPr>
    </w:lvl>
  </w:abstractNum>
  <w:abstractNum w:abstractNumId="32">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4">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5">
    <w:nsid w:val="F574F5B6"/>
    <w:multiLevelType w:val="singleLevel"/>
    <w:tmpl w:val="F574F5B6"/>
    <w:lvl w:ilvl="0" w:tentative="0">
      <w:start w:val="1"/>
      <w:numFmt w:val="decimal"/>
      <w:suff w:val="nothing"/>
      <w:lvlText w:val="（%1）"/>
      <w:lvlJc w:val="left"/>
    </w:lvl>
  </w:abstractNum>
  <w:abstractNum w:abstractNumId="36">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7">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8">
    <w:nsid w:val="084A6179"/>
    <w:multiLevelType w:val="singleLevel"/>
    <w:tmpl w:val="084A6179"/>
    <w:lvl w:ilvl="0" w:tentative="0">
      <w:start w:val="1"/>
      <w:numFmt w:val="decimal"/>
      <w:suff w:val="nothing"/>
      <w:lvlText w:val="（%1）"/>
      <w:lvlJc w:val="left"/>
      <w:rPr>
        <w:rFonts w:hint="default"/>
        <w:highlight w:val="none"/>
      </w:rPr>
    </w:lvl>
  </w:abstractNum>
  <w:abstractNum w:abstractNumId="39">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8">
    <w:nsid w:val="5BA91325"/>
    <w:multiLevelType w:val="singleLevel"/>
    <w:tmpl w:val="5BA91325"/>
    <w:lvl w:ilvl="0" w:tentative="0">
      <w:start w:val="1"/>
      <w:numFmt w:val="decimal"/>
      <w:suff w:val="nothing"/>
      <w:lvlText w:val="（%1）"/>
      <w:lvlJc w:val="left"/>
    </w:lvl>
  </w:abstractNum>
  <w:abstractNum w:abstractNumId="5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3">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9">
    <w:nsid w:val="61F30F62"/>
    <w:multiLevelType w:val="singleLevel"/>
    <w:tmpl w:val="61F30F62"/>
    <w:lvl w:ilvl="0" w:tentative="0">
      <w:start w:val="1"/>
      <w:numFmt w:val="decimal"/>
      <w:suff w:val="nothing"/>
      <w:lvlText w:val="（%1）"/>
      <w:lvlJc w:val="left"/>
      <w:rPr>
        <w:rFonts w:hint="default"/>
        <w:b w:val="0"/>
        <w:bCs w:val="0"/>
      </w:rPr>
    </w:lvl>
  </w:abstractNum>
  <w:abstractNum w:abstractNumId="8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6"/>
  </w:num>
  <w:num w:numId="2">
    <w:abstractNumId w:val="1"/>
  </w:num>
  <w:num w:numId="3">
    <w:abstractNumId w:val="51"/>
  </w:num>
  <w:num w:numId="4">
    <w:abstractNumId w:val="44"/>
  </w:num>
  <w:num w:numId="5">
    <w:abstractNumId w:val="23"/>
  </w:num>
  <w:num w:numId="6">
    <w:abstractNumId w:val="81"/>
  </w:num>
  <w:num w:numId="7">
    <w:abstractNumId w:val="39"/>
  </w:num>
  <w:num w:numId="8">
    <w:abstractNumId w:val="82"/>
  </w:num>
  <w:num w:numId="9">
    <w:abstractNumId w:val="56"/>
  </w:num>
  <w:num w:numId="10">
    <w:abstractNumId w:val="53"/>
  </w:num>
  <w:num w:numId="11">
    <w:abstractNumId w:val="36"/>
  </w:num>
  <w:num w:numId="12">
    <w:abstractNumId w:val="33"/>
  </w:num>
  <w:num w:numId="13">
    <w:abstractNumId w:val="40"/>
  </w:num>
  <w:num w:numId="14">
    <w:abstractNumId w:val="32"/>
  </w:num>
  <w:num w:numId="15">
    <w:abstractNumId w:val="24"/>
  </w:num>
  <w:num w:numId="16">
    <w:abstractNumId w:val="13"/>
  </w:num>
  <w:num w:numId="17">
    <w:abstractNumId w:val="20"/>
  </w:num>
  <w:num w:numId="18">
    <w:abstractNumId w:val="10"/>
  </w:num>
  <w:num w:numId="19">
    <w:abstractNumId w:val="11"/>
  </w:num>
  <w:num w:numId="20">
    <w:abstractNumId w:val="9"/>
  </w:num>
  <w:num w:numId="21">
    <w:abstractNumId w:val="7"/>
  </w:num>
  <w:num w:numId="22">
    <w:abstractNumId w:val="2"/>
  </w:num>
  <w:num w:numId="23">
    <w:abstractNumId w:val="52"/>
  </w:num>
  <w:num w:numId="24">
    <w:abstractNumId w:val="35"/>
  </w:num>
  <w:num w:numId="25">
    <w:abstractNumId w:val="58"/>
  </w:num>
  <w:num w:numId="26">
    <w:abstractNumId w:val="22"/>
  </w:num>
  <w:num w:numId="27">
    <w:abstractNumId w:val="45"/>
  </w:num>
  <w:num w:numId="28">
    <w:abstractNumId w:val="26"/>
  </w:num>
  <w:num w:numId="29">
    <w:abstractNumId w:val="8"/>
  </w:num>
  <w:num w:numId="30">
    <w:abstractNumId w:val="55"/>
  </w:num>
  <w:num w:numId="31">
    <w:abstractNumId w:val="6"/>
  </w:num>
  <w:num w:numId="32">
    <w:abstractNumId w:val="38"/>
  </w:num>
  <w:num w:numId="33">
    <w:abstractNumId w:val="43"/>
  </w:num>
  <w:num w:numId="34">
    <w:abstractNumId w:val="80"/>
  </w:num>
  <w:num w:numId="35">
    <w:abstractNumId w:val="37"/>
  </w:num>
  <w:num w:numId="36">
    <w:abstractNumId w:val="25"/>
  </w:num>
  <w:num w:numId="37">
    <w:abstractNumId w:val="47"/>
  </w:num>
  <w:num w:numId="38">
    <w:abstractNumId w:val="0"/>
  </w:num>
  <w:num w:numId="39">
    <w:abstractNumId w:val="28"/>
  </w:num>
  <w:num w:numId="40">
    <w:abstractNumId w:val="50"/>
  </w:num>
  <w:num w:numId="41">
    <w:abstractNumId w:val="4"/>
  </w:num>
  <w:num w:numId="42">
    <w:abstractNumId w:val="29"/>
  </w:num>
  <w:num w:numId="43">
    <w:abstractNumId w:val="19"/>
  </w:num>
  <w:num w:numId="44">
    <w:abstractNumId w:val="54"/>
  </w:num>
  <w:num w:numId="45">
    <w:abstractNumId w:val="41"/>
  </w:num>
  <w:num w:numId="46">
    <w:abstractNumId w:val="21"/>
  </w:num>
  <w:num w:numId="47">
    <w:abstractNumId w:val="34"/>
  </w:num>
  <w:num w:numId="48">
    <w:abstractNumId w:val="30"/>
  </w:num>
  <w:num w:numId="49">
    <w:abstractNumId w:val="31"/>
  </w:num>
  <w:num w:numId="50">
    <w:abstractNumId w:val="79"/>
  </w:num>
  <w:num w:numId="51">
    <w:abstractNumId w:val="46"/>
  </w:num>
  <w:num w:numId="52">
    <w:abstractNumId w:val="3"/>
  </w:num>
  <w:num w:numId="53">
    <w:abstractNumId w:val="57"/>
  </w:num>
  <w:num w:numId="54">
    <w:abstractNumId w:val="14"/>
  </w:num>
  <w:num w:numId="55">
    <w:abstractNumId w:val="12"/>
  </w:num>
  <w:num w:numId="56">
    <w:abstractNumId w:val="15"/>
  </w:num>
  <w:num w:numId="57">
    <w:abstractNumId w:val="42"/>
  </w:num>
  <w:num w:numId="58">
    <w:abstractNumId w:val="27"/>
  </w:num>
  <w:num w:numId="59">
    <w:abstractNumId w:val="5"/>
  </w:num>
  <w:num w:numId="60">
    <w:abstractNumId w:val="49"/>
  </w:num>
  <w:num w:numId="61">
    <w:abstractNumId w:val="66"/>
  </w:num>
  <w:num w:numId="62">
    <w:abstractNumId w:val="65"/>
  </w:num>
  <w:num w:numId="63">
    <w:abstractNumId w:val="67"/>
  </w:num>
  <w:num w:numId="64">
    <w:abstractNumId w:val="68"/>
  </w:num>
  <w:num w:numId="65">
    <w:abstractNumId w:val="69"/>
  </w:num>
  <w:num w:numId="66">
    <w:abstractNumId w:val="70"/>
  </w:num>
  <w:num w:numId="67">
    <w:abstractNumId w:val="71"/>
  </w:num>
  <w:num w:numId="68">
    <w:abstractNumId w:val="72"/>
  </w:num>
  <w:num w:numId="69">
    <w:abstractNumId w:val="48"/>
  </w:num>
  <w:num w:numId="70">
    <w:abstractNumId w:val="18"/>
  </w:num>
  <w:num w:numId="71">
    <w:abstractNumId w:val="59"/>
  </w:num>
  <w:num w:numId="72">
    <w:abstractNumId w:val="60"/>
  </w:num>
  <w:num w:numId="73">
    <w:abstractNumId w:val="61"/>
  </w:num>
  <w:num w:numId="74">
    <w:abstractNumId w:val="62"/>
  </w:num>
  <w:num w:numId="75">
    <w:abstractNumId w:val="63"/>
  </w:num>
  <w:num w:numId="76">
    <w:abstractNumId w:val="64"/>
  </w:num>
  <w:num w:numId="77">
    <w:abstractNumId w:val="73"/>
  </w:num>
  <w:num w:numId="78">
    <w:abstractNumId w:val="74"/>
  </w:num>
  <w:num w:numId="79">
    <w:abstractNumId w:val="17"/>
  </w:num>
  <w:num w:numId="80">
    <w:abstractNumId w:val="75"/>
  </w:num>
  <w:num w:numId="81">
    <w:abstractNumId w:val="76"/>
  </w:num>
  <w:num w:numId="82">
    <w:abstractNumId w:val="77"/>
  </w:num>
  <w:num w:numId="83">
    <w:abstractNumId w:val="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6514C4"/>
    <w:rsid w:val="01364432"/>
    <w:rsid w:val="01523B8E"/>
    <w:rsid w:val="01D4520E"/>
    <w:rsid w:val="01D8103B"/>
    <w:rsid w:val="01E60817"/>
    <w:rsid w:val="039D40A1"/>
    <w:rsid w:val="048D7DCA"/>
    <w:rsid w:val="056351CB"/>
    <w:rsid w:val="05780D38"/>
    <w:rsid w:val="05E05E4D"/>
    <w:rsid w:val="06420CFA"/>
    <w:rsid w:val="06503B59"/>
    <w:rsid w:val="06B41B03"/>
    <w:rsid w:val="0752555A"/>
    <w:rsid w:val="07E45984"/>
    <w:rsid w:val="07EA622A"/>
    <w:rsid w:val="0828699A"/>
    <w:rsid w:val="08A1555E"/>
    <w:rsid w:val="092751AA"/>
    <w:rsid w:val="097E3F67"/>
    <w:rsid w:val="09C935B6"/>
    <w:rsid w:val="0A1347F5"/>
    <w:rsid w:val="0A356725"/>
    <w:rsid w:val="0B23316E"/>
    <w:rsid w:val="0B8702FD"/>
    <w:rsid w:val="0B8E27E3"/>
    <w:rsid w:val="0BA57DD5"/>
    <w:rsid w:val="0BF71AE2"/>
    <w:rsid w:val="0CA6603D"/>
    <w:rsid w:val="0CBF33B1"/>
    <w:rsid w:val="0CE71B9E"/>
    <w:rsid w:val="0D0B1B00"/>
    <w:rsid w:val="0DFD2C7C"/>
    <w:rsid w:val="0E4A4B6F"/>
    <w:rsid w:val="0E9832B7"/>
    <w:rsid w:val="0EF65480"/>
    <w:rsid w:val="0F6C2854"/>
    <w:rsid w:val="0F8A2CEB"/>
    <w:rsid w:val="103E6557"/>
    <w:rsid w:val="10E7087B"/>
    <w:rsid w:val="11A27183"/>
    <w:rsid w:val="11BA058F"/>
    <w:rsid w:val="12081858"/>
    <w:rsid w:val="120E16FE"/>
    <w:rsid w:val="12B62B3B"/>
    <w:rsid w:val="12D90F42"/>
    <w:rsid w:val="13031153"/>
    <w:rsid w:val="13181417"/>
    <w:rsid w:val="1370341C"/>
    <w:rsid w:val="13953152"/>
    <w:rsid w:val="13AE5996"/>
    <w:rsid w:val="14C57FED"/>
    <w:rsid w:val="150C5665"/>
    <w:rsid w:val="15992F9A"/>
    <w:rsid w:val="15C56302"/>
    <w:rsid w:val="160940BB"/>
    <w:rsid w:val="1659752C"/>
    <w:rsid w:val="16CA0C22"/>
    <w:rsid w:val="16E43A7F"/>
    <w:rsid w:val="17864B39"/>
    <w:rsid w:val="17FA3952"/>
    <w:rsid w:val="185A3DA1"/>
    <w:rsid w:val="189E168F"/>
    <w:rsid w:val="198C4B50"/>
    <w:rsid w:val="19F13F4F"/>
    <w:rsid w:val="1A102675"/>
    <w:rsid w:val="1AD33A8F"/>
    <w:rsid w:val="1B280245"/>
    <w:rsid w:val="1BBE4697"/>
    <w:rsid w:val="1BC22C82"/>
    <w:rsid w:val="1CDC4E2A"/>
    <w:rsid w:val="1CE35114"/>
    <w:rsid w:val="1D1B5B71"/>
    <w:rsid w:val="1D5459CA"/>
    <w:rsid w:val="1D552DD9"/>
    <w:rsid w:val="1DAB6D83"/>
    <w:rsid w:val="1E3173A3"/>
    <w:rsid w:val="1F0F5A19"/>
    <w:rsid w:val="1F1D6E1F"/>
    <w:rsid w:val="1F3E7F7D"/>
    <w:rsid w:val="1F51312D"/>
    <w:rsid w:val="1FC9553A"/>
    <w:rsid w:val="204D3B12"/>
    <w:rsid w:val="20593F35"/>
    <w:rsid w:val="205A2AB3"/>
    <w:rsid w:val="20B6224D"/>
    <w:rsid w:val="21025026"/>
    <w:rsid w:val="227045E4"/>
    <w:rsid w:val="22A04AF7"/>
    <w:rsid w:val="22D3594B"/>
    <w:rsid w:val="22DA7182"/>
    <w:rsid w:val="22F12819"/>
    <w:rsid w:val="233F0924"/>
    <w:rsid w:val="23451A70"/>
    <w:rsid w:val="23753F06"/>
    <w:rsid w:val="237D4A1C"/>
    <w:rsid w:val="238E1AAE"/>
    <w:rsid w:val="2483647E"/>
    <w:rsid w:val="256F076F"/>
    <w:rsid w:val="25DE5381"/>
    <w:rsid w:val="26820AF7"/>
    <w:rsid w:val="273A2105"/>
    <w:rsid w:val="27A236CD"/>
    <w:rsid w:val="281432FA"/>
    <w:rsid w:val="29BA058F"/>
    <w:rsid w:val="29BB33A7"/>
    <w:rsid w:val="2A1B5D68"/>
    <w:rsid w:val="2A5975B6"/>
    <w:rsid w:val="2A950A44"/>
    <w:rsid w:val="2A991D32"/>
    <w:rsid w:val="2AB92324"/>
    <w:rsid w:val="2AC3651E"/>
    <w:rsid w:val="2AD6555A"/>
    <w:rsid w:val="2BD46A9C"/>
    <w:rsid w:val="2C1B1E9D"/>
    <w:rsid w:val="2C28643F"/>
    <w:rsid w:val="2CAB68C5"/>
    <w:rsid w:val="2D303B49"/>
    <w:rsid w:val="2DFA6966"/>
    <w:rsid w:val="2E910D38"/>
    <w:rsid w:val="2EBC6D03"/>
    <w:rsid w:val="2F3A7B82"/>
    <w:rsid w:val="2FD32A37"/>
    <w:rsid w:val="302C1AF4"/>
    <w:rsid w:val="30551FFC"/>
    <w:rsid w:val="30690F5C"/>
    <w:rsid w:val="30D31961"/>
    <w:rsid w:val="30FD36E3"/>
    <w:rsid w:val="311F702A"/>
    <w:rsid w:val="3177134F"/>
    <w:rsid w:val="31A82883"/>
    <w:rsid w:val="320E3E15"/>
    <w:rsid w:val="32770B1E"/>
    <w:rsid w:val="32821910"/>
    <w:rsid w:val="329743A8"/>
    <w:rsid w:val="32C937E9"/>
    <w:rsid w:val="333B487F"/>
    <w:rsid w:val="339502CA"/>
    <w:rsid w:val="342F66F0"/>
    <w:rsid w:val="345B62A5"/>
    <w:rsid w:val="3480359E"/>
    <w:rsid w:val="34BE4ED5"/>
    <w:rsid w:val="353A76E3"/>
    <w:rsid w:val="35476F5E"/>
    <w:rsid w:val="35745B9A"/>
    <w:rsid w:val="35862DD5"/>
    <w:rsid w:val="36631FD8"/>
    <w:rsid w:val="36E72D9B"/>
    <w:rsid w:val="371103D7"/>
    <w:rsid w:val="374829BA"/>
    <w:rsid w:val="37CA172C"/>
    <w:rsid w:val="38224FD0"/>
    <w:rsid w:val="385505E4"/>
    <w:rsid w:val="39094FF7"/>
    <w:rsid w:val="39461E8D"/>
    <w:rsid w:val="3A3E2041"/>
    <w:rsid w:val="3B077108"/>
    <w:rsid w:val="3B131EF6"/>
    <w:rsid w:val="3B490D86"/>
    <w:rsid w:val="3B8D6BA5"/>
    <w:rsid w:val="3C2F2290"/>
    <w:rsid w:val="3C635E14"/>
    <w:rsid w:val="3D6B43DA"/>
    <w:rsid w:val="3EAD1B36"/>
    <w:rsid w:val="3EC235DC"/>
    <w:rsid w:val="3EDB57BA"/>
    <w:rsid w:val="3F056B9E"/>
    <w:rsid w:val="3F354A62"/>
    <w:rsid w:val="406370BC"/>
    <w:rsid w:val="40FB7670"/>
    <w:rsid w:val="411E55A9"/>
    <w:rsid w:val="41B30AFD"/>
    <w:rsid w:val="423C06E2"/>
    <w:rsid w:val="42815397"/>
    <w:rsid w:val="42C94634"/>
    <w:rsid w:val="4309649B"/>
    <w:rsid w:val="4356095A"/>
    <w:rsid w:val="43EE5E80"/>
    <w:rsid w:val="450D2DC0"/>
    <w:rsid w:val="45540446"/>
    <w:rsid w:val="45BB5620"/>
    <w:rsid w:val="45E71A33"/>
    <w:rsid w:val="45F127ED"/>
    <w:rsid w:val="4674141B"/>
    <w:rsid w:val="46CD66A0"/>
    <w:rsid w:val="46F82DED"/>
    <w:rsid w:val="472803B7"/>
    <w:rsid w:val="47850646"/>
    <w:rsid w:val="47EF4F53"/>
    <w:rsid w:val="487D0651"/>
    <w:rsid w:val="488B59A4"/>
    <w:rsid w:val="48962E2C"/>
    <w:rsid w:val="48F83E16"/>
    <w:rsid w:val="494502E1"/>
    <w:rsid w:val="49ED3C35"/>
    <w:rsid w:val="4A405BF6"/>
    <w:rsid w:val="4A7F0ADF"/>
    <w:rsid w:val="4B0D3113"/>
    <w:rsid w:val="4B2F56F4"/>
    <w:rsid w:val="4C29108D"/>
    <w:rsid w:val="4C6B0DDA"/>
    <w:rsid w:val="4C6E1306"/>
    <w:rsid w:val="4DDA4860"/>
    <w:rsid w:val="4E186164"/>
    <w:rsid w:val="4E2F1033"/>
    <w:rsid w:val="4E8274B0"/>
    <w:rsid w:val="4EFC1B31"/>
    <w:rsid w:val="4FF363B3"/>
    <w:rsid w:val="50B73634"/>
    <w:rsid w:val="51504FE6"/>
    <w:rsid w:val="520466F6"/>
    <w:rsid w:val="52C66301"/>
    <w:rsid w:val="5395488D"/>
    <w:rsid w:val="540A7D17"/>
    <w:rsid w:val="54286D89"/>
    <w:rsid w:val="54E91D9C"/>
    <w:rsid w:val="5540500D"/>
    <w:rsid w:val="55A92CF5"/>
    <w:rsid w:val="55E056D8"/>
    <w:rsid w:val="562F08DB"/>
    <w:rsid w:val="56D52E08"/>
    <w:rsid w:val="57252C25"/>
    <w:rsid w:val="57B94BA2"/>
    <w:rsid w:val="57BB6218"/>
    <w:rsid w:val="57FF3AAA"/>
    <w:rsid w:val="58DD2EEE"/>
    <w:rsid w:val="58E96C7A"/>
    <w:rsid w:val="59573977"/>
    <w:rsid w:val="59AD3C67"/>
    <w:rsid w:val="59F95365"/>
    <w:rsid w:val="5AF7537D"/>
    <w:rsid w:val="5B0D630F"/>
    <w:rsid w:val="5B1367B9"/>
    <w:rsid w:val="5B6B608E"/>
    <w:rsid w:val="5D160516"/>
    <w:rsid w:val="5DA13F4A"/>
    <w:rsid w:val="5DB61BFF"/>
    <w:rsid w:val="5DEF454B"/>
    <w:rsid w:val="5DF26B07"/>
    <w:rsid w:val="5E35342E"/>
    <w:rsid w:val="5E5A6C63"/>
    <w:rsid w:val="5F1116E8"/>
    <w:rsid w:val="5F3C6712"/>
    <w:rsid w:val="5F4B58F3"/>
    <w:rsid w:val="606C7275"/>
    <w:rsid w:val="60A47029"/>
    <w:rsid w:val="60AB2000"/>
    <w:rsid w:val="60AD3AC2"/>
    <w:rsid w:val="61D85325"/>
    <w:rsid w:val="62860AAA"/>
    <w:rsid w:val="62885FA4"/>
    <w:rsid w:val="629D5796"/>
    <w:rsid w:val="630E7FE6"/>
    <w:rsid w:val="64954D64"/>
    <w:rsid w:val="65BE6BC7"/>
    <w:rsid w:val="66FF60CC"/>
    <w:rsid w:val="671E2162"/>
    <w:rsid w:val="67BE72F0"/>
    <w:rsid w:val="68D8721E"/>
    <w:rsid w:val="691056DB"/>
    <w:rsid w:val="695A49BA"/>
    <w:rsid w:val="69BF6670"/>
    <w:rsid w:val="6AF535D5"/>
    <w:rsid w:val="6B610D05"/>
    <w:rsid w:val="6BAC21D5"/>
    <w:rsid w:val="6C184007"/>
    <w:rsid w:val="6C9B4A41"/>
    <w:rsid w:val="6CED1CB3"/>
    <w:rsid w:val="6D3B42C3"/>
    <w:rsid w:val="6DF71DF2"/>
    <w:rsid w:val="6E0B5972"/>
    <w:rsid w:val="6E51251F"/>
    <w:rsid w:val="6E7E575F"/>
    <w:rsid w:val="6EF15941"/>
    <w:rsid w:val="6EFC3973"/>
    <w:rsid w:val="6F9921A1"/>
    <w:rsid w:val="715F2242"/>
    <w:rsid w:val="727E507A"/>
    <w:rsid w:val="730C5849"/>
    <w:rsid w:val="73396EC2"/>
    <w:rsid w:val="73407EBD"/>
    <w:rsid w:val="73835D66"/>
    <w:rsid w:val="738D1DD9"/>
    <w:rsid w:val="73EF4563"/>
    <w:rsid w:val="74175679"/>
    <w:rsid w:val="744124AA"/>
    <w:rsid w:val="745A6083"/>
    <w:rsid w:val="74664F47"/>
    <w:rsid w:val="75313062"/>
    <w:rsid w:val="75977087"/>
    <w:rsid w:val="75A871AE"/>
    <w:rsid w:val="77523D71"/>
    <w:rsid w:val="77E0572E"/>
    <w:rsid w:val="78EF4372"/>
    <w:rsid w:val="79385012"/>
    <w:rsid w:val="79642F4A"/>
    <w:rsid w:val="79771B00"/>
    <w:rsid w:val="798F6426"/>
    <w:rsid w:val="7A6D7156"/>
    <w:rsid w:val="7A917304"/>
    <w:rsid w:val="7ACA272A"/>
    <w:rsid w:val="7AE86DBD"/>
    <w:rsid w:val="7B996067"/>
    <w:rsid w:val="7C1E0CFC"/>
    <w:rsid w:val="7CBF6012"/>
    <w:rsid w:val="7D7862F0"/>
    <w:rsid w:val="7DB00FDC"/>
    <w:rsid w:val="7DC671DD"/>
    <w:rsid w:val="7DD1709E"/>
    <w:rsid w:val="7DD5513F"/>
    <w:rsid w:val="7E6F339A"/>
    <w:rsid w:val="7E8655E6"/>
    <w:rsid w:val="7EAC2F5C"/>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0"/>
    <w:qFormat/>
    <w:uiPriority w:val="0"/>
    <w:pPr>
      <w:jc w:val="left"/>
    </w:p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3"/>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List Paragraph"/>
    <w:basedOn w:val="1"/>
    <w:unhideWhenUsed/>
    <w:qFormat/>
    <w:uiPriority w:val="99"/>
    <w:pPr>
      <w:ind w:firstLine="420" w:firstLineChars="200"/>
    </w:pPr>
  </w:style>
  <w:style w:type="character" w:customStyle="1" w:styleId="19">
    <w:name w:val="批注框文本 Char"/>
    <w:link w:val="6"/>
    <w:qFormat/>
    <w:uiPriority w:val="0"/>
    <w:rPr>
      <w:rFonts w:ascii="Calibri" w:hAnsi="Calibri" w:cs="黑体"/>
      <w:kern w:val="2"/>
      <w:sz w:val="18"/>
      <w:szCs w:val="18"/>
    </w:rPr>
  </w:style>
  <w:style w:type="character" w:customStyle="1" w:styleId="20">
    <w:name w:val="批注文字 Char"/>
    <w:link w:val="5"/>
    <w:qFormat/>
    <w:uiPriority w:val="0"/>
    <w:rPr>
      <w:rFonts w:ascii="Calibri" w:hAnsi="Calibri" w:cs="黑体"/>
      <w:kern w:val="2"/>
      <w:sz w:val="21"/>
      <w:szCs w:val="24"/>
    </w:rPr>
  </w:style>
  <w:style w:type="character" w:customStyle="1" w:styleId="21">
    <w:name w:val="标题 3 Char"/>
    <w:link w:val="4"/>
    <w:qFormat/>
    <w:uiPriority w:val="0"/>
    <w:rPr>
      <w:rFonts w:hAnsi="Calibri" w:eastAsia="宋体"/>
      <w:b/>
      <w:sz w:val="24"/>
    </w:rPr>
  </w:style>
  <w:style w:type="character" w:customStyle="1" w:styleId="22">
    <w:name w:val="标题 2 Char"/>
    <w:link w:val="3"/>
    <w:qFormat/>
    <w:uiPriority w:val="0"/>
    <w:rPr>
      <w:rFonts w:ascii="Arial" w:hAnsi="Arial" w:eastAsia="宋体"/>
      <w:b/>
      <w:sz w:val="24"/>
    </w:rPr>
  </w:style>
  <w:style w:type="character" w:customStyle="1" w:styleId="23">
    <w:name w:val="批注主题 Char"/>
    <w:link w:val="10"/>
    <w:qFormat/>
    <w:uiPriority w:val="0"/>
    <w:rPr>
      <w:rFonts w:ascii="Calibri" w:hAnsi="Calibri" w:cs="黑体"/>
      <w:b/>
      <w:bCs/>
      <w:kern w:val="2"/>
      <w:sz w:val="21"/>
      <w:szCs w:val="24"/>
    </w:rPr>
  </w:style>
  <w:style w:type="character" w:customStyle="1" w:styleId="24">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34278</Words>
  <Characters>35962</Characters>
  <Lines>210</Lines>
  <Paragraphs>59</Paragraphs>
  <TotalTime>0</TotalTime>
  <ScaleCrop>false</ScaleCrop>
  <LinksUpToDate>false</LinksUpToDate>
  <CharactersWithSpaces>36193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hccb</cp:lastModifiedBy>
  <dcterms:modified xsi:type="dcterms:W3CDTF">2024-11-25T00:46:22Z</dcterms:modified>
  <dc:title>杭银理财幸福99XXXX理财计划合同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