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】年【1</w:t>
      </w:r>
      <w:r>
        <w:rPr>
          <w:rStyle w:val="27"/>
          <w:rFonts w:hint="eastAsia" w:ascii="宋体" w:hAnsi="宋体" w:cs="Times New Roman"/>
          <w:sz w:val="32"/>
          <w:szCs w:val="32"/>
          <w:lang w:val="en-US" w:eastAsia="zh-CN"/>
        </w:rPr>
        <w:t>2</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【丰收封闭式固收类】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【丰收封闭式固收类】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【丰收封闭式固收类】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【丰收封闭式固收类】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【丰收封闭式固收类】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【丰收封闭式固收类】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【丰收封闭式固收类】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【丰收封闭式固收类】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【丰收封闭式固收类】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兴银理财丰收封闭式13</w:t>
            </w:r>
            <w:r>
              <w:rPr>
                <w:rFonts w:hint="eastAsia" w:ascii="宋体" w:hAnsi="宋体"/>
                <w:bCs/>
                <w:sz w:val="18"/>
                <w:szCs w:val="18"/>
                <w:lang w:val="en-US" w:eastAsia="zh-CN"/>
              </w:rPr>
              <w:t>7</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bCs/>
                <w:sz w:val="18"/>
                <w:szCs w:val="18"/>
              </w:rPr>
              <w:t>丰收封闭式13</w:t>
            </w:r>
            <w:r>
              <w:rPr>
                <w:rFonts w:hint="eastAsia" w:ascii="宋体" w:hAnsi="宋体"/>
                <w:bCs/>
                <w:sz w:val="18"/>
                <w:szCs w:val="18"/>
                <w:lang w:val="en-US" w:eastAsia="zh-CN"/>
              </w:rPr>
              <w:t>7</w:t>
            </w:r>
            <w:r>
              <w:rPr>
                <w:rFonts w:hint="eastAsia" w:ascii="宋体" w:hAnsi="宋体"/>
                <w:bCs/>
                <w:sz w:val="18"/>
                <w:szCs w:val="18"/>
              </w:rPr>
              <w:t>号</w:t>
            </w:r>
            <w:r>
              <w:rPr>
                <w:rFonts w:hint="eastAsia" w:ascii="宋体" w:hAnsi="宋体"/>
                <w:bCs/>
                <w:sz w:val="18"/>
                <w:szCs w:val="18"/>
                <w:lang w:val="en-US" w:eastAsia="zh-CN"/>
              </w:rPr>
              <w:t>A</w:t>
            </w:r>
            <w:r>
              <w:rPr>
                <w:rFonts w:hint="eastAsia" w:asciiTheme="majorEastAsia" w:hAnsiTheme="majorEastAsia" w:eastAsiaTheme="majorEastAsia"/>
                <w:bCs/>
                <w:kern w:val="0"/>
                <w:sz w:val="18"/>
                <w:szCs w:val="18"/>
              </w:rPr>
              <w:t>】</w:t>
            </w:r>
            <w:r>
              <w:rPr>
                <w:rFonts w:hint="eastAsia" w:hAnsi="宋体"/>
                <w:sz w:val="18"/>
                <w:szCs w:val="18"/>
              </w:rPr>
              <w:t>（适用【A】类份额）</w:t>
            </w:r>
          </w:p>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bCs/>
                <w:sz w:val="18"/>
                <w:szCs w:val="18"/>
              </w:rPr>
              <w:t>丰收封闭式13</w:t>
            </w:r>
            <w:r>
              <w:rPr>
                <w:rFonts w:hint="eastAsia" w:ascii="宋体" w:hAnsi="宋体"/>
                <w:bCs/>
                <w:sz w:val="18"/>
                <w:szCs w:val="18"/>
                <w:lang w:val="en-US" w:eastAsia="zh-CN"/>
              </w:rPr>
              <w:t>7</w:t>
            </w:r>
            <w:r>
              <w:rPr>
                <w:rFonts w:hint="eastAsia" w:ascii="宋体" w:hAnsi="宋体"/>
                <w:bCs/>
                <w:sz w:val="18"/>
                <w:szCs w:val="18"/>
              </w:rPr>
              <w:t>号</w:t>
            </w:r>
            <w:r>
              <w:rPr>
                <w:rFonts w:hint="eastAsia" w:ascii="宋体" w:hAnsi="宋体"/>
                <w:bCs/>
                <w:sz w:val="18"/>
                <w:szCs w:val="18"/>
                <w:lang w:val="en-US" w:eastAsia="zh-CN"/>
              </w:rPr>
              <w:t>B</w:t>
            </w:r>
            <w:r>
              <w:rPr>
                <w:rFonts w:hint="eastAsia" w:asciiTheme="majorEastAsia" w:hAnsiTheme="majorEastAsia" w:eastAsiaTheme="majorEastAsia"/>
                <w:bCs/>
                <w:kern w:val="0"/>
                <w:sz w:val="18"/>
                <w:szCs w:val="18"/>
              </w:rPr>
              <w:t>】</w:t>
            </w:r>
            <w:r>
              <w:rPr>
                <w:rFonts w:hint="eastAsia" w:hAnsi="宋体"/>
                <w:sz w:val="18"/>
                <w:szCs w:val="18"/>
              </w:rPr>
              <w:t>（适用【</w:t>
            </w:r>
            <w:r>
              <w:rPr>
                <w:rFonts w:hint="eastAsia" w:hAnsi="宋体"/>
                <w:sz w:val="18"/>
                <w:szCs w:val="18"/>
                <w:lang w:val="en-US" w:eastAsia="zh-CN"/>
              </w:rPr>
              <w:t>B</w:t>
            </w:r>
            <w:r>
              <w:rPr>
                <w:rFonts w:hint="eastAsia" w:hAnsi="宋体"/>
                <w:sz w:val="18"/>
                <w:szCs w:val="18"/>
              </w:rPr>
              <w:t>】类份额）</w:t>
            </w:r>
          </w:p>
          <w:p>
            <w:pPr>
              <w:widowControl/>
              <w:spacing w:line="360" w:lineRule="auto"/>
              <w:jc w:val="left"/>
              <w:rPr>
                <w:rFonts w:hint="eastAsia" w:hAnsi="宋体"/>
                <w:sz w:val="18"/>
                <w:szCs w:val="18"/>
              </w:rPr>
            </w:pPr>
            <w:r>
              <w:rPr>
                <w:rFonts w:hint="eastAsia" w:asciiTheme="majorEastAsia" w:hAnsiTheme="majorEastAsia" w:eastAsiaTheme="majorEastAsia"/>
                <w:bCs/>
                <w:kern w:val="0"/>
                <w:sz w:val="18"/>
                <w:szCs w:val="18"/>
              </w:rPr>
              <w:t>【</w:t>
            </w:r>
            <w:r>
              <w:rPr>
                <w:rFonts w:hint="eastAsia" w:ascii="宋体" w:hAnsi="宋体"/>
                <w:bCs/>
                <w:sz w:val="18"/>
                <w:szCs w:val="18"/>
              </w:rPr>
              <w:t>丰收封闭式13</w:t>
            </w:r>
            <w:r>
              <w:rPr>
                <w:rFonts w:hint="eastAsia" w:ascii="宋体" w:hAnsi="宋体"/>
                <w:bCs/>
                <w:sz w:val="18"/>
                <w:szCs w:val="18"/>
                <w:lang w:val="en-US" w:eastAsia="zh-CN"/>
              </w:rPr>
              <w:t>7</w:t>
            </w:r>
            <w:r>
              <w:rPr>
                <w:rFonts w:hint="eastAsia" w:ascii="宋体" w:hAnsi="宋体"/>
                <w:bCs/>
                <w:sz w:val="18"/>
                <w:szCs w:val="18"/>
              </w:rPr>
              <w:t>号</w:t>
            </w:r>
            <w:r>
              <w:rPr>
                <w:rFonts w:hint="eastAsia" w:ascii="宋体" w:hAnsi="宋体"/>
                <w:bCs/>
                <w:sz w:val="18"/>
                <w:szCs w:val="18"/>
                <w:lang w:val="en-US" w:eastAsia="zh-CN"/>
              </w:rPr>
              <w:t>C</w:t>
            </w:r>
            <w:r>
              <w:rPr>
                <w:rFonts w:hint="eastAsia" w:asciiTheme="majorEastAsia" w:hAnsiTheme="majorEastAsia" w:eastAsiaTheme="majorEastAsia"/>
                <w:bCs/>
                <w:kern w:val="0"/>
                <w:sz w:val="18"/>
                <w:szCs w:val="18"/>
              </w:rPr>
              <w:t>】</w:t>
            </w:r>
            <w:r>
              <w:rPr>
                <w:rFonts w:hint="eastAsia" w:hAnsi="宋体"/>
                <w:sz w:val="18"/>
                <w:szCs w:val="18"/>
              </w:rPr>
              <w:t>（适用【</w:t>
            </w:r>
            <w:r>
              <w:rPr>
                <w:rFonts w:hint="eastAsia" w:hAnsi="宋体"/>
                <w:sz w:val="18"/>
                <w:szCs w:val="18"/>
                <w:lang w:val="en-US" w:eastAsia="zh-CN"/>
              </w:rPr>
              <w:t>C</w:t>
            </w:r>
            <w:r>
              <w:rPr>
                <w:rFonts w:hint="eastAsia"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【Z7002024002899】</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w:t>
            </w:r>
            <w:r>
              <w:rPr>
                <w:rFonts w:hint="eastAsia" w:ascii="宋体" w:hAnsi="宋体"/>
                <w:bCs/>
                <w:color w:val="000000" w:themeColor="text1"/>
                <w:sz w:val="18"/>
                <w:szCs w:val="18"/>
                <w:lang w:val="en-US" w:eastAsia="zh-CN"/>
                <w14:textFill>
                  <w14:solidFill>
                    <w14:schemeClr w14:val="tx1"/>
                  </w14:solidFill>
                </w14:textFill>
              </w:rPr>
              <w:t>3</w:t>
            </w:r>
            <w:r>
              <w:rPr>
                <w:rFonts w:hint="eastAsia" w:ascii="宋体" w:hAnsi="宋体"/>
                <w:bCs/>
                <w:color w:val="000000" w:themeColor="text1"/>
                <w:sz w:val="18"/>
                <w:szCs w:val="18"/>
                <w14:textFill>
                  <w14:solidFill>
                    <w14:schemeClr w14:val="tx1"/>
                  </w14:solidFill>
                </w14:textFill>
              </w:rPr>
              <w:t>113</w:t>
            </w:r>
            <w:r>
              <w:rPr>
                <w:rFonts w:hint="eastAsia" w:ascii="宋体" w:hAnsi="宋体"/>
                <w:bCs/>
                <w:color w:val="000000" w:themeColor="text1"/>
                <w:sz w:val="18"/>
                <w:szCs w:val="18"/>
                <w:lang w:val="en-US" w:eastAsia="zh-CN"/>
                <w14:textFill>
                  <w14:solidFill>
                    <w14:schemeClr w14:val="tx1"/>
                  </w14:solidFill>
                </w14:textFill>
              </w:rPr>
              <w:t>7</w:t>
            </w:r>
            <w:r>
              <w:rPr>
                <w:rFonts w:hint="eastAsia"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9C31137A</w:t>
            </w:r>
            <w:r>
              <w:rPr>
                <w:rFonts w:hint="eastAsia" w:hAnsi="宋体"/>
                <w:sz w:val="18"/>
                <w:szCs w:val="18"/>
              </w:rPr>
              <w:t>】（适用【A】类份额）</w:t>
            </w:r>
          </w:p>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9C31137B</w:t>
            </w:r>
            <w:r>
              <w:rPr>
                <w:rFonts w:hint="eastAsia" w:hAnsi="宋体"/>
                <w:sz w:val="18"/>
                <w:szCs w:val="18"/>
              </w:rPr>
              <w:t>】（适用【</w:t>
            </w:r>
            <w:r>
              <w:rPr>
                <w:rFonts w:hint="eastAsia" w:hAnsi="宋体"/>
                <w:sz w:val="18"/>
                <w:szCs w:val="18"/>
                <w:lang w:val="en-US" w:eastAsia="zh-CN"/>
              </w:rPr>
              <w:t>B</w:t>
            </w:r>
            <w:r>
              <w:rPr>
                <w:rFonts w:hint="eastAsia" w:hAnsi="宋体"/>
                <w:sz w:val="18"/>
                <w:szCs w:val="18"/>
              </w:rPr>
              <w:t>】类份额）</w:t>
            </w:r>
          </w:p>
          <w:p>
            <w:pPr>
              <w:spacing w:line="360" w:lineRule="auto"/>
              <w:jc w:val="left"/>
              <w:rPr>
                <w:rFonts w:hint="eastAsia" w:hAnsi="宋体"/>
                <w:sz w:val="18"/>
                <w:szCs w:val="18"/>
              </w:rPr>
            </w:pPr>
            <w:r>
              <w:rPr>
                <w:rFonts w:hint="eastAsia" w:hAnsi="宋体"/>
                <w:sz w:val="18"/>
                <w:szCs w:val="18"/>
              </w:rPr>
              <w:t>【</w:t>
            </w:r>
            <w:r>
              <w:rPr>
                <w:rFonts w:hint="eastAsia" w:hAnsi="宋体"/>
                <w:sz w:val="18"/>
                <w:szCs w:val="18"/>
                <w:lang w:val="en-US" w:eastAsia="zh-CN"/>
              </w:rPr>
              <w:t>9C31137C</w:t>
            </w:r>
            <w:r>
              <w:rPr>
                <w:rFonts w:hint="eastAsia" w:hAnsi="宋体"/>
                <w:sz w:val="18"/>
                <w:szCs w:val="18"/>
              </w:rPr>
              <w:t>】（适用【</w:t>
            </w:r>
            <w:r>
              <w:rPr>
                <w:rFonts w:hint="eastAsia" w:hAnsi="宋体"/>
                <w:sz w:val="18"/>
                <w:szCs w:val="18"/>
                <w:lang w:val="en-US" w:eastAsia="zh-CN"/>
              </w:rPr>
              <w:t>C</w:t>
            </w:r>
            <w:r>
              <w:rPr>
                <w:rFonts w:hint="eastAsia" w:hAnsi="宋体"/>
                <w:sz w:val="18"/>
                <w:szCs w:val="18"/>
              </w:rPr>
              <w:t>】类份额）</w:t>
            </w:r>
            <w:bookmarkStart w:id="156" w:name="_GoBack"/>
            <w:bookmarkEnd w:id="15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365</w:t>
            </w:r>
            <w:r>
              <w:rPr>
                <w:rFonts w:hint="eastAsia" w:asciiTheme="majorEastAsia" w:hAnsiTheme="majorEastAsia" w:eastAsiaTheme="majorEastAsia"/>
                <w:bCs/>
                <w:sz w:val="18"/>
                <w:szCs w:val="18"/>
              </w:rPr>
              <w:t>】天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024】年【</w:t>
            </w:r>
            <w:r>
              <w:rPr>
                <w:rFonts w:hint="eastAsia" w:cs="Times New Roman" w:asciiTheme="minorEastAsia" w:hAnsiTheme="minorEastAsia"/>
                <w:sz w:val="18"/>
                <w:szCs w:val="18"/>
                <w:lang w:val="en-US" w:eastAsia="zh-CN"/>
              </w:rPr>
              <w:t>12</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】日【0</w:t>
            </w:r>
            <w:r>
              <w:rPr>
                <w:rFonts w:cs="Times New Roman" w:asciiTheme="minorEastAsia" w:hAnsiTheme="minorEastAsia"/>
                <w:sz w:val="18"/>
                <w:szCs w:val="18"/>
              </w:rPr>
              <w:t>9:00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【2</w:t>
            </w:r>
            <w:r>
              <w:rPr>
                <w:rFonts w:cs="Times New Roman" w:asciiTheme="minorEastAsia" w:hAnsiTheme="minorEastAsia"/>
                <w:sz w:val="18"/>
                <w:szCs w:val="18"/>
              </w:rPr>
              <w:t>024】年【</w:t>
            </w:r>
            <w:r>
              <w:rPr>
                <w:rFonts w:hint="eastAsia" w:cs="Times New Roman" w:asciiTheme="minorEastAsia" w:hAnsiTheme="minorEastAsia"/>
                <w:sz w:val="18"/>
                <w:szCs w:val="18"/>
              </w:rPr>
              <w:t>1</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16</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w:t>
            </w:r>
            <w:r>
              <w:rPr>
                <w:rFonts w:asciiTheme="majorEastAsia" w:hAnsiTheme="majorEastAsia" w:eastAsiaTheme="majorEastAsia"/>
                <w:sz w:val="18"/>
                <w:szCs w:val="18"/>
              </w:rPr>
              <w:t>7:00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024】年【</w:t>
            </w:r>
            <w:r>
              <w:rPr>
                <w:rFonts w:hint="eastAsia" w:cs="Times New Roman" w:asciiTheme="minorEastAsia" w:hAnsiTheme="minorEastAsia"/>
                <w:sz w:val="18"/>
                <w:szCs w:val="18"/>
              </w:rPr>
              <w:t>1</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17</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w:t>
            </w:r>
            <w:r>
              <w:rPr>
                <w:rFonts w:cs="Times New Roman" w:asciiTheme="minorEastAsia" w:hAnsiTheme="minorEastAsia"/>
                <w:sz w:val="18"/>
                <w:szCs w:val="18"/>
              </w:rPr>
              <w:t>02</w:t>
            </w:r>
            <w:r>
              <w:rPr>
                <w:rFonts w:hint="eastAsia" w:cs="Times New Roman" w:asciiTheme="minorEastAsia" w:hAnsiTheme="minorEastAsia"/>
                <w:sz w:val="18"/>
                <w:szCs w:val="18"/>
                <w:lang w:val="en-US" w:eastAsia="zh-CN"/>
              </w:rPr>
              <w:t>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12</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17</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【以一年期定期存款利率为无风险利率，基于当前对未来市场的判断，根据拟投资债权类资产的信用利差、久期敞口以及流动性溢价，预判组合的波动幅度</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w:t>
            </w:r>
            <w:r>
              <w:rPr>
                <w:rFonts w:hint="eastAsia" w:ascii="宋体" w:hAnsi="宋体"/>
                <w:bCs/>
                <w:sz w:val="18"/>
                <w:szCs w:val="18"/>
                <w:lang w:val="en-US" w:eastAsia="zh-CN"/>
              </w:rPr>
              <w:t>30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70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40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80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55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95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hint="eastAsia" w:asciiTheme="majorEastAsia" w:hAnsiTheme="majorEastAsia" w:eastAsiaTheme="majorEastAsia"/>
                <w:bCs/>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A类份额：年化费率【0.25%】;</w:t>
            </w:r>
          </w:p>
          <w:p>
            <w:pPr>
              <w:spacing w:line="360" w:lineRule="auto"/>
              <w:rPr>
                <w:rFonts w:hint="eastAsia" w:ascii="黑体" w:hAnsi="黑体" w:eastAsia="黑体"/>
                <w:bCs/>
                <w:sz w:val="18"/>
                <w:szCs w:val="18"/>
              </w:rPr>
            </w:pPr>
            <w:r>
              <w:rPr>
                <w:rFonts w:hint="eastAsia" w:ascii="黑体" w:hAnsi="黑体" w:eastAsia="黑体"/>
                <w:bCs/>
                <w:sz w:val="18"/>
                <w:szCs w:val="18"/>
              </w:rPr>
              <w:t>B类份额：年化费率【0.15%】;</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rPr>
              <w:t>C类份额：年化费率【0.00%】。</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w:t>
            </w:r>
            <w:r>
              <w:rPr>
                <w:rFonts w:hint="eastAsia" w:ascii="黑体" w:hAnsi="黑体" w:eastAsia="黑体"/>
                <w:sz w:val="18"/>
                <w:szCs w:val="18"/>
                <w:lang w:val="en-US" w:eastAsia="zh-CN"/>
              </w:rPr>
              <w:t>14</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【0</w:t>
            </w:r>
            <w:r>
              <w:rPr>
                <w:rFonts w:ascii="黑体" w:hAnsi="黑体" w:eastAsia="黑体"/>
                <w:sz w:val="18"/>
                <w:szCs w:val="18"/>
              </w:rPr>
              <w:t>.0</w:t>
            </w:r>
            <w:r>
              <w:rPr>
                <w:rFonts w:hint="eastAsia" w:ascii="黑体" w:hAnsi="黑体" w:eastAsia="黑体"/>
                <w:sz w:val="18"/>
                <w:szCs w:val="18"/>
                <w:lang w:val="en-US" w:eastAsia="zh-CN"/>
              </w:rPr>
              <w:t>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hint="eastAsia" w:ascii="黑体" w:hAnsi="黑体" w:eastAsia="黑体"/>
                <w:bCs/>
                <w:color w:val="000000" w:themeColor="text1"/>
                <w:sz w:val="18"/>
                <w:szCs w:val="18"/>
                <w:lang w:val="en-US" w:eastAsia="zh-CN"/>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r>
              <w:rPr>
                <w:rFonts w:hint="eastAsia" w:ascii="黑体" w:hAnsi="黑体" w:eastAsia="黑体"/>
                <w:bCs/>
                <w:color w:val="000000" w:themeColor="text1"/>
                <w:sz w:val="18"/>
                <w:szCs w:val="18"/>
                <w:lang w:val="en-US" w:eastAsia="zh-CN"/>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76189756"/>
      <w:bookmarkStart w:id="10" w:name="_Toc4771"/>
      <w:bookmarkStart w:id="11" w:name="_Toc27189"/>
      <w:bookmarkStart w:id="12" w:name="_Toc27226"/>
      <w:bookmarkStart w:id="13" w:name="_Toc29784"/>
      <w:bookmarkStart w:id="14" w:name="_Toc15203"/>
      <w:bookmarkStart w:id="15" w:name="_Toc7151"/>
      <w:bookmarkStart w:id="16" w:name="_Toc29948"/>
      <w:bookmarkStart w:id="17" w:name="_Toc6714"/>
      <w:bookmarkStart w:id="18" w:name="_Toc22074"/>
      <w:bookmarkStart w:id="19" w:name="_Toc90742688"/>
      <w:bookmarkStart w:id="20" w:name="_Toc74065741"/>
      <w:bookmarkStart w:id="21" w:name="_Toc90742390"/>
      <w:bookmarkStart w:id="22" w:name="_Toc79154668"/>
      <w:bookmarkStart w:id="23" w:name="_Toc3266"/>
      <w:bookmarkStart w:id="24" w:name="_Toc90742321"/>
      <w:bookmarkStart w:id="25" w:name="_Toc16265"/>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color w:val="auto"/>
          <w:sz w:val="18"/>
          <w:szCs w:val="18"/>
        </w:rPr>
      </w:pPr>
      <w:permStart w:id="14"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rPr>
        <w:t>。</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pStyle w:val="34"/>
        <w:spacing w:line="360" w:lineRule="auto"/>
        <w:ind w:firstLine="360" w:firstLineChars="200"/>
        <w:jc w:val="both"/>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（5）其他风险不高于前述资产的资产</w:t>
      </w:r>
      <w:r>
        <w:rPr>
          <w:rFonts w:hint="eastAsia" w:asciiTheme="majorEastAsia" w:hAnsiTheme="majorEastAsia" w:eastAsiaTheme="majorEastAsia"/>
          <w:bCs/>
          <w:color w:val="auto"/>
          <w:sz w:val="18"/>
          <w:szCs w:val="18"/>
        </w:rPr>
        <w:t>。</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spacing w:line="360" w:lineRule="auto"/>
        <w:ind w:firstLine="360" w:firstLineChars="200"/>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 xml:space="preserve">1）本产品投资于债权类资产的比例不低于产品总资产的80%。 </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（2）本产品投资于金融衍生品类资产的比例合计不超过产品总资产的【20】%。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526"/>
      <w:bookmarkStart w:id="28" w:name="_Toc141703885"/>
      <w:bookmarkStart w:id="29" w:name="_Toc18797"/>
      <w:bookmarkStart w:id="30" w:name="_Toc17912"/>
      <w:bookmarkStart w:id="31" w:name="_Toc7848"/>
      <w:bookmarkStart w:id="32" w:name="_Toc18329"/>
      <w:bookmarkStart w:id="33" w:name="_Toc4741"/>
      <w:bookmarkStart w:id="34" w:name="_Toc74065742"/>
      <w:bookmarkStart w:id="35" w:name="_Toc176189758"/>
      <w:bookmarkStart w:id="36" w:name="_Toc21988"/>
      <w:bookmarkStart w:id="37" w:name="_Toc26986"/>
      <w:bookmarkStart w:id="38" w:name="_Toc139991735"/>
      <w:bookmarkStart w:id="39" w:name="_Toc79154669"/>
      <w:bookmarkStart w:id="40" w:name="_Toc1823"/>
      <w:bookmarkStart w:id="41" w:name="_Toc14893"/>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610"/>
      <w:bookmarkStart w:id="44" w:name="_Toc123102453"/>
      <w:bookmarkStart w:id="45" w:name="_Toc139991736"/>
      <w:bookmarkStart w:id="46" w:name="_Toc141703886"/>
      <w:bookmarkStart w:id="47" w:name="_Toc1427"/>
      <w:bookmarkStart w:id="48" w:name="_Toc123112234"/>
      <w:bookmarkStart w:id="49" w:name="_Toc1270"/>
      <w:bookmarkStart w:id="50" w:name="_Toc98560352"/>
      <w:bookmarkStart w:id="51" w:name="_Toc17244"/>
      <w:bookmarkStart w:id="52" w:name="_Toc4003"/>
      <w:bookmarkStart w:id="53" w:name="_Toc123051452"/>
      <w:bookmarkStart w:id="54" w:name="_Toc79392606"/>
      <w:bookmarkStart w:id="55" w:name="_Toc23822"/>
      <w:bookmarkStart w:id="56" w:name="_Toc10463"/>
      <w:bookmarkStart w:id="57" w:name="_Toc23261"/>
      <w:bookmarkStart w:id="58" w:name="_Toc176189759"/>
      <w:bookmarkStart w:id="59" w:name="_Toc48649707"/>
      <w:bookmarkStart w:id="60" w:name="_Toc79154670"/>
      <w:bookmarkStart w:id="61" w:name="_Toc74065743"/>
      <w:bookmarkStart w:id="62" w:name="_Toc7920"/>
      <w:bookmarkStart w:id="63" w:name="_Toc2073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2245"/>
      <w:bookmarkStart w:id="66" w:name="_Toc176189760"/>
      <w:bookmarkStart w:id="67" w:name="_Toc6405"/>
      <w:bookmarkStart w:id="68" w:name="_Toc29251"/>
      <w:bookmarkStart w:id="69" w:name="_Toc74065744"/>
      <w:bookmarkStart w:id="70" w:name="_Toc98560353"/>
      <w:bookmarkStart w:id="71" w:name="_Toc31235"/>
      <w:bookmarkStart w:id="72" w:name="_Toc141703887"/>
      <w:bookmarkStart w:id="73" w:name="_Toc15143"/>
      <w:bookmarkStart w:id="74" w:name="_Toc123102454"/>
      <w:bookmarkStart w:id="75" w:name="_Toc139991737"/>
      <w:bookmarkStart w:id="76" w:name="_Toc3601"/>
      <w:bookmarkStart w:id="77" w:name="_Toc123112235"/>
      <w:bookmarkStart w:id="78" w:name="_Toc79154671"/>
      <w:bookmarkStart w:id="79" w:name="_Toc31653"/>
      <w:bookmarkStart w:id="80" w:name="_Toc14835"/>
      <w:bookmarkStart w:id="81" w:name="_Toc123051453"/>
      <w:bookmarkStart w:id="82" w:name="_Toc31644"/>
      <w:bookmarkStart w:id="83" w:name="_Toc2620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57530239"/>
      <w:bookmarkStart w:id="87" w:name="_Toc79392580"/>
      <w:bookmarkStart w:id="88" w:name="_Toc523711668"/>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outlineLvl w:val="2"/>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outlineLvl w:val="2"/>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23051454"/>
      <w:bookmarkStart w:id="92" w:name="_Toc123112236"/>
      <w:bookmarkStart w:id="93" w:name="_Toc25783"/>
      <w:bookmarkStart w:id="94" w:name="_Toc79392583"/>
      <w:bookmarkStart w:id="95" w:name="_Toc7058"/>
      <w:bookmarkStart w:id="96" w:name="_Toc3771"/>
      <w:bookmarkStart w:id="97" w:name="_Toc11030"/>
      <w:bookmarkStart w:id="98" w:name="_Toc139991738"/>
      <w:bookmarkStart w:id="99" w:name="_Toc79154672"/>
      <w:bookmarkStart w:id="100" w:name="_Toc4559"/>
      <w:bookmarkStart w:id="101" w:name="_Toc18567"/>
      <w:bookmarkStart w:id="102" w:name="_Toc123102455"/>
      <w:bookmarkStart w:id="103" w:name="_Toc10650"/>
      <w:bookmarkStart w:id="104" w:name="_Toc98560354"/>
      <w:bookmarkStart w:id="105" w:name="_Toc9706"/>
      <w:bookmarkStart w:id="106" w:name="_Toc141703888"/>
      <w:bookmarkStart w:id="107" w:name="_Toc3321"/>
      <w:bookmarkStart w:id="108" w:name="_Toc176189761"/>
      <w:bookmarkStart w:id="109" w:name="_Toc74065745"/>
      <w:bookmarkStart w:id="110" w:name="_Toc6447"/>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numPr>
          <w:ilvl w:val="0"/>
          <w:numId w:val="2"/>
        </w:numPr>
        <w:spacing w:line="360" w:lineRule="auto"/>
        <w:ind w:firstLine="360" w:firstLineChars="200"/>
        <w:jc w:val="left"/>
        <w:rPr>
          <w:rFonts w:hint="eastAsia" w:ascii="宋体" w:hAnsi="宋体"/>
          <w:kern w:val="0"/>
          <w:sz w:val="18"/>
          <w:szCs w:val="18"/>
        </w:rPr>
      </w:pPr>
      <w:permStart w:id="23" w:edGrp="everyone"/>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hint="eastAsia" w:ascii="宋体" w:hAnsi="宋体" w:eastAsiaTheme="majorEastAsia"/>
          <w:kern w:val="0"/>
          <w:sz w:val="18"/>
          <w:szCs w:val="18"/>
          <w:lang w:eastAsia="zh-CN"/>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r>
        <w:rPr>
          <w:rFonts w:hint="eastAsia" w:asciiTheme="majorEastAsia" w:hAnsiTheme="majorEastAsia" w:eastAsiaTheme="majorEastAsia"/>
          <w:color w:val="auto"/>
          <w:kern w:val="2"/>
          <w:sz w:val="18"/>
          <w:szCs w:val="18"/>
          <w:lang w:eastAsia="zh-CN"/>
        </w:rPr>
        <w:t>。</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每份产品份额超额业绩报酬计提起始日为：募集期内认购的产品份额，以产品成立日为该份产品份额超额业绩报酬计提起始日。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3080"/>
      <w:bookmarkStart w:id="114" w:name="_Toc139991739"/>
      <w:bookmarkStart w:id="115" w:name="_Toc176189762"/>
      <w:bookmarkStart w:id="116" w:name="_Toc74065746"/>
      <w:bookmarkStart w:id="117" w:name="_Toc18206"/>
      <w:bookmarkStart w:id="118" w:name="_Toc10398"/>
      <w:bookmarkStart w:id="119" w:name="_Toc123112237"/>
      <w:bookmarkStart w:id="120" w:name="_Toc123102456"/>
      <w:bookmarkStart w:id="121" w:name="_Toc725"/>
      <w:bookmarkStart w:id="122" w:name="_Toc21735"/>
      <w:bookmarkStart w:id="123" w:name="_Toc141703889"/>
      <w:bookmarkStart w:id="124" w:name="_Toc31821"/>
      <w:bookmarkStart w:id="125" w:name="_Toc123051455"/>
      <w:bookmarkStart w:id="126" w:name="_Toc16164"/>
      <w:bookmarkStart w:id="127" w:name="_Toc98560355"/>
      <w:bookmarkStart w:id="128" w:name="_Toc3572"/>
      <w:bookmarkStart w:id="129" w:name="_Toc79154673"/>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8791"/>
      <w:bookmarkStart w:id="134" w:name="_Toc5170"/>
      <w:bookmarkStart w:id="135" w:name="_Toc123051456"/>
      <w:bookmarkStart w:id="136" w:name="_Toc3329"/>
      <w:bookmarkStart w:id="137" w:name="_Toc17198"/>
      <w:bookmarkStart w:id="138" w:name="_Toc17920"/>
      <w:bookmarkStart w:id="139" w:name="_Toc21237"/>
      <w:bookmarkStart w:id="140" w:name="_Toc141703890"/>
      <w:bookmarkStart w:id="141" w:name="_Toc176189763"/>
      <w:bookmarkStart w:id="142" w:name="_Toc79154674"/>
      <w:bookmarkStart w:id="143" w:name="_Toc32584"/>
      <w:bookmarkStart w:id="144" w:name="_Toc29408"/>
      <w:bookmarkStart w:id="145" w:name="_Toc74065747"/>
      <w:bookmarkStart w:id="146" w:name="_Toc739"/>
      <w:bookmarkStart w:id="147" w:name="_Toc98560356"/>
      <w:bookmarkStart w:id="148" w:name="_Toc123112238"/>
      <w:bookmarkStart w:id="149" w:name="_Toc139991740"/>
      <w:bookmarkStart w:id="150" w:name="_Toc123102457"/>
      <w:bookmarkStart w:id="151" w:name="_Toc32092"/>
      <w:bookmarkStart w:id="152" w:name="_Toc79392622"/>
      <w:bookmarkStart w:id="153" w:name="_Toc4864970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76189764"/>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35</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E1494"/>
    <w:multiLevelType w:val="singleLevel"/>
    <w:tmpl w:val="9C7E1494"/>
    <w:lvl w:ilvl="0" w:tentative="0">
      <w:start w:val="2"/>
      <w:numFmt w:val="decimal"/>
      <w:suff w:val="nothing"/>
      <w:lvlText w:val="（%1）"/>
      <w:lvlJc w:val="left"/>
    </w:lvl>
  </w:abstractNum>
  <w:abstractNum w:abstractNumId="1">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WhWCehpVO5rw4q4jgzrvQnxweXw9sEyQ9Wb825+VjIMUQxkZvV+ty3/uwQD6kWttklslZmS0o9l+K9CVPSdiMw==" w:salt="4yMQnss2tsYxigbL2CH0h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A2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391"/>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345B0"/>
    <w:rsid w:val="0064020E"/>
    <w:rsid w:val="0064087A"/>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97BD9"/>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BF7FA7"/>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AA"/>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4C52"/>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6F4696E"/>
    <w:rsid w:val="07245E56"/>
    <w:rsid w:val="072779FF"/>
    <w:rsid w:val="07457EC7"/>
    <w:rsid w:val="0AD51A49"/>
    <w:rsid w:val="0C023D8C"/>
    <w:rsid w:val="0E94232E"/>
    <w:rsid w:val="0F1306D5"/>
    <w:rsid w:val="10F01A1A"/>
    <w:rsid w:val="11295396"/>
    <w:rsid w:val="163E2FB7"/>
    <w:rsid w:val="1A48157B"/>
    <w:rsid w:val="1ABE2ED9"/>
    <w:rsid w:val="1BD70953"/>
    <w:rsid w:val="1BF87698"/>
    <w:rsid w:val="1C78144D"/>
    <w:rsid w:val="1CD60A49"/>
    <w:rsid w:val="1E585AB7"/>
    <w:rsid w:val="1EB160C2"/>
    <w:rsid w:val="1FF145B9"/>
    <w:rsid w:val="2193546F"/>
    <w:rsid w:val="23083986"/>
    <w:rsid w:val="23AF29A3"/>
    <w:rsid w:val="26123FD6"/>
    <w:rsid w:val="26F50BA9"/>
    <w:rsid w:val="29026D00"/>
    <w:rsid w:val="2A642791"/>
    <w:rsid w:val="2EA644DF"/>
    <w:rsid w:val="2FB532A0"/>
    <w:rsid w:val="30257ABB"/>
    <w:rsid w:val="319C4BEA"/>
    <w:rsid w:val="33DA2E89"/>
    <w:rsid w:val="34C829B2"/>
    <w:rsid w:val="35381804"/>
    <w:rsid w:val="386A3F56"/>
    <w:rsid w:val="3A810EF7"/>
    <w:rsid w:val="3C3802E9"/>
    <w:rsid w:val="3E0C1771"/>
    <w:rsid w:val="3E586AB8"/>
    <w:rsid w:val="3E5C1B1D"/>
    <w:rsid w:val="3EAE14E9"/>
    <w:rsid w:val="3FD261A6"/>
    <w:rsid w:val="42EB2F9C"/>
    <w:rsid w:val="43380D15"/>
    <w:rsid w:val="45226963"/>
    <w:rsid w:val="469F5C49"/>
    <w:rsid w:val="4D39606F"/>
    <w:rsid w:val="4F8E3D4D"/>
    <w:rsid w:val="4FA308F4"/>
    <w:rsid w:val="4FFA094D"/>
    <w:rsid w:val="53B3493A"/>
    <w:rsid w:val="5537323C"/>
    <w:rsid w:val="55855837"/>
    <w:rsid w:val="56503211"/>
    <w:rsid w:val="57BD5DAE"/>
    <w:rsid w:val="598B567E"/>
    <w:rsid w:val="5B5D4C61"/>
    <w:rsid w:val="5BA577EB"/>
    <w:rsid w:val="5C624734"/>
    <w:rsid w:val="5FE91ABC"/>
    <w:rsid w:val="60D42826"/>
    <w:rsid w:val="628E734C"/>
    <w:rsid w:val="64F66D8D"/>
    <w:rsid w:val="6580603B"/>
    <w:rsid w:val="68B96EA7"/>
    <w:rsid w:val="68C7223A"/>
    <w:rsid w:val="68EF6886"/>
    <w:rsid w:val="694A7300"/>
    <w:rsid w:val="699457CF"/>
    <w:rsid w:val="6FDD1093"/>
    <w:rsid w:val="709C0126"/>
    <w:rsid w:val="73EB7F47"/>
    <w:rsid w:val="76022652"/>
    <w:rsid w:val="768501BE"/>
    <w:rsid w:val="76C8601E"/>
    <w:rsid w:val="7D80556D"/>
    <w:rsid w:val="7ED86E63"/>
    <w:rsid w:val="7EFC28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9114D43D-ED98-4C7B-A3AE-26D78B80CA82}">
  <ds:schemaRefs/>
</ds:datastoreItem>
</file>

<file path=customXml/itemProps11.xml><?xml version="1.0" encoding="utf-8"?>
<ds:datastoreItem xmlns:ds="http://schemas.openxmlformats.org/officeDocument/2006/customXml" ds:itemID="{1AEEB1B7-F47D-4AFF-902F-0A79111B6E84}">
  <ds:schemaRefs/>
</ds:datastoreItem>
</file>

<file path=customXml/itemProps12.xml><?xml version="1.0" encoding="utf-8"?>
<ds:datastoreItem xmlns:ds="http://schemas.openxmlformats.org/officeDocument/2006/customXml" ds:itemID="{509BA638-9D3A-4AA3-A169-FF78BC0E4BE9}">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2108FF18-8EC8-4170-A536-1AA8E39CC797}">
  <ds:schemaRefs/>
</ds:datastoreItem>
</file>

<file path=customXml/itemProps15.xml><?xml version="1.0" encoding="utf-8"?>
<ds:datastoreItem xmlns:ds="http://schemas.openxmlformats.org/officeDocument/2006/customXml" ds:itemID="{79B37214-9E52-4241-8DD2-9E9CD9442006}">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3A3C3A8D-C5E4-45AF-8B48-C3BF528808AD}">
  <ds:schemaRefs/>
</ds:datastoreItem>
</file>

<file path=customXml/itemProps18.xml><?xml version="1.0" encoding="utf-8"?>
<ds:datastoreItem xmlns:ds="http://schemas.openxmlformats.org/officeDocument/2006/customXml" ds:itemID="{0A7AA9EF-3B8C-4BAA-9155-A6E3E5337D3C}">
  <ds:schemaRefs/>
</ds:datastoreItem>
</file>

<file path=customXml/itemProps2.xml><?xml version="1.0" encoding="utf-8"?>
<ds:datastoreItem xmlns:ds="http://schemas.openxmlformats.org/officeDocument/2006/customXml" ds:itemID="{EC45DDBE-A426-47CA-BC62-D025DE29F1BC}">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7E5C9D84-6DB6-48FB-8632-D5279FC233C8}">
  <ds:schemaRefs/>
</ds:datastoreItem>
</file>

<file path=customXml/itemProps5.xml><?xml version="1.0" encoding="utf-8"?>
<ds:datastoreItem xmlns:ds="http://schemas.openxmlformats.org/officeDocument/2006/customXml" ds:itemID="{E6D3D55C-3DD8-4C31-8069-E5508DD844FB}">
  <ds:schemaRefs/>
</ds:datastoreItem>
</file>

<file path=customXml/itemProps6.xml><?xml version="1.0" encoding="utf-8"?>
<ds:datastoreItem xmlns:ds="http://schemas.openxmlformats.org/officeDocument/2006/customXml" ds:itemID="{AC86F3EB-DB57-4B60-8A7E-BBB67A22EE0B}">
  <ds:schemaRefs/>
</ds:datastoreItem>
</file>

<file path=customXml/itemProps7.xml><?xml version="1.0" encoding="utf-8"?>
<ds:datastoreItem xmlns:ds="http://schemas.openxmlformats.org/officeDocument/2006/customXml" ds:itemID="{BEEE0313-55EB-45FA-BBBD-C0232D367255}">
  <ds:schemaRefs/>
</ds:datastoreItem>
</file>

<file path=customXml/itemProps8.xml><?xml version="1.0" encoding="utf-8"?>
<ds:datastoreItem xmlns:ds="http://schemas.openxmlformats.org/officeDocument/2006/customXml" ds:itemID="{A06CD169-7F5C-4082-81B2-6ECAA9AF6149}">
  <ds:schemaRefs/>
</ds:datastoreItem>
</file>

<file path=customXml/itemProps9.xml><?xml version="1.0" encoding="utf-8"?>
<ds:datastoreItem xmlns:ds="http://schemas.openxmlformats.org/officeDocument/2006/customXml" ds:itemID="{D902962D-C8CC-43BF-804A-CD60AE6D747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3787</Words>
  <Characters>21586</Characters>
  <Lines>179</Lines>
  <Paragraphs>50</Paragraphs>
  <TotalTime>2</TotalTime>
  <ScaleCrop>false</ScaleCrop>
  <LinksUpToDate>false</LinksUpToDate>
  <CharactersWithSpaces>25323</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2024-11-15T02:41:00Z</dcterms:created>
  <dc:creator>张淼雯</dc:creator>
  <cp:lastModifiedBy>cib</cp:lastModifiedBy>
  <cp:lastPrinted>2020-09-21T06:35:00Z</cp:lastPrinted>
  <dcterms:modified xsi:type="dcterms:W3CDTF">2024-12-04T06:57:47Z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