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FDE" w:rsidRDefault="00D3339D">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46710">
        <w:rPr>
          <w:rFonts w:ascii="黑体" w:eastAsia="黑体" w:hAnsi="黑体" w:hint="eastAsia"/>
          <w:b/>
          <w:sz w:val="28"/>
          <w:szCs w:val="28"/>
        </w:rPr>
        <w:t>稳添利最短持有期</w:t>
      </w:r>
      <w:r w:rsidR="00906189">
        <w:rPr>
          <w:rFonts w:ascii="黑体" w:eastAsia="黑体" w:hAnsi="黑体" w:hint="eastAsia"/>
          <w:b/>
          <w:sz w:val="28"/>
          <w:szCs w:val="28"/>
        </w:rPr>
        <w:t>日开固</w:t>
      </w:r>
      <w:bookmarkStart w:id="0" w:name="_GoBack"/>
      <w:bookmarkEnd w:id="0"/>
      <w:r w:rsidR="00C46710">
        <w:rPr>
          <w:rFonts w:ascii="黑体" w:eastAsia="黑体" w:hAnsi="黑体" w:hint="eastAsia"/>
          <w:b/>
          <w:sz w:val="28"/>
          <w:szCs w:val="28"/>
        </w:rPr>
        <w:t>收类</w:t>
      </w:r>
      <w:r>
        <w:rPr>
          <w:rFonts w:ascii="黑体" w:eastAsia="黑体" w:hAnsi="黑体" w:hint="eastAsia"/>
          <w:b/>
          <w:sz w:val="28"/>
          <w:szCs w:val="28"/>
        </w:rPr>
        <w:t>】</w:t>
      </w:r>
      <w:permEnd w:id="0"/>
      <w:r>
        <w:rPr>
          <w:rFonts w:ascii="黑体" w:eastAsia="黑体" w:hAnsi="黑体" w:hint="eastAsia"/>
          <w:b/>
          <w:sz w:val="28"/>
          <w:szCs w:val="28"/>
        </w:rPr>
        <w:t>理财产品</w:t>
      </w:r>
    </w:p>
    <w:p w:rsidR="00CD1FDE" w:rsidRDefault="00D3339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CD1FDE" w:rsidRDefault="00D3339D" w:rsidP="005E5297">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CD1FDE" w:rsidRDefault="00D3339D" w:rsidP="005E5297">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CD1FDE" w:rsidRDefault="00CD1FD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CD1FDE">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CD1FDE" w:rsidRDefault="00D3339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CD1FDE" w:rsidRDefault="00CD1FDE">
            <w:pPr>
              <w:pStyle w:val="a6"/>
              <w:spacing w:line="320" w:lineRule="exact"/>
              <w:rPr>
                <w:rFonts w:ascii="宋体" w:hAnsi="宋体"/>
                <w:b/>
                <w:bCs/>
                <w:sz w:val="28"/>
                <w:szCs w:val="28"/>
              </w:rPr>
            </w:pPr>
          </w:p>
        </w:tc>
      </w:tr>
      <w:tr w:rsidR="00CD1FDE">
        <w:trPr>
          <w:cantSplit/>
          <w:trHeight w:hRule="exact" w:val="170"/>
          <w:jc w:val="center"/>
        </w:trPr>
        <w:tc>
          <w:tcPr>
            <w:tcW w:w="7598" w:type="dxa"/>
            <w:gridSpan w:val="6"/>
            <w:shd w:val="pct10" w:color="A6A6A6" w:themeColor="background1" w:themeShade="A6" w:fill="A6A6A6" w:themeFill="background1" w:themeFillShade="A6"/>
            <w:vAlign w:val="center"/>
          </w:tcPr>
          <w:p w:rsidR="00CD1FDE" w:rsidRDefault="00CD1FDE">
            <w:pPr>
              <w:pStyle w:val="a6"/>
              <w:spacing w:line="320" w:lineRule="exact"/>
              <w:rPr>
                <w:rFonts w:ascii="宋体" w:hAnsi="宋体"/>
                <w:b/>
                <w:bCs/>
                <w:sz w:val="28"/>
                <w:szCs w:val="28"/>
              </w:rPr>
            </w:pPr>
          </w:p>
        </w:tc>
      </w:tr>
      <w:tr w:rsidR="00CD1FDE">
        <w:trPr>
          <w:trHeight w:hRule="exact" w:val="340"/>
          <w:jc w:val="center"/>
        </w:trPr>
        <w:tc>
          <w:tcPr>
            <w:tcW w:w="817" w:type="dxa"/>
            <w:vMerge w:val="restart"/>
            <w:shd w:val="solid" w:color="FFFFFF" w:fill="FFFFFF"/>
            <w:vAlign w:val="center"/>
          </w:tcPr>
          <w:p w:rsidR="00CD1FDE" w:rsidRDefault="00D3339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CD1FDE" w:rsidRDefault="00CD1FDE">
            <w:pPr>
              <w:spacing w:line="320" w:lineRule="exact"/>
              <w:jc w:val="left"/>
              <w:rPr>
                <w:rFonts w:ascii="宋体" w:hAnsi="宋体"/>
                <w:b/>
                <w:bCs/>
                <w:sz w:val="18"/>
                <w:szCs w:val="18"/>
              </w:rPr>
            </w:pPr>
          </w:p>
        </w:tc>
        <w:tc>
          <w:tcPr>
            <w:tcW w:w="1234"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CD1FDE" w:rsidRDefault="00CD1FDE">
            <w:pPr>
              <w:spacing w:line="320" w:lineRule="exact"/>
              <w:jc w:val="left"/>
              <w:rPr>
                <w:rFonts w:ascii="宋体" w:hAnsi="宋体"/>
                <w:b/>
                <w:bCs/>
                <w:sz w:val="18"/>
                <w:szCs w:val="18"/>
              </w:rPr>
            </w:pPr>
          </w:p>
        </w:tc>
        <w:tc>
          <w:tcPr>
            <w:tcW w:w="1234"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tr w:rsidR="00CD1FDE">
        <w:trPr>
          <w:trHeight w:hRule="exact" w:val="340"/>
          <w:jc w:val="center"/>
        </w:trPr>
        <w:tc>
          <w:tcPr>
            <w:tcW w:w="817" w:type="dxa"/>
            <w:vMerge/>
            <w:tcBorders>
              <w:bottom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r>
      <w:permEnd w:id="15"/>
      <w:tr w:rsidR="00CD1FDE">
        <w:trPr>
          <w:trHeight w:hRule="exact" w:val="170"/>
          <w:jc w:val="center"/>
        </w:trPr>
        <w:tc>
          <w:tcPr>
            <w:tcW w:w="7598" w:type="dxa"/>
            <w:gridSpan w:val="6"/>
            <w:shd w:val="pct10" w:color="FFFFFF" w:fill="A6A6A6" w:themeFill="background1" w:themeFillShade="A6"/>
            <w:vAlign w:val="center"/>
          </w:tcPr>
          <w:p w:rsidR="00CD1FDE" w:rsidRDefault="00CD1FDE">
            <w:pPr>
              <w:pStyle w:val="a6"/>
              <w:pBdr>
                <w:bottom w:val="none" w:sz="0" w:space="0" w:color="auto"/>
              </w:pBdr>
              <w:spacing w:line="320" w:lineRule="exact"/>
              <w:rPr>
                <w:rFonts w:ascii="宋体" w:hAnsi="宋体"/>
                <w:b/>
                <w:bCs/>
                <w:sz w:val="28"/>
                <w:szCs w:val="28"/>
              </w:rPr>
            </w:pPr>
          </w:p>
        </w:tc>
      </w:tr>
      <w:tr w:rsidR="00CD1FDE">
        <w:trPr>
          <w:trHeight w:val="402"/>
          <w:jc w:val="center"/>
        </w:trPr>
        <w:tc>
          <w:tcPr>
            <w:tcW w:w="817" w:type="dxa"/>
            <w:vMerge w:val="restart"/>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CD1FDE" w:rsidRDefault="00D3339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CD1FDE" w:rsidRDefault="00D3339D">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 直销：产品管理人销售</w:t>
            </w:r>
          </w:p>
          <w:p w:rsidR="00CD1FDE" w:rsidRDefault="00D3339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CD1FDE">
        <w:trPr>
          <w:trHeight w:val="402"/>
          <w:jc w:val="center"/>
        </w:trPr>
        <w:tc>
          <w:tcPr>
            <w:tcW w:w="817" w:type="dxa"/>
            <w:vMerge/>
            <w:shd w:val="solid" w:color="FFFFFF" w:fill="FFFFFF"/>
            <w:vAlign w:val="center"/>
          </w:tcPr>
          <w:p w:rsidR="00CD1FDE" w:rsidRDefault="00CD1FDE">
            <w:pPr>
              <w:spacing w:line="320" w:lineRule="exact"/>
              <w:jc w:val="left"/>
              <w:rPr>
                <w:rFonts w:ascii="宋体" w:hAnsi="宋体"/>
                <w:b/>
                <w:bCs/>
                <w:sz w:val="18"/>
                <w:szCs w:val="18"/>
              </w:rPr>
            </w:pPr>
          </w:p>
        </w:tc>
        <w:tc>
          <w:tcPr>
            <w:tcW w:w="1720" w:type="dxa"/>
            <w:gridSpan w:val="2"/>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CD1FDE" w:rsidRDefault="00D3339D">
            <w:pPr>
              <w:spacing w:line="320" w:lineRule="exact"/>
              <w:jc w:val="left"/>
              <w:rPr>
                <w:rFonts w:ascii="宋体" w:hAnsi="宋体"/>
                <w:bCs/>
                <w:sz w:val="18"/>
                <w:szCs w:val="18"/>
              </w:rPr>
            </w:pPr>
            <w:permStart w:id="17" w:edGrp="everyone"/>
            <w:r>
              <w:rPr>
                <w:rFonts w:ascii="宋体" w:hAnsi="宋体" w:hint="eastAsia"/>
                <w:bCs/>
                <w:sz w:val="18"/>
                <w:szCs w:val="18"/>
              </w:rPr>
              <w:t>【</w:t>
            </w:r>
            <w:r w:rsidR="005E5297" w:rsidRPr="005E5297">
              <w:rPr>
                <w:rFonts w:hint="eastAsia"/>
              </w:rPr>
              <w:t>浙江嵊州农村商业银行股份有限公司</w:t>
            </w:r>
            <w:r>
              <w:rPr>
                <w:rFonts w:ascii="宋体" w:hAnsi="宋体" w:hint="eastAsia"/>
                <w:bCs/>
                <w:sz w:val="18"/>
                <w:szCs w:val="18"/>
              </w:rPr>
              <w:t>】</w:t>
            </w:r>
            <w:permEnd w:id="17"/>
          </w:p>
        </w:tc>
      </w:tr>
      <w:tr w:rsidR="00CD1FDE">
        <w:trPr>
          <w:trHeight w:val="375"/>
          <w:jc w:val="center"/>
        </w:trPr>
        <w:tc>
          <w:tcPr>
            <w:tcW w:w="817" w:type="dxa"/>
            <w:vMerge/>
            <w:tcBorders>
              <w:bottom w:val="single" w:sz="12" w:space="0" w:color="auto"/>
            </w:tcBorders>
            <w:shd w:val="solid" w:color="FFFFFF" w:fill="FFFFFF"/>
            <w:vAlign w:val="center"/>
          </w:tcPr>
          <w:p w:rsidR="00CD1FDE" w:rsidRDefault="00CD1FDE">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CD1FDE" w:rsidRDefault="00D3339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CD1FDE" w:rsidRDefault="00D3339D">
            <w:pPr>
              <w:pStyle w:val="Default"/>
              <w:jc w:val="both"/>
            </w:pPr>
            <w:permStart w:id="18" w:edGrp="everyone"/>
            <w:r>
              <w:rPr>
                <w:rFonts w:asciiTheme="majorEastAsia" w:eastAsiaTheme="majorEastAsia" w:hAnsiTheme="majorEastAsia" w:hint="eastAsia"/>
                <w:bCs/>
                <w:sz w:val="18"/>
                <w:szCs w:val="18"/>
              </w:rPr>
              <w:t>【】</w:t>
            </w:r>
            <w:permEnd w:id="18"/>
          </w:p>
        </w:tc>
      </w:tr>
      <w:tr w:rsidR="00CD1FDE">
        <w:trPr>
          <w:trHeight w:hRule="exact" w:val="170"/>
          <w:jc w:val="center"/>
        </w:trPr>
        <w:tc>
          <w:tcPr>
            <w:tcW w:w="7598" w:type="dxa"/>
            <w:gridSpan w:val="6"/>
            <w:shd w:val="pct10" w:color="FFFFFF" w:fill="A6A6A6" w:themeFill="background1" w:themeFillShade="A6"/>
            <w:vAlign w:val="center"/>
          </w:tcPr>
          <w:p w:rsidR="00CD1FDE" w:rsidRDefault="00CD1FDE">
            <w:pPr>
              <w:spacing w:line="320" w:lineRule="exact"/>
              <w:jc w:val="left"/>
              <w:rPr>
                <w:rFonts w:ascii="宋体" w:hAnsi="宋体"/>
                <w:bCs/>
                <w:sz w:val="18"/>
                <w:szCs w:val="18"/>
              </w:rPr>
            </w:pPr>
          </w:p>
        </w:tc>
      </w:tr>
      <w:tr w:rsidR="00CD1FDE">
        <w:trPr>
          <w:trHeight w:val="402"/>
          <w:jc w:val="center"/>
        </w:trPr>
        <w:tc>
          <w:tcPr>
            <w:tcW w:w="817" w:type="dxa"/>
            <w:shd w:val="solid" w:color="FFFFFF" w:fill="FFFFFF"/>
            <w:vAlign w:val="center"/>
          </w:tcPr>
          <w:p w:rsidR="00CD1FDE" w:rsidRDefault="00D3339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CD1FDE" w:rsidRDefault="00D3339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CD1FDE" w:rsidRDefault="00CD1FDE">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CD1FDE" w:rsidRDefault="00D3339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CD1FDE" w:rsidRDefault="00D3339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CD1FDE" w:rsidRDefault="00CD1FDE">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CD1FDE" w:rsidRDefault="00D3339D">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CD1FDE" w:rsidRDefault="00D3339D">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5E5297">
        <w:rPr>
          <w:rFonts w:hint="eastAsia"/>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5E5297" w:rsidRPr="005E5297">
        <w:rPr>
          <w:rFonts w:hint="eastAsia"/>
        </w:rPr>
        <w:t>PR1</w:t>
      </w:r>
      <w:r w:rsidR="005E5297" w:rsidRPr="005E5297">
        <w:rPr>
          <w:rFonts w:hint="eastAsia"/>
        </w:rPr>
        <w:t>级（低风险）、</w:t>
      </w:r>
      <w:r w:rsidR="005E5297" w:rsidRPr="005E5297">
        <w:rPr>
          <w:rFonts w:hint="eastAsia"/>
        </w:rPr>
        <w:t>PR2</w:t>
      </w:r>
      <w:r w:rsidR="005E5297" w:rsidRPr="005E5297">
        <w:rPr>
          <w:rFonts w:hint="eastAsia"/>
        </w:rPr>
        <w:t>级（中低风险）、</w:t>
      </w:r>
      <w:r w:rsidR="005E5297" w:rsidRPr="005E5297">
        <w:rPr>
          <w:rFonts w:hint="eastAsia"/>
        </w:rPr>
        <w:t>PR3</w:t>
      </w:r>
      <w:r w:rsidR="005E5297" w:rsidRPr="005E5297">
        <w:rPr>
          <w:rFonts w:hint="eastAsia"/>
        </w:rPr>
        <w:t>级（中等风险）、</w:t>
      </w:r>
      <w:r w:rsidR="005E5297" w:rsidRPr="005E5297">
        <w:rPr>
          <w:rFonts w:hint="eastAsia"/>
        </w:rPr>
        <w:t>PR4</w:t>
      </w:r>
      <w:r w:rsidR="005E5297" w:rsidRPr="005E5297">
        <w:rPr>
          <w:rFonts w:hint="eastAsia"/>
        </w:rPr>
        <w:t>级（中高风险）、</w:t>
      </w:r>
      <w:r w:rsidR="005E5297" w:rsidRPr="005E5297">
        <w:rPr>
          <w:rFonts w:hint="eastAsia"/>
        </w:rPr>
        <w:t>PR5</w:t>
      </w:r>
      <w:r w:rsidR="005E5297" w:rsidRPr="005E5297">
        <w:rPr>
          <w:rFonts w:hint="eastAsia"/>
        </w:rPr>
        <w:t>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CD1FDE" w:rsidRDefault="00D3339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CD1FDE" w:rsidRDefault="00D3339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w:t>
      </w:r>
      <w:r>
        <w:rPr>
          <w:rFonts w:hAnsi="宋体" w:cs="仿宋_GB2312" w:hint="eastAsia"/>
          <w:sz w:val="18"/>
          <w:szCs w:val="18"/>
        </w:rPr>
        <w:lastRenderedPageBreak/>
        <w:t>险承受能力的理财产品。</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4、投资者的风险承受能力评估要求</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CD1FDE" w:rsidRDefault="00D3339D">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CD1FDE" w:rsidRDefault="00D3339D">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permEnd w:id="26"/>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CD1FDE" w:rsidRDefault="00D3339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w:t>
      </w:r>
      <w:r>
        <w:rPr>
          <w:rFonts w:ascii="宋体" w:hAnsi="宋体" w:cs="仿宋_GB2312" w:hint="eastAsia"/>
          <w:kern w:val="0"/>
          <w:sz w:val="18"/>
          <w:szCs w:val="18"/>
        </w:rPr>
        <w:lastRenderedPageBreak/>
        <w:t>户和其他资料，同时可向产品管理人、产品托管人、监管机构、有权机关、自律组织、理财登记备案机构、投资合作机构、投资交易相关方、中介服务机构、理财快速赎回服务提供方提供、留存前述信息。</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CD1FDE" w:rsidRDefault="00CD1FDE">
      <w:pPr>
        <w:widowControl/>
        <w:spacing w:line="360" w:lineRule="auto"/>
        <w:jc w:val="left"/>
        <w:rPr>
          <w:rFonts w:ascii="宋体" w:hAnsi="宋体" w:cs="仿宋_GB2312"/>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CD1FDE" w:rsidRDefault="00CD1FDE">
      <w:pPr>
        <w:widowControl/>
        <w:spacing w:line="360" w:lineRule="auto"/>
        <w:jc w:val="left"/>
        <w:rPr>
          <w:rFonts w:ascii="宋体" w:hAnsi="宋体" w:cs="仿宋_GB2312"/>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CD1FDE" w:rsidRDefault="00D3339D">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CD1FDE" w:rsidRDefault="00CD1FDE">
      <w:pPr>
        <w:widowControl/>
        <w:spacing w:line="360" w:lineRule="auto"/>
        <w:jc w:val="left"/>
        <w:rPr>
          <w:rFonts w:ascii="宋体" w:hAnsi="宋体" w:cs="仿宋_GB2312"/>
          <w:kern w:val="0"/>
          <w:sz w:val="18"/>
          <w:szCs w:val="18"/>
        </w:rPr>
      </w:pPr>
    </w:p>
    <w:p w:rsidR="00CD1FDE" w:rsidRDefault="00D3339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CD1FDE" w:rsidRDefault="00D3339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CD1FDE" w:rsidRDefault="00CD1FDE">
      <w:pPr>
        <w:widowControl/>
        <w:spacing w:line="360" w:lineRule="auto"/>
        <w:jc w:val="left"/>
        <w:rPr>
          <w:rFonts w:ascii="宋体" w:hAnsi="宋体" w:cs="仿宋_GB2312"/>
          <w:b/>
          <w:kern w:val="0"/>
          <w:sz w:val="18"/>
          <w:szCs w:val="18"/>
        </w:rPr>
      </w:pP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CD1FDE" w:rsidRDefault="00D3339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CD1FDE" w:rsidRDefault="00D3339D">
      <w:pPr>
        <w:widowControl/>
        <w:jc w:val="left"/>
        <w:rPr>
          <w:rFonts w:ascii="宋体" w:hAnsi="宋体" w:cs="仿宋_GB2312"/>
          <w:b/>
          <w:kern w:val="0"/>
          <w:sz w:val="18"/>
          <w:szCs w:val="18"/>
        </w:rPr>
      </w:pPr>
      <w:r>
        <w:rPr>
          <w:rFonts w:ascii="宋体" w:hAnsi="宋体" w:cs="仿宋_GB2312"/>
          <w:b/>
          <w:kern w:val="0"/>
          <w:sz w:val="18"/>
          <w:szCs w:val="18"/>
        </w:rPr>
        <w:br w:type="page"/>
      </w:r>
    </w:p>
    <w:p w:rsidR="00CD1FDE" w:rsidRDefault="00CD1FDE">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CD1FDE">
        <w:trPr>
          <w:trHeight w:val="329"/>
        </w:trPr>
        <w:tc>
          <w:tcPr>
            <w:tcW w:w="8524" w:type="dxa"/>
            <w:gridSpan w:val="3"/>
            <w:vAlign w:val="center"/>
          </w:tcPr>
          <w:p w:rsidR="00CD1FDE" w:rsidRDefault="00D3339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CD1FDE">
        <w:tc>
          <w:tcPr>
            <w:tcW w:w="675" w:type="dxa"/>
            <w:vAlign w:val="center"/>
          </w:tcPr>
          <w:p w:rsidR="00CD1FDE" w:rsidRDefault="00D3339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CD1FDE" w:rsidRDefault="00D3339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CD1FDE" w:rsidRDefault="00D3339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CD1FDE" w:rsidRDefault="00D3339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CD1FDE">
        <w:trPr>
          <w:trHeight w:hRule="exact" w:val="1014"/>
        </w:trPr>
        <w:tc>
          <w:tcPr>
            <w:tcW w:w="675" w:type="dxa"/>
            <w:vMerge w:val="restart"/>
            <w:vAlign w:val="center"/>
          </w:tcPr>
          <w:p w:rsidR="00CD1FDE" w:rsidRDefault="00D3339D">
            <w:pPr>
              <w:jc w:val="center"/>
              <w:rPr>
                <w:b/>
                <w:kern w:val="0"/>
                <w:sz w:val="18"/>
                <w:szCs w:val="18"/>
              </w:rPr>
            </w:pPr>
            <w:r>
              <w:rPr>
                <w:rFonts w:hint="eastAsia"/>
                <w:b/>
                <w:kern w:val="0"/>
                <w:sz w:val="18"/>
                <w:szCs w:val="18"/>
              </w:rPr>
              <w:t>甲方签署栏</w:t>
            </w:r>
          </w:p>
        </w:tc>
        <w:tc>
          <w:tcPr>
            <w:tcW w:w="851" w:type="dxa"/>
          </w:tcPr>
          <w:p w:rsidR="00CD1FDE" w:rsidRDefault="00D3339D">
            <w:pPr>
              <w:rPr>
                <w:b/>
                <w:kern w:val="0"/>
                <w:sz w:val="18"/>
                <w:szCs w:val="18"/>
              </w:rPr>
            </w:pPr>
            <w:r>
              <w:rPr>
                <w:rFonts w:hint="eastAsia"/>
                <w:b/>
                <w:kern w:val="0"/>
                <w:sz w:val="18"/>
                <w:szCs w:val="18"/>
              </w:rPr>
              <w:t>个人投资者适用</w:t>
            </w:r>
          </w:p>
        </w:tc>
        <w:tc>
          <w:tcPr>
            <w:tcW w:w="6998" w:type="dxa"/>
          </w:tcPr>
          <w:p w:rsidR="00CD1FDE" w:rsidRDefault="00D3339D">
            <w:pPr>
              <w:rPr>
                <w:kern w:val="0"/>
                <w:sz w:val="18"/>
                <w:szCs w:val="18"/>
              </w:rPr>
            </w:pPr>
            <w:r>
              <w:rPr>
                <w:rFonts w:hint="eastAsia"/>
                <w:kern w:val="0"/>
                <w:sz w:val="18"/>
                <w:szCs w:val="18"/>
              </w:rPr>
              <w:t>甲方（签字）：</w:t>
            </w:r>
          </w:p>
          <w:p w:rsidR="00CD1FDE" w:rsidRDefault="00CD1FDE">
            <w:pPr>
              <w:rPr>
                <w:b/>
                <w:kern w:val="0"/>
                <w:sz w:val="18"/>
                <w:szCs w:val="18"/>
              </w:rPr>
            </w:pPr>
          </w:p>
          <w:p w:rsidR="00CD1FDE" w:rsidRDefault="00D3339D">
            <w:pPr>
              <w:rPr>
                <w:b/>
                <w:kern w:val="0"/>
                <w:sz w:val="18"/>
                <w:szCs w:val="18"/>
              </w:rPr>
            </w:pPr>
            <w:r>
              <w:rPr>
                <w:rFonts w:hint="eastAsia"/>
                <w:kern w:val="0"/>
                <w:sz w:val="18"/>
                <w:szCs w:val="18"/>
              </w:rPr>
              <w:t>日期：</w:t>
            </w:r>
          </w:p>
        </w:tc>
      </w:tr>
      <w:tr w:rsidR="00CD1FDE">
        <w:tc>
          <w:tcPr>
            <w:tcW w:w="675" w:type="dxa"/>
            <w:vMerge/>
          </w:tcPr>
          <w:p w:rsidR="00CD1FDE" w:rsidRDefault="00CD1FDE">
            <w:pPr>
              <w:rPr>
                <w:b/>
                <w:kern w:val="0"/>
                <w:sz w:val="18"/>
                <w:szCs w:val="18"/>
              </w:rPr>
            </w:pPr>
          </w:p>
        </w:tc>
        <w:tc>
          <w:tcPr>
            <w:tcW w:w="851" w:type="dxa"/>
          </w:tcPr>
          <w:p w:rsidR="00CD1FDE" w:rsidRDefault="00D3339D">
            <w:pPr>
              <w:rPr>
                <w:b/>
                <w:kern w:val="0"/>
                <w:sz w:val="18"/>
                <w:szCs w:val="18"/>
              </w:rPr>
            </w:pPr>
            <w:r>
              <w:rPr>
                <w:rFonts w:hint="eastAsia"/>
                <w:b/>
                <w:kern w:val="0"/>
                <w:sz w:val="18"/>
                <w:szCs w:val="18"/>
              </w:rPr>
              <w:t>机构投资者适用</w:t>
            </w:r>
          </w:p>
        </w:tc>
        <w:tc>
          <w:tcPr>
            <w:tcW w:w="6998" w:type="dxa"/>
          </w:tcPr>
          <w:p w:rsidR="00CD1FDE" w:rsidRDefault="00D3339D">
            <w:pPr>
              <w:rPr>
                <w:rFonts w:cs="Arial"/>
                <w:kern w:val="0"/>
                <w:sz w:val="18"/>
                <w:szCs w:val="18"/>
              </w:rPr>
            </w:pPr>
            <w:r>
              <w:rPr>
                <w:rFonts w:hint="eastAsia"/>
                <w:kern w:val="0"/>
                <w:sz w:val="18"/>
                <w:szCs w:val="18"/>
              </w:rPr>
              <w:t>甲方</w:t>
            </w:r>
            <w:r>
              <w:rPr>
                <w:rFonts w:cs="Arial" w:hint="eastAsia"/>
                <w:kern w:val="0"/>
                <w:sz w:val="18"/>
                <w:szCs w:val="18"/>
              </w:rPr>
              <w:t>（盖章）：</w:t>
            </w:r>
          </w:p>
          <w:p w:rsidR="00CD1FDE" w:rsidRDefault="00CD1FDE">
            <w:pPr>
              <w:rPr>
                <w:rFonts w:cs="Arial"/>
                <w:kern w:val="0"/>
                <w:sz w:val="18"/>
                <w:szCs w:val="18"/>
              </w:rPr>
            </w:pPr>
          </w:p>
          <w:p w:rsidR="00CD1FDE" w:rsidRDefault="00D3339D">
            <w:pPr>
              <w:rPr>
                <w:rFonts w:cs="Arial"/>
                <w:kern w:val="0"/>
                <w:sz w:val="18"/>
                <w:szCs w:val="18"/>
              </w:rPr>
            </w:pPr>
            <w:r>
              <w:rPr>
                <w:rFonts w:cs="Arial" w:hint="eastAsia"/>
                <w:kern w:val="0"/>
                <w:sz w:val="18"/>
                <w:szCs w:val="18"/>
              </w:rPr>
              <w:t>甲方法定代表人或授权代理人（签字或盖章）：</w:t>
            </w:r>
          </w:p>
          <w:p w:rsidR="00CD1FDE" w:rsidRDefault="00CD1FDE">
            <w:pPr>
              <w:rPr>
                <w:b/>
                <w:kern w:val="0"/>
                <w:sz w:val="18"/>
                <w:szCs w:val="18"/>
              </w:rPr>
            </w:pPr>
          </w:p>
          <w:p w:rsidR="00CD1FDE" w:rsidRDefault="00D3339D">
            <w:pPr>
              <w:rPr>
                <w:kern w:val="0"/>
                <w:sz w:val="18"/>
                <w:szCs w:val="18"/>
              </w:rPr>
            </w:pPr>
            <w:r>
              <w:rPr>
                <w:rFonts w:hint="eastAsia"/>
                <w:kern w:val="0"/>
                <w:sz w:val="18"/>
                <w:szCs w:val="18"/>
              </w:rPr>
              <w:t>日期：</w:t>
            </w:r>
          </w:p>
        </w:tc>
      </w:tr>
      <w:tr w:rsidR="00CD1FDE">
        <w:tc>
          <w:tcPr>
            <w:tcW w:w="675" w:type="dxa"/>
          </w:tcPr>
          <w:p w:rsidR="00CD1FDE" w:rsidRDefault="00D3339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CD1FDE" w:rsidRDefault="00D3339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CD1FDE" w:rsidRDefault="00CD1FDE">
            <w:pPr>
              <w:rPr>
                <w:b/>
                <w:kern w:val="0"/>
                <w:sz w:val="18"/>
                <w:szCs w:val="18"/>
              </w:rPr>
            </w:pPr>
          </w:p>
          <w:p w:rsidR="00CD1FDE" w:rsidRDefault="00D3339D">
            <w:pPr>
              <w:rPr>
                <w:kern w:val="0"/>
                <w:sz w:val="18"/>
                <w:szCs w:val="18"/>
              </w:rPr>
            </w:pPr>
            <w:r>
              <w:rPr>
                <w:rFonts w:hint="eastAsia"/>
                <w:kern w:val="0"/>
                <w:sz w:val="18"/>
                <w:szCs w:val="18"/>
              </w:rPr>
              <w:t>日期：</w:t>
            </w:r>
          </w:p>
        </w:tc>
      </w:tr>
    </w:tbl>
    <w:p w:rsidR="00CD1FDE" w:rsidRDefault="00D3339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CD1FDE" w:rsidRDefault="00CD1FDE"/>
    <w:p w:rsidR="00CD1FDE" w:rsidRDefault="00CD1FDE"/>
    <w:p w:rsidR="00CD1FDE" w:rsidRDefault="00CD1FDE"/>
    <w:p w:rsidR="00CD1FDE" w:rsidRDefault="00CD1FDE"/>
    <w:sectPr w:rsidR="00CD1FDE" w:rsidSect="00A972D5">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867" w:rsidRDefault="00404867">
      <w:r>
        <w:separator/>
      </w:r>
    </w:p>
  </w:endnote>
  <w:endnote w:type="continuationSeparator" w:id="1">
    <w:p w:rsidR="00404867" w:rsidRDefault="004048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CD1FDE" w:rsidRDefault="00A972D5">
        <w:pPr>
          <w:pStyle w:val="a5"/>
          <w:jc w:val="center"/>
        </w:pPr>
        <w:r>
          <w:fldChar w:fldCharType="begin"/>
        </w:r>
        <w:r w:rsidR="00D3339D">
          <w:instrText>PAGE   \* MERGEFORMAT</w:instrText>
        </w:r>
        <w:r>
          <w:fldChar w:fldCharType="separate"/>
        </w:r>
        <w:r w:rsidR="005E5297" w:rsidRPr="005E5297">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867" w:rsidRDefault="00404867">
      <w:r>
        <w:separator/>
      </w:r>
    </w:p>
  </w:footnote>
  <w:footnote w:type="continuationSeparator" w:id="1">
    <w:p w:rsidR="00404867" w:rsidRDefault="004048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1FDE" w:rsidRDefault="00D3339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CD1FDE" w:rsidRDefault="00D3339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formatting="1" w:enforcement="1" w:cryptProviderType="rsaAES" w:cryptAlgorithmClass="hash" w:cryptAlgorithmType="typeAny" w:cryptAlgorithmSid="14" w:cryptSpinCount="100000" w:hash="Y1Qn2qdAY0Kt5VdW1Zx5IEo2I0l3TgM1HcJfb9ha+xvwpVqpp07ygDV7t/LFFJjrroTuO86N16n+&#10;1R4zqI9TSQ==" w:salt="hpUXaCKrjW1H/dhSZVjT1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1A8F"/>
    <w:rsid w:val="001D2168"/>
    <w:rsid w:val="001D5BB4"/>
    <w:rsid w:val="001E6B70"/>
    <w:rsid w:val="00217DEF"/>
    <w:rsid w:val="00263CF4"/>
    <w:rsid w:val="002818BE"/>
    <w:rsid w:val="002832E4"/>
    <w:rsid w:val="002A703E"/>
    <w:rsid w:val="002B4433"/>
    <w:rsid w:val="002C5DA4"/>
    <w:rsid w:val="002E77B9"/>
    <w:rsid w:val="00335DAF"/>
    <w:rsid w:val="003722B7"/>
    <w:rsid w:val="00384C9E"/>
    <w:rsid w:val="003A4AD9"/>
    <w:rsid w:val="003B2D02"/>
    <w:rsid w:val="003B7AAC"/>
    <w:rsid w:val="003C40B4"/>
    <w:rsid w:val="003C713B"/>
    <w:rsid w:val="003D3782"/>
    <w:rsid w:val="003E41BC"/>
    <w:rsid w:val="003F4EEF"/>
    <w:rsid w:val="00404867"/>
    <w:rsid w:val="00415D95"/>
    <w:rsid w:val="004229BF"/>
    <w:rsid w:val="00481E6B"/>
    <w:rsid w:val="00492856"/>
    <w:rsid w:val="00494F0E"/>
    <w:rsid w:val="004B5B82"/>
    <w:rsid w:val="004B6B60"/>
    <w:rsid w:val="004F6F56"/>
    <w:rsid w:val="005120A6"/>
    <w:rsid w:val="00515D76"/>
    <w:rsid w:val="005306E2"/>
    <w:rsid w:val="005650D6"/>
    <w:rsid w:val="005A04CB"/>
    <w:rsid w:val="005B4E69"/>
    <w:rsid w:val="005E2213"/>
    <w:rsid w:val="005E5297"/>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92450"/>
    <w:rsid w:val="008D2C2D"/>
    <w:rsid w:val="009025C3"/>
    <w:rsid w:val="00906189"/>
    <w:rsid w:val="009C2479"/>
    <w:rsid w:val="009C579B"/>
    <w:rsid w:val="009D2ED5"/>
    <w:rsid w:val="009E7CCC"/>
    <w:rsid w:val="00A30B69"/>
    <w:rsid w:val="00A3186E"/>
    <w:rsid w:val="00A452A6"/>
    <w:rsid w:val="00A47BD1"/>
    <w:rsid w:val="00A90F0B"/>
    <w:rsid w:val="00A972D5"/>
    <w:rsid w:val="00AA2731"/>
    <w:rsid w:val="00AA444A"/>
    <w:rsid w:val="00AC6C55"/>
    <w:rsid w:val="00AE7071"/>
    <w:rsid w:val="00B217E8"/>
    <w:rsid w:val="00B34214"/>
    <w:rsid w:val="00B532B9"/>
    <w:rsid w:val="00B5634B"/>
    <w:rsid w:val="00B61C33"/>
    <w:rsid w:val="00BE7F00"/>
    <w:rsid w:val="00C46710"/>
    <w:rsid w:val="00C51D9E"/>
    <w:rsid w:val="00C83C7A"/>
    <w:rsid w:val="00CD165E"/>
    <w:rsid w:val="00CD1FDE"/>
    <w:rsid w:val="00D3152C"/>
    <w:rsid w:val="00D3339D"/>
    <w:rsid w:val="00D35F82"/>
    <w:rsid w:val="00D82CA8"/>
    <w:rsid w:val="00DA4E9C"/>
    <w:rsid w:val="00DB6D12"/>
    <w:rsid w:val="00DD6860"/>
    <w:rsid w:val="00DE530A"/>
    <w:rsid w:val="00DE7050"/>
    <w:rsid w:val="00E134AE"/>
    <w:rsid w:val="00E145A0"/>
    <w:rsid w:val="00E36CAB"/>
    <w:rsid w:val="00E42B48"/>
    <w:rsid w:val="00E500BC"/>
    <w:rsid w:val="00E50B88"/>
    <w:rsid w:val="00E53633"/>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2ED75C91"/>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2D5"/>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A972D5"/>
    <w:pPr>
      <w:jc w:val="left"/>
    </w:pPr>
  </w:style>
  <w:style w:type="paragraph" w:styleId="a4">
    <w:name w:val="Balloon Text"/>
    <w:basedOn w:val="a"/>
    <w:link w:val="Char0"/>
    <w:uiPriority w:val="99"/>
    <w:semiHidden/>
    <w:unhideWhenUsed/>
    <w:qFormat/>
    <w:rsid w:val="00A972D5"/>
    <w:rPr>
      <w:sz w:val="18"/>
      <w:szCs w:val="18"/>
    </w:rPr>
  </w:style>
  <w:style w:type="paragraph" w:styleId="a5">
    <w:name w:val="footer"/>
    <w:basedOn w:val="a"/>
    <w:link w:val="Char1"/>
    <w:uiPriority w:val="99"/>
    <w:unhideWhenUsed/>
    <w:rsid w:val="00A972D5"/>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A972D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A972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rsid w:val="00A972D5"/>
    <w:rPr>
      <w:b/>
      <w:bCs/>
    </w:rPr>
  </w:style>
  <w:style w:type="table" w:styleId="a8">
    <w:name w:val="Table Grid"/>
    <w:basedOn w:val="a1"/>
    <w:qFormat/>
    <w:rsid w:val="00A972D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A972D5"/>
    <w:rPr>
      <w:color w:val="0563C1" w:themeColor="hyperlink"/>
      <w:u w:val="single"/>
    </w:rPr>
  </w:style>
  <w:style w:type="character" w:styleId="aa">
    <w:name w:val="annotation reference"/>
    <w:basedOn w:val="a0"/>
    <w:unhideWhenUsed/>
    <w:qFormat/>
    <w:rsid w:val="00A972D5"/>
    <w:rPr>
      <w:sz w:val="21"/>
      <w:szCs w:val="21"/>
    </w:rPr>
  </w:style>
  <w:style w:type="character" w:customStyle="1" w:styleId="Char2">
    <w:name w:val="页眉 Char"/>
    <w:basedOn w:val="a0"/>
    <w:link w:val="a6"/>
    <w:uiPriority w:val="99"/>
    <w:qFormat/>
    <w:rsid w:val="00A972D5"/>
    <w:rPr>
      <w:sz w:val="18"/>
      <w:szCs w:val="18"/>
    </w:rPr>
  </w:style>
  <w:style w:type="character" w:customStyle="1" w:styleId="Char1">
    <w:name w:val="页脚 Char"/>
    <w:basedOn w:val="a0"/>
    <w:link w:val="a5"/>
    <w:uiPriority w:val="99"/>
    <w:rsid w:val="00A972D5"/>
    <w:rPr>
      <w:sz w:val="18"/>
      <w:szCs w:val="18"/>
    </w:rPr>
  </w:style>
  <w:style w:type="paragraph" w:customStyle="1" w:styleId="Default">
    <w:name w:val="Default"/>
    <w:qFormat/>
    <w:rsid w:val="00A972D5"/>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qFormat/>
    <w:rsid w:val="00A972D5"/>
    <w:rPr>
      <w:rFonts w:ascii="Calibri" w:eastAsia="宋体" w:hAnsi="Calibri" w:cs="宋体"/>
    </w:rPr>
  </w:style>
  <w:style w:type="character" w:customStyle="1" w:styleId="Char3">
    <w:name w:val="批注主题 Char"/>
    <w:basedOn w:val="Char"/>
    <w:link w:val="a7"/>
    <w:uiPriority w:val="99"/>
    <w:semiHidden/>
    <w:qFormat/>
    <w:rsid w:val="00A972D5"/>
    <w:rPr>
      <w:rFonts w:ascii="Calibri" w:eastAsia="宋体" w:hAnsi="Calibri" w:cs="宋体"/>
      <w:b/>
      <w:bCs/>
    </w:rPr>
  </w:style>
  <w:style w:type="character" w:customStyle="1" w:styleId="Char0">
    <w:name w:val="批注框文本 Char"/>
    <w:basedOn w:val="a0"/>
    <w:link w:val="a4"/>
    <w:uiPriority w:val="99"/>
    <w:semiHidden/>
    <w:qFormat/>
    <w:rsid w:val="00A972D5"/>
    <w:rPr>
      <w:rFonts w:ascii="Calibri" w:eastAsia="宋体" w:hAnsi="Calibri" w:cs="宋体"/>
      <w:sz w:val="18"/>
      <w:szCs w:val="18"/>
    </w:rPr>
  </w:style>
  <w:style w:type="paragraph" w:styleId="ab">
    <w:name w:val="List Paragraph"/>
    <w:basedOn w:val="a"/>
    <w:uiPriority w:val="34"/>
    <w:qFormat/>
    <w:rsid w:val="00A972D5"/>
    <w:pPr>
      <w:ind w:firstLineChars="200" w:firstLine="420"/>
    </w:pPr>
  </w:style>
  <w:style w:type="character" w:customStyle="1" w:styleId="HTMLChar">
    <w:name w:val="HTML 预设格式 Char"/>
    <w:basedOn w:val="a0"/>
    <w:link w:val="HTML"/>
    <w:uiPriority w:val="99"/>
    <w:qFormat/>
    <w:rsid w:val="00A972D5"/>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16D54-CF3F-4C6D-B82C-D5A693982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4176</Words>
  <Characters>262</Characters>
  <Application>Microsoft Office Word</Application>
  <DocSecurity>8</DocSecurity>
  <Lines>2</Lines>
  <Paragraphs>8</Paragraphs>
  <ScaleCrop>false</ScaleCrop>
  <Company>神州网信技术有限公司</Company>
  <LinksUpToDate>false</LinksUpToDate>
  <CharactersWithSpaces>4430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7</cp:revision>
  <dcterms:created xsi:type="dcterms:W3CDTF">2023-11-01T01:21:00Z</dcterms:created>
  <dcterms:modified xsi:type="dcterms:W3CDTF">2024-12-31T08:54:00Z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DCAA966F15694DFBAAE5A22BB81990CC</vt:lpwstr>
  </property>
</Properties>
</file>