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4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1800"/>
        <w:gridCol w:w="200"/>
        <w:gridCol w:w="2600"/>
        <w:gridCol w:w="600"/>
        <w:gridCol w:w="440"/>
        <w:gridCol w:w="1560"/>
        <w:gridCol w:w="2000"/>
        <w:gridCol w:w="2000"/>
        <w:gridCol w:w="40"/>
        <w:gridCol w:w="760"/>
        <w:gridCol w:w="1000"/>
      </w:tblGrid>
      <w:tr w:rsidR="00F60D4E" w:rsidRPr="002F038C" w:rsidTr="0083109F">
        <w:trPr>
          <w:trHeight w:hRule="exact" w:val="1800"/>
        </w:trPr>
        <w:tc>
          <w:tcPr>
            <w:tcW w:w="13840" w:type="dxa"/>
            <w:gridSpan w:val="13"/>
            <w:shd w:val="clear" w:color="auto" w:fill="FF333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4000"/>
              <w:gridCol w:w="1200"/>
              <w:gridCol w:w="7400"/>
              <w:gridCol w:w="1400"/>
            </w:tblGrid>
            <w:tr w:rsidR="00F60D4E" w:rsidRPr="002F038C">
              <w:trPr>
                <w:trHeight w:hRule="exact" w:val="400"/>
              </w:trPr>
              <w:tc>
                <w:tcPr>
                  <w:tcW w:w="6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  <w:bookmarkStart w:id="0" w:name="JR_PAGE_ANCHOR_0_1"/>
                  <w:bookmarkStart w:id="1" w:name="_GoBack"/>
                  <w:bookmarkEnd w:id="0"/>
                  <w:bookmarkEnd w:id="1"/>
                </w:p>
              </w:tc>
              <w:tc>
                <w:tcPr>
                  <w:tcW w:w="40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12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74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14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F60D4E" w:rsidRPr="002F038C">
              <w:trPr>
                <w:trHeight w:hRule="exact" w:val="400"/>
              </w:trPr>
              <w:tc>
                <w:tcPr>
                  <w:tcW w:w="6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4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60D4E" w:rsidRPr="002F038C" w:rsidRDefault="000E7CB5">
                  <w:pPr>
                    <w:jc w:val="left"/>
                    <w:rPr>
                      <w:rFonts w:asciiTheme="minorEastAsia" w:hAnsiTheme="minorEastAsia"/>
                    </w:rPr>
                  </w:pPr>
                  <w:r w:rsidRPr="002F038C">
                    <w:rPr>
                      <w:rFonts w:asciiTheme="minorEastAsia" w:hAnsiTheme="minorEastAsia"/>
                      <w:noProof/>
                    </w:rPr>
                    <w:drawing>
                      <wp:inline distT="0" distB="0" distL="0" distR="0" wp14:anchorId="43DCD165" wp14:editId="0959DCA5">
                        <wp:extent cx="2311400" cy="635000"/>
                        <wp:effectExtent l="0" t="0" r="0" b="0"/>
                        <wp:docPr id="90153431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1534313" name="Picture"/>
                                <pic:cNvPicPr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74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14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F60D4E" w:rsidRPr="002F038C">
              <w:trPr>
                <w:trHeight w:hRule="exact" w:val="600"/>
              </w:trPr>
              <w:tc>
                <w:tcPr>
                  <w:tcW w:w="6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4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12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7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60D4E" w:rsidRPr="002F038C" w:rsidRDefault="007E34AB">
                  <w:pPr>
                    <w:jc w:val="center"/>
                    <w:rPr>
                      <w:rFonts w:asciiTheme="minorEastAsia" w:hAnsiTheme="minorEastAsia"/>
                    </w:rPr>
                  </w:pPr>
                  <w:r w:rsidRPr="002F038C">
                    <w:rPr>
                      <w:rFonts w:asciiTheme="minorEastAsia" w:hAnsiTheme="minorEastAsia" w:cs="微软雅黑CD" w:hint="eastAsia"/>
                      <w:b/>
                      <w:color w:val="FFFFFF"/>
                      <w:sz w:val="36"/>
                    </w:rPr>
                    <w:t>理财产品临时</w:t>
                  </w:r>
                  <w:r w:rsidRPr="002F038C">
                    <w:rPr>
                      <w:rFonts w:asciiTheme="minorEastAsia" w:hAnsiTheme="minorEastAsia" w:cs="微软雅黑CD"/>
                      <w:b/>
                      <w:color w:val="FFFFFF"/>
                      <w:sz w:val="36"/>
                    </w:rPr>
                    <w:t>公告</w:t>
                  </w:r>
                </w:p>
              </w:tc>
              <w:tc>
                <w:tcPr>
                  <w:tcW w:w="1400" w:type="dxa"/>
                </w:tcPr>
                <w:p w:rsidR="00F60D4E" w:rsidRPr="002F038C" w:rsidRDefault="00F60D4E">
                  <w:pPr>
                    <w:pStyle w:val="EMPTYCELLSTYLE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</w:tr>
      <w:tr w:rsidR="00F60D4E" w:rsidRPr="002F038C" w:rsidTr="0083109F">
        <w:trPr>
          <w:trHeight w:hRule="exact" w:val="200"/>
        </w:trPr>
        <w:tc>
          <w:tcPr>
            <w:tcW w:w="4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</w:tcPr>
          <w:p w:rsidR="00F60D4E" w:rsidRPr="002F038C" w:rsidRDefault="00F60D4E">
            <w:pPr>
              <w:pStyle w:val="EMPTYCELLSTYLE"/>
              <w:rPr>
                <w:rFonts w:asciiTheme="minorEastAsia" w:eastAsiaTheme="minorEastAsia" w:hAnsiTheme="minorEastAsia"/>
              </w:rPr>
            </w:pPr>
          </w:p>
        </w:tc>
      </w:tr>
    </w:tbl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Theme="minorEastAsia" w:eastAsiaTheme="minorEastAsia" w:hAnsiTheme="minorEastAsia" w:cs="黑体"/>
          <w:sz w:val="32"/>
          <w:szCs w:val="32"/>
        </w:rPr>
      </w:pP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Theme="minorEastAsia" w:eastAsiaTheme="minorEastAsia" w:hAnsiTheme="minorEastAsia" w:cs="黑体"/>
          <w:sz w:val="32"/>
          <w:szCs w:val="32"/>
        </w:rPr>
      </w:pPr>
    </w:p>
    <w:p w:rsidR="008648FF" w:rsidRPr="002F038C" w:rsidRDefault="009B13FA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Theme="minorEastAsia" w:eastAsiaTheme="minorEastAsia" w:hAnsiTheme="minorEastAsia" w:cs="微软雅黑CD"/>
          <w:b/>
          <w:color w:val="000000"/>
          <w:sz w:val="32"/>
          <w:szCs w:val="20"/>
        </w:rPr>
      </w:pPr>
      <w:r w:rsidRPr="009B13FA">
        <w:rPr>
          <w:rFonts w:asciiTheme="minorEastAsia" w:eastAsiaTheme="minorEastAsia" w:hAnsiTheme="minorEastAsia" w:cs="微软雅黑CD" w:hint="eastAsia"/>
          <w:b/>
          <w:color w:val="000000"/>
          <w:sz w:val="32"/>
          <w:szCs w:val="20"/>
        </w:rPr>
        <w:t>信银理财安盈象固收稳健丰收九个月持有期1号理财产品</w:t>
      </w:r>
    </w:p>
    <w:p w:rsidR="0083109F" w:rsidRPr="002F038C" w:rsidRDefault="00F97EF7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Theme="minorEastAsia" w:eastAsiaTheme="minorEastAsia" w:hAnsiTheme="minorEastAsia" w:cs="微软雅黑CD"/>
          <w:b/>
          <w:color w:val="000000"/>
          <w:sz w:val="32"/>
          <w:szCs w:val="20"/>
        </w:rPr>
      </w:pPr>
      <w:r w:rsidRPr="002F038C">
        <w:rPr>
          <w:rFonts w:asciiTheme="minorEastAsia" w:eastAsiaTheme="minorEastAsia" w:hAnsiTheme="minorEastAsia" w:cs="微软雅黑CD" w:hint="eastAsia"/>
          <w:b/>
          <w:color w:val="000000"/>
          <w:sz w:val="32"/>
          <w:szCs w:val="20"/>
        </w:rPr>
        <w:t>说明书调整</w:t>
      </w:r>
      <w:r w:rsidR="0083109F" w:rsidRPr="002F038C">
        <w:rPr>
          <w:rFonts w:asciiTheme="minorEastAsia" w:eastAsiaTheme="minorEastAsia" w:hAnsiTheme="minorEastAsia" w:cs="微软雅黑CD" w:hint="eastAsia"/>
          <w:b/>
          <w:color w:val="000000"/>
          <w:sz w:val="32"/>
          <w:szCs w:val="20"/>
        </w:rPr>
        <w:t>公告</w:t>
      </w: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jc w:val="both"/>
        <w:rPr>
          <w:rFonts w:asciiTheme="minorEastAsia" w:eastAsiaTheme="minorEastAsia" w:hAnsiTheme="minorEastAsia" w:cs="仿宋_GB2312"/>
          <w:sz w:val="28"/>
          <w:szCs w:val="28"/>
        </w:rPr>
      </w:pP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/>
        <w:jc w:val="both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尊敬的客户：</w:t>
      </w:r>
    </w:p>
    <w:p w:rsidR="009126D9" w:rsidRPr="002F038C" w:rsidRDefault="00DA741C" w:rsidP="009126D9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 w:firstLineChars="200" w:firstLine="560"/>
        <w:jc w:val="both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 w:rsidRPr="00DA741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产品成立以来，以国债收益率为代表的无风险利率持续下行，债券类资产收益率水平走低。基于当前宏观经济、市场利率水平、估值水平、组合久期、可投资债券的静态收益率、拟投资策略历史业绩等因素进行测算，扣除相关费用成本之后，</w:t>
      </w:r>
      <w:r w:rsidR="0083109F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我司决定对</w:t>
      </w:r>
      <w:r w:rsidR="009B13FA" w:rsidRPr="009B13FA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信银理财安盈象固收稳健丰收九个月持有期1号理财产品（产品代码：AF245745）</w:t>
      </w:r>
      <w:r w:rsidR="00B55DAC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业绩比较基准</w:t>
      </w:r>
      <w:r w:rsidR="009126D9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进行调整</w:t>
      </w:r>
      <w:r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。同时，调整本产品</w:t>
      </w: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文本类表述</w:t>
      </w:r>
      <w:r w:rsidR="0083109F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，</w:t>
      </w:r>
      <w:r w:rsidR="00C33E95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具体</w:t>
      </w:r>
      <w:r w:rsidR="009126D9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如下：</w:t>
      </w:r>
    </w:p>
    <w:p w:rsidR="00B55DAC" w:rsidRDefault="00EF4182" w:rsidP="00C87F50">
      <w:pPr>
        <w:pStyle w:val="p0"/>
        <w:snapToGrid w:val="0"/>
        <w:spacing w:before="0" w:beforeAutospacing="0" w:after="0" w:afterAutospacing="0" w:line="560" w:lineRule="atLeast"/>
        <w:ind w:left="1694" w:rightChars="504" w:right="1008"/>
        <w:jc w:val="both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一、</w:t>
      </w:r>
      <w:r w:rsidR="00B55DAC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产品说明书“二、产品基本要素”中的“业绩比较基准”</w:t>
      </w:r>
    </w:p>
    <w:tbl>
      <w:tblPr>
        <w:tblW w:w="4138" w:type="pct"/>
        <w:jc w:val="center"/>
        <w:tblLook w:val="04A0" w:firstRow="1" w:lastRow="0" w:firstColumn="1" w:lastColumn="0" w:noHBand="0" w:noVBand="1"/>
      </w:tblPr>
      <w:tblGrid>
        <w:gridCol w:w="1680"/>
        <w:gridCol w:w="7835"/>
      </w:tblGrid>
      <w:tr w:rsidR="00B55DAC" w:rsidRPr="002F038C" w:rsidTr="00F602CB">
        <w:trPr>
          <w:trHeight w:val="309"/>
          <w:jc w:val="center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DAC" w:rsidRPr="002F038C" w:rsidRDefault="00B55DAC" w:rsidP="00504105">
            <w:pPr>
              <w:widowControl/>
              <w:jc w:val="center"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2F038C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调整要素</w:t>
            </w:r>
          </w:p>
        </w:tc>
        <w:tc>
          <w:tcPr>
            <w:tcW w:w="4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DAC" w:rsidRPr="002F038C" w:rsidRDefault="00B55DAC" w:rsidP="00504105">
            <w:pPr>
              <w:widowControl/>
              <w:jc w:val="center"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2F038C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业绩比较基准</w:t>
            </w:r>
          </w:p>
        </w:tc>
      </w:tr>
      <w:tr w:rsidR="001D3F4B" w:rsidRPr="002F038C" w:rsidTr="00F602CB">
        <w:trPr>
          <w:trHeight w:val="710"/>
          <w:jc w:val="center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F4B" w:rsidRPr="002F038C" w:rsidRDefault="001D3F4B" w:rsidP="001D3F4B">
            <w:pPr>
              <w:widowControl/>
              <w:jc w:val="center"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2F038C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调整前</w:t>
            </w:r>
          </w:p>
        </w:tc>
        <w:tc>
          <w:tcPr>
            <w:tcW w:w="4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B类份额：【2.60%-4.00%】</w:t>
            </w: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业绩比较基准测算依据：【本理财产品为固定收益类产品，主要投向为信用债等资产，并结合一定的杠杆操作和交易策略对组合收益进行增厚，根据中信证券同策略过往表现情况，结合当前市场利率水平、组合目标久期、可投资债券的静态收益率、债券杠杆操作等因素作为测算依据，扣除相关税费成本后，综合得出产品的业绩比较基准】。</w:t>
            </w: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业绩比较基准是基于产品性质、投资策略、过往经验等因素对产品设定的投资目标，不是预期收益率，不代表产品的未来表现和实际收益，不构成对产品收益的承诺，投资须谨慎。</w:t>
            </w:r>
          </w:p>
          <w:p w:rsidR="001D3F4B" w:rsidRPr="002F038C" w:rsidRDefault="009B13FA" w:rsidP="001D3F4B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本产品收取的销售服务费可能因销售机构不同有所差异，从而导致测算的业绩比较基准有所差异，请投资者关注管理人及销售机构相关信息披露。</w:t>
            </w:r>
          </w:p>
        </w:tc>
      </w:tr>
      <w:tr w:rsidR="00B55DAC" w:rsidRPr="002F038C" w:rsidTr="00F602CB">
        <w:trPr>
          <w:trHeight w:val="693"/>
          <w:jc w:val="center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DAC" w:rsidRPr="002F038C" w:rsidRDefault="00B55DAC" w:rsidP="00504105">
            <w:pPr>
              <w:widowControl/>
              <w:jc w:val="center"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2F038C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调整后</w:t>
            </w:r>
          </w:p>
        </w:tc>
        <w:tc>
          <w:tcPr>
            <w:tcW w:w="4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B类份额：【1.60%-2.60%】</w:t>
            </w: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业绩比较基准测算依据：【本理财产品为固定收益类产品，主要投向为信用债等资产，并结合一定的杠杆操作和交易策略对组合收益进行增厚，根据中信证券同策略过往表现情况，结合当前市场利率水平、组合目标久期、可投资债券的静态收益率、债券杠杆操作等因素作为测算依据，扣除相关税费成本后，综合得出产品的业绩比较基准】。</w:t>
            </w:r>
          </w:p>
          <w:p w:rsidR="009B13FA" w:rsidRPr="009B13FA" w:rsidRDefault="009B13FA" w:rsidP="009B13FA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业绩比较基准是基于产品性质、投资策略、过往经验等因素对产品设定的投资目标，不是预期收益率，不代表产品的未来表现和实际收益，不构成对产品收益的承诺，投资须谨慎。</w:t>
            </w:r>
          </w:p>
          <w:p w:rsidR="00B55DAC" w:rsidRPr="002F038C" w:rsidRDefault="009B13FA" w:rsidP="005856F8">
            <w:pPr>
              <w:widowControl/>
              <w:rPr>
                <w:rFonts w:asciiTheme="minorEastAsia" w:hAnsiTheme="minorEastAsia" w:cs="微软雅黑CD"/>
                <w:color w:val="000000"/>
                <w:sz w:val="22"/>
                <w:szCs w:val="28"/>
              </w:rPr>
            </w:pPr>
            <w:r w:rsidRPr="009B13FA">
              <w:rPr>
                <w:rFonts w:asciiTheme="minorEastAsia" w:hAnsiTheme="minorEastAsia" w:cs="微软雅黑CD" w:hint="eastAsia"/>
                <w:color w:val="000000"/>
                <w:sz w:val="22"/>
                <w:szCs w:val="28"/>
              </w:rPr>
              <w:t>本产品收取的销售服务费可能因销售机构不同有所差异，从而导致测算的业绩比较基准有所差异，请投资者关注管理人及销售机构相关信息披露。</w:t>
            </w:r>
          </w:p>
        </w:tc>
      </w:tr>
    </w:tbl>
    <w:p w:rsidR="00DA741C" w:rsidRDefault="009B13FA" w:rsidP="00F602CB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 w:firstLineChars="200" w:firstLine="560"/>
        <w:jc w:val="both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lastRenderedPageBreak/>
        <w:t>以上调整拟于</w:t>
      </w:r>
      <w:r w:rsidRPr="002F038C">
        <w:rPr>
          <w:rFonts w:asciiTheme="minorEastAsia" w:eastAsiaTheme="minorEastAsia" w:hAnsiTheme="minorEastAsia" w:cs="微软雅黑CD"/>
          <w:color w:val="000000"/>
          <w:sz w:val="28"/>
          <w:szCs w:val="28"/>
        </w:rPr>
        <w:t>202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5</w:t>
      </w: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年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2</w:t>
      </w: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月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21</w:t>
      </w: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日生效。</w:t>
      </w:r>
      <w:r w:rsidR="00B55DAC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根据原说明书约定，管理人有权根据法律法规要求、市场情况在每个开放日调整当期业绩比较基准，并在每个开放日前【</w:t>
      </w:r>
      <w:r w:rsidR="00B55DAC" w:rsidRPr="002F038C">
        <w:rPr>
          <w:rFonts w:asciiTheme="minorEastAsia" w:eastAsiaTheme="minorEastAsia" w:hAnsiTheme="minorEastAsia" w:cs="微软雅黑CD"/>
          <w:color w:val="000000"/>
          <w:sz w:val="28"/>
          <w:szCs w:val="28"/>
        </w:rPr>
        <w:t>2】个工作日以符合监管规定要求的方式向投资者披露，投资者不接受的，可于最近一个开放日赎回理财产品。</w:t>
      </w:r>
    </w:p>
    <w:p w:rsidR="0083109F" w:rsidRPr="002F038C" w:rsidRDefault="0083109F" w:rsidP="00F602CB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 w:firstLineChars="200" w:firstLine="560"/>
        <w:jc w:val="both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感谢您一直以来对信银理财有限责任公司的信赖与支持！敬请继续关注信银理财正在热销的理财产品。</w:t>
      </w: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rPr>
          <w:rFonts w:asciiTheme="minorEastAsia" w:eastAsiaTheme="minorEastAsia" w:hAnsiTheme="minorEastAsia" w:cs="仿宋_GB2312"/>
          <w:sz w:val="28"/>
          <w:szCs w:val="28"/>
        </w:rPr>
      </w:pPr>
      <w:r w:rsidRPr="002F038C">
        <w:rPr>
          <w:rFonts w:asciiTheme="minorEastAsia" w:eastAsiaTheme="minorEastAsia" w:hAnsiTheme="minorEastAsia" w:cs="仿宋_GB2312"/>
          <w:sz w:val="28"/>
          <w:szCs w:val="28"/>
        </w:rPr>
        <w:t xml:space="preserve">     </w:t>
      </w: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ind w:firstLine="560"/>
        <w:rPr>
          <w:rFonts w:asciiTheme="minorEastAsia" w:eastAsiaTheme="minorEastAsia" w:hAnsiTheme="minorEastAsia" w:cs="Times New Roman"/>
          <w:sz w:val="28"/>
          <w:szCs w:val="28"/>
        </w:rPr>
      </w:pPr>
    </w:p>
    <w:p w:rsidR="0083109F" w:rsidRPr="002F038C" w:rsidRDefault="0083109F" w:rsidP="0083109F">
      <w:pPr>
        <w:pStyle w:val="p0"/>
        <w:snapToGrid w:val="0"/>
        <w:spacing w:before="0" w:beforeAutospacing="0" w:after="0" w:afterAutospacing="0" w:line="560" w:lineRule="atLeast"/>
        <w:ind w:right="1009"/>
        <w:jc w:val="right"/>
        <w:rPr>
          <w:rFonts w:asciiTheme="minorEastAsia" w:eastAsiaTheme="minorEastAsia" w:hAnsiTheme="minorEastAsia" w:cs="微软雅黑CD"/>
          <w:color w:val="000000"/>
          <w:sz w:val="28"/>
          <w:szCs w:val="28"/>
        </w:rPr>
      </w:pPr>
      <w:r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信银理财有限责任公司</w:t>
      </w:r>
    </w:p>
    <w:p w:rsidR="000E7CB5" w:rsidRPr="002F038C" w:rsidRDefault="009B13FA" w:rsidP="009D26B3">
      <w:pPr>
        <w:pStyle w:val="a5"/>
        <w:shd w:val="clear" w:color="auto" w:fill="FFFFFF"/>
        <w:spacing w:before="0" w:beforeAutospacing="0" w:after="0" w:afterAutospacing="0" w:line="560" w:lineRule="atLeast"/>
        <w:ind w:right="1009"/>
        <w:jc w:val="right"/>
        <w:rPr>
          <w:rFonts w:asciiTheme="minorEastAsia" w:eastAsiaTheme="minorEastAsia" w:hAnsiTheme="minorEastAsia"/>
        </w:rPr>
      </w:pPr>
      <w:r w:rsidRPr="002F038C">
        <w:rPr>
          <w:rFonts w:asciiTheme="minorEastAsia" w:eastAsiaTheme="minorEastAsia" w:hAnsiTheme="minorEastAsia" w:cs="微软雅黑CD"/>
          <w:color w:val="000000"/>
          <w:sz w:val="28"/>
          <w:szCs w:val="28"/>
        </w:rPr>
        <w:t>202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5</w:t>
      </w:r>
      <w:r w:rsidR="001D3F4B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年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2</w:t>
      </w:r>
      <w:r w:rsidR="0083109F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月</w:t>
      </w:r>
      <w:r w:rsidRPr="002F038C">
        <w:rPr>
          <w:rFonts w:asciiTheme="minorEastAsia" w:eastAsiaTheme="minorEastAsia" w:hAnsiTheme="minorEastAsia" w:cs="微软雅黑CD"/>
          <w:color w:val="000000"/>
          <w:sz w:val="28"/>
          <w:szCs w:val="28"/>
        </w:rPr>
        <w:t>1</w:t>
      </w:r>
      <w:r>
        <w:rPr>
          <w:rFonts w:asciiTheme="minorEastAsia" w:eastAsiaTheme="minorEastAsia" w:hAnsiTheme="minorEastAsia" w:cs="微软雅黑CD"/>
          <w:color w:val="000000"/>
          <w:sz w:val="28"/>
          <w:szCs w:val="28"/>
        </w:rPr>
        <w:t>9</w:t>
      </w:r>
      <w:r w:rsidR="0083109F" w:rsidRPr="002F038C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日</w:t>
      </w:r>
    </w:p>
    <w:sectPr w:rsidR="000E7CB5" w:rsidRPr="002F038C" w:rsidSect="00C87F50">
      <w:pgSz w:w="11907" w:h="16839" w:code="9"/>
      <w:pgMar w:top="0" w:right="400" w:bottom="4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91B" w:rsidRDefault="0048091B" w:rsidP="00450B4F">
      <w:r>
        <w:separator/>
      </w:r>
    </w:p>
  </w:endnote>
  <w:endnote w:type="continuationSeparator" w:id="0">
    <w:p w:rsidR="0048091B" w:rsidRDefault="0048091B" w:rsidP="0045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CD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91B" w:rsidRDefault="0048091B" w:rsidP="00450B4F">
      <w:r>
        <w:separator/>
      </w:r>
    </w:p>
  </w:footnote>
  <w:footnote w:type="continuationSeparator" w:id="0">
    <w:p w:rsidR="0048091B" w:rsidRDefault="0048091B" w:rsidP="0045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58F9"/>
    <w:multiLevelType w:val="hybridMultilevel"/>
    <w:tmpl w:val="3D0C3E70"/>
    <w:lvl w:ilvl="0" w:tplc="D5D60698">
      <w:start w:val="1"/>
      <w:numFmt w:val="japaneseCounting"/>
      <w:lvlText w:val="%1、"/>
      <w:lvlJc w:val="left"/>
      <w:pPr>
        <w:ind w:left="241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534" w:hanging="420"/>
      </w:pPr>
    </w:lvl>
    <w:lvl w:ilvl="2" w:tplc="0409001B" w:tentative="1">
      <w:start w:val="1"/>
      <w:numFmt w:val="lowerRoman"/>
      <w:lvlText w:val="%3."/>
      <w:lvlJc w:val="right"/>
      <w:pPr>
        <w:ind w:left="2954" w:hanging="420"/>
      </w:pPr>
    </w:lvl>
    <w:lvl w:ilvl="3" w:tplc="0409000F" w:tentative="1">
      <w:start w:val="1"/>
      <w:numFmt w:val="decimal"/>
      <w:lvlText w:val="%4."/>
      <w:lvlJc w:val="left"/>
      <w:pPr>
        <w:ind w:left="3374" w:hanging="420"/>
      </w:pPr>
    </w:lvl>
    <w:lvl w:ilvl="4" w:tplc="04090019" w:tentative="1">
      <w:start w:val="1"/>
      <w:numFmt w:val="lowerLetter"/>
      <w:lvlText w:val="%5)"/>
      <w:lvlJc w:val="left"/>
      <w:pPr>
        <w:ind w:left="3794" w:hanging="420"/>
      </w:pPr>
    </w:lvl>
    <w:lvl w:ilvl="5" w:tplc="0409001B" w:tentative="1">
      <w:start w:val="1"/>
      <w:numFmt w:val="lowerRoman"/>
      <w:lvlText w:val="%6."/>
      <w:lvlJc w:val="right"/>
      <w:pPr>
        <w:ind w:left="4214" w:hanging="420"/>
      </w:pPr>
    </w:lvl>
    <w:lvl w:ilvl="6" w:tplc="0409000F" w:tentative="1">
      <w:start w:val="1"/>
      <w:numFmt w:val="decimal"/>
      <w:lvlText w:val="%7."/>
      <w:lvlJc w:val="left"/>
      <w:pPr>
        <w:ind w:left="4634" w:hanging="420"/>
      </w:pPr>
    </w:lvl>
    <w:lvl w:ilvl="7" w:tplc="04090019" w:tentative="1">
      <w:start w:val="1"/>
      <w:numFmt w:val="lowerLetter"/>
      <w:lvlText w:val="%8)"/>
      <w:lvlJc w:val="left"/>
      <w:pPr>
        <w:ind w:left="5054" w:hanging="420"/>
      </w:pPr>
    </w:lvl>
    <w:lvl w:ilvl="8" w:tplc="0409001B" w:tentative="1">
      <w:start w:val="1"/>
      <w:numFmt w:val="lowerRoman"/>
      <w:lvlText w:val="%9."/>
      <w:lvlJc w:val="right"/>
      <w:pPr>
        <w:ind w:left="5474" w:hanging="420"/>
      </w:pPr>
    </w:lvl>
  </w:abstractNum>
  <w:abstractNum w:abstractNumId="1">
    <w:nsid w:val="606977F7"/>
    <w:multiLevelType w:val="hybridMultilevel"/>
    <w:tmpl w:val="439C26C8"/>
    <w:lvl w:ilvl="0" w:tplc="CAF84026">
      <w:start w:val="1"/>
      <w:numFmt w:val="japaneseCounting"/>
      <w:lvlText w:val="%1、"/>
      <w:lvlJc w:val="left"/>
      <w:pPr>
        <w:ind w:left="241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34" w:hanging="420"/>
      </w:pPr>
    </w:lvl>
    <w:lvl w:ilvl="2" w:tplc="0409001B" w:tentative="1">
      <w:start w:val="1"/>
      <w:numFmt w:val="lowerRoman"/>
      <w:lvlText w:val="%3."/>
      <w:lvlJc w:val="right"/>
      <w:pPr>
        <w:ind w:left="2954" w:hanging="420"/>
      </w:pPr>
    </w:lvl>
    <w:lvl w:ilvl="3" w:tplc="0409000F" w:tentative="1">
      <w:start w:val="1"/>
      <w:numFmt w:val="decimal"/>
      <w:lvlText w:val="%4."/>
      <w:lvlJc w:val="left"/>
      <w:pPr>
        <w:ind w:left="3374" w:hanging="420"/>
      </w:pPr>
    </w:lvl>
    <w:lvl w:ilvl="4" w:tplc="04090019" w:tentative="1">
      <w:start w:val="1"/>
      <w:numFmt w:val="lowerLetter"/>
      <w:lvlText w:val="%5)"/>
      <w:lvlJc w:val="left"/>
      <w:pPr>
        <w:ind w:left="3794" w:hanging="420"/>
      </w:pPr>
    </w:lvl>
    <w:lvl w:ilvl="5" w:tplc="0409001B" w:tentative="1">
      <w:start w:val="1"/>
      <w:numFmt w:val="lowerRoman"/>
      <w:lvlText w:val="%6."/>
      <w:lvlJc w:val="right"/>
      <w:pPr>
        <w:ind w:left="4214" w:hanging="420"/>
      </w:pPr>
    </w:lvl>
    <w:lvl w:ilvl="6" w:tplc="0409000F" w:tentative="1">
      <w:start w:val="1"/>
      <w:numFmt w:val="decimal"/>
      <w:lvlText w:val="%7."/>
      <w:lvlJc w:val="left"/>
      <w:pPr>
        <w:ind w:left="4634" w:hanging="420"/>
      </w:pPr>
    </w:lvl>
    <w:lvl w:ilvl="7" w:tplc="04090019" w:tentative="1">
      <w:start w:val="1"/>
      <w:numFmt w:val="lowerLetter"/>
      <w:lvlText w:val="%8)"/>
      <w:lvlJc w:val="left"/>
      <w:pPr>
        <w:ind w:left="5054" w:hanging="420"/>
      </w:pPr>
    </w:lvl>
    <w:lvl w:ilvl="8" w:tplc="0409001B" w:tentative="1">
      <w:start w:val="1"/>
      <w:numFmt w:val="lowerRoman"/>
      <w:lvlText w:val="%9."/>
      <w:lvlJc w:val="right"/>
      <w:pPr>
        <w:ind w:left="547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4E"/>
    <w:rsid w:val="00020B70"/>
    <w:rsid w:val="0003063D"/>
    <w:rsid w:val="00031708"/>
    <w:rsid w:val="000442A5"/>
    <w:rsid w:val="00063219"/>
    <w:rsid w:val="000706A0"/>
    <w:rsid w:val="00071AAC"/>
    <w:rsid w:val="000738DC"/>
    <w:rsid w:val="000B1D43"/>
    <w:rsid w:val="000B79F8"/>
    <w:rsid w:val="000D1BAC"/>
    <w:rsid w:val="000E7CB5"/>
    <w:rsid w:val="00112CDE"/>
    <w:rsid w:val="00116CD0"/>
    <w:rsid w:val="001212F8"/>
    <w:rsid w:val="00135578"/>
    <w:rsid w:val="00144A60"/>
    <w:rsid w:val="00153221"/>
    <w:rsid w:val="00164915"/>
    <w:rsid w:val="001813A3"/>
    <w:rsid w:val="00184BCD"/>
    <w:rsid w:val="001C3EBD"/>
    <w:rsid w:val="001C41C0"/>
    <w:rsid w:val="001D3F4B"/>
    <w:rsid w:val="001F3BC4"/>
    <w:rsid w:val="001F3CBD"/>
    <w:rsid w:val="001F3CED"/>
    <w:rsid w:val="00207341"/>
    <w:rsid w:val="002436A5"/>
    <w:rsid w:val="00260A4F"/>
    <w:rsid w:val="0027150B"/>
    <w:rsid w:val="002738D9"/>
    <w:rsid w:val="002925C5"/>
    <w:rsid w:val="00294C61"/>
    <w:rsid w:val="002B1960"/>
    <w:rsid w:val="002D4CA0"/>
    <w:rsid w:val="002D6ED3"/>
    <w:rsid w:val="002E3FE0"/>
    <w:rsid w:val="002F038C"/>
    <w:rsid w:val="0030781C"/>
    <w:rsid w:val="00310D8B"/>
    <w:rsid w:val="00317D47"/>
    <w:rsid w:val="00395A48"/>
    <w:rsid w:val="003A3DD0"/>
    <w:rsid w:val="003A6E5C"/>
    <w:rsid w:val="003B50AF"/>
    <w:rsid w:val="003C1261"/>
    <w:rsid w:val="003C15FE"/>
    <w:rsid w:val="003D039E"/>
    <w:rsid w:val="00400E20"/>
    <w:rsid w:val="0041612C"/>
    <w:rsid w:val="004370B8"/>
    <w:rsid w:val="00450B4F"/>
    <w:rsid w:val="00451BCB"/>
    <w:rsid w:val="00465081"/>
    <w:rsid w:val="0048091B"/>
    <w:rsid w:val="00492CB7"/>
    <w:rsid w:val="004A0608"/>
    <w:rsid w:val="004A0B60"/>
    <w:rsid w:val="004B17DD"/>
    <w:rsid w:val="004D2616"/>
    <w:rsid w:val="004D5A71"/>
    <w:rsid w:val="004E09AC"/>
    <w:rsid w:val="004F6035"/>
    <w:rsid w:val="00504CCE"/>
    <w:rsid w:val="005166BA"/>
    <w:rsid w:val="00574DE5"/>
    <w:rsid w:val="005856F8"/>
    <w:rsid w:val="005A5D79"/>
    <w:rsid w:val="005B64FF"/>
    <w:rsid w:val="005D2732"/>
    <w:rsid w:val="005D34F2"/>
    <w:rsid w:val="005D4E7F"/>
    <w:rsid w:val="005E54FA"/>
    <w:rsid w:val="00602E06"/>
    <w:rsid w:val="00613FAD"/>
    <w:rsid w:val="00616983"/>
    <w:rsid w:val="00617492"/>
    <w:rsid w:val="0064633E"/>
    <w:rsid w:val="00651865"/>
    <w:rsid w:val="0065364D"/>
    <w:rsid w:val="00657D28"/>
    <w:rsid w:val="006745E4"/>
    <w:rsid w:val="00687243"/>
    <w:rsid w:val="00696BFD"/>
    <w:rsid w:val="006A77B8"/>
    <w:rsid w:val="006D5AEA"/>
    <w:rsid w:val="006E301D"/>
    <w:rsid w:val="006F3A47"/>
    <w:rsid w:val="006F5641"/>
    <w:rsid w:val="00715BFE"/>
    <w:rsid w:val="007175C6"/>
    <w:rsid w:val="007178E9"/>
    <w:rsid w:val="00725F42"/>
    <w:rsid w:val="00731E43"/>
    <w:rsid w:val="00731E5C"/>
    <w:rsid w:val="00733F8A"/>
    <w:rsid w:val="00737CAC"/>
    <w:rsid w:val="00750172"/>
    <w:rsid w:val="00750530"/>
    <w:rsid w:val="00753DFC"/>
    <w:rsid w:val="00754974"/>
    <w:rsid w:val="00777925"/>
    <w:rsid w:val="007809B1"/>
    <w:rsid w:val="0078469F"/>
    <w:rsid w:val="00785F03"/>
    <w:rsid w:val="00794ACE"/>
    <w:rsid w:val="007C42E2"/>
    <w:rsid w:val="007C7C73"/>
    <w:rsid w:val="007D0A7D"/>
    <w:rsid w:val="007E08C8"/>
    <w:rsid w:val="007E34AB"/>
    <w:rsid w:val="007E4264"/>
    <w:rsid w:val="0081347F"/>
    <w:rsid w:val="00827C22"/>
    <w:rsid w:val="0083109F"/>
    <w:rsid w:val="0084665C"/>
    <w:rsid w:val="008648FF"/>
    <w:rsid w:val="00876544"/>
    <w:rsid w:val="008A64F4"/>
    <w:rsid w:val="008B67DF"/>
    <w:rsid w:val="008B741C"/>
    <w:rsid w:val="008C50C8"/>
    <w:rsid w:val="008C66DE"/>
    <w:rsid w:val="008C6895"/>
    <w:rsid w:val="00905DC4"/>
    <w:rsid w:val="009070AA"/>
    <w:rsid w:val="0091133B"/>
    <w:rsid w:val="009126D9"/>
    <w:rsid w:val="00912A4C"/>
    <w:rsid w:val="00912EB4"/>
    <w:rsid w:val="00913332"/>
    <w:rsid w:val="00940202"/>
    <w:rsid w:val="009426B0"/>
    <w:rsid w:val="009506FF"/>
    <w:rsid w:val="00973119"/>
    <w:rsid w:val="009910B0"/>
    <w:rsid w:val="009B13FA"/>
    <w:rsid w:val="009B2959"/>
    <w:rsid w:val="009C188C"/>
    <w:rsid w:val="009C1EE5"/>
    <w:rsid w:val="009C2870"/>
    <w:rsid w:val="009C4192"/>
    <w:rsid w:val="009D0BE1"/>
    <w:rsid w:val="009D26B3"/>
    <w:rsid w:val="009D6D5D"/>
    <w:rsid w:val="009E586B"/>
    <w:rsid w:val="009F26F4"/>
    <w:rsid w:val="00A017A3"/>
    <w:rsid w:val="00A26689"/>
    <w:rsid w:val="00A3213C"/>
    <w:rsid w:val="00A41602"/>
    <w:rsid w:val="00A70448"/>
    <w:rsid w:val="00AC4C31"/>
    <w:rsid w:val="00AD3CEF"/>
    <w:rsid w:val="00AE3D2D"/>
    <w:rsid w:val="00AF198C"/>
    <w:rsid w:val="00AF695F"/>
    <w:rsid w:val="00B00794"/>
    <w:rsid w:val="00B04466"/>
    <w:rsid w:val="00B214AE"/>
    <w:rsid w:val="00B55DAC"/>
    <w:rsid w:val="00B575FC"/>
    <w:rsid w:val="00B66B49"/>
    <w:rsid w:val="00B9469B"/>
    <w:rsid w:val="00BC0342"/>
    <w:rsid w:val="00BC63A2"/>
    <w:rsid w:val="00BC757B"/>
    <w:rsid w:val="00C11ECE"/>
    <w:rsid w:val="00C223D5"/>
    <w:rsid w:val="00C240BE"/>
    <w:rsid w:val="00C274E0"/>
    <w:rsid w:val="00C30B5F"/>
    <w:rsid w:val="00C33E95"/>
    <w:rsid w:val="00C45DFF"/>
    <w:rsid w:val="00C477AC"/>
    <w:rsid w:val="00C73777"/>
    <w:rsid w:val="00C80707"/>
    <w:rsid w:val="00C87F50"/>
    <w:rsid w:val="00C94D4C"/>
    <w:rsid w:val="00CC6E54"/>
    <w:rsid w:val="00CD35ED"/>
    <w:rsid w:val="00CF1B80"/>
    <w:rsid w:val="00CF3ED9"/>
    <w:rsid w:val="00D05147"/>
    <w:rsid w:val="00D170F6"/>
    <w:rsid w:val="00D30D60"/>
    <w:rsid w:val="00D33753"/>
    <w:rsid w:val="00D40F84"/>
    <w:rsid w:val="00D53A9F"/>
    <w:rsid w:val="00D7235E"/>
    <w:rsid w:val="00D91ACE"/>
    <w:rsid w:val="00D95D7D"/>
    <w:rsid w:val="00DA741C"/>
    <w:rsid w:val="00DB79EC"/>
    <w:rsid w:val="00DC1D0C"/>
    <w:rsid w:val="00DE614D"/>
    <w:rsid w:val="00DE7A76"/>
    <w:rsid w:val="00E17E7E"/>
    <w:rsid w:val="00E303B0"/>
    <w:rsid w:val="00E345FA"/>
    <w:rsid w:val="00E63C2B"/>
    <w:rsid w:val="00E735ED"/>
    <w:rsid w:val="00E850E1"/>
    <w:rsid w:val="00EB0EDB"/>
    <w:rsid w:val="00EB164C"/>
    <w:rsid w:val="00ED2D6F"/>
    <w:rsid w:val="00ED4384"/>
    <w:rsid w:val="00ED74E1"/>
    <w:rsid w:val="00EF4182"/>
    <w:rsid w:val="00F05328"/>
    <w:rsid w:val="00F1756E"/>
    <w:rsid w:val="00F315C3"/>
    <w:rsid w:val="00F5018B"/>
    <w:rsid w:val="00F57B70"/>
    <w:rsid w:val="00F602CB"/>
    <w:rsid w:val="00F60D4E"/>
    <w:rsid w:val="00F74A2F"/>
    <w:rsid w:val="00F97EF7"/>
    <w:rsid w:val="00FA6BB5"/>
    <w:rsid w:val="00FB68FF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883FE-DC1E-489A-AB50-0B61E5AA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a3">
    <w:name w:val="header"/>
    <w:basedOn w:val="a"/>
    <w:link w:val="Char"/>
    <w:uiPriority w:val="99"/>
    <w:unhideWhenUsed/>
    <w:rsid w:val="00450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B4F"/>
    <w:rPr>
      <w:sz w:val="18"/>
      <w:szCs w:val="18"/>
    </w:rPr>
  </w:style>
  <w:style w:type="paragraph" w:customStyle="1" w:styleId="p0">
    <w:name w:val="p0"/>
    <w:basedOn w:val="a"/>
    <w:uiPriority w:val="99"/>
    <w:rsid w:val="00831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paragraph" w:styleId="a5">
    <w:name w:val="Normal (Web)"/>
    <w:basedOn w:val="a"/>
    <w:uiPriority w:val="99"/>
    <w:unhideWhenUsed/>
    <w:rsid w:val="00831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table" w:styleId="a6">
    <w:name w:val="Table Grid"/>
    <w:basedOn w:val="a1"/>
    <w:uiPriority w:val="39"/>
    <w:rsid w:val="0083109F"/>
    <w:rPr>
      <w:rFonts w:asciiTheme="minorHAnsi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4A0B6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4A0B60"/>
  </w:style>
  <w:style w:type="paragraph" w:styleId="a8">
    <w:name w:val="Balloon Text"/>
    <w:basedOn w:val="a"/>
    <w:link w:val="Char2"/>
    <w:uiPriority w:val="99"/>
    <w:semiHidden/>
    <w:unhideWhenUsed/>
    <w:rsid w:val="001D3F4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D3F4B"/>
    <w:rPr>
      <w:sz w:val="18"/>
      <w:szCs w:val="18"/>
    </w:rPr>
  </w:style>
  <w:style w:type="paragraph" w:styleId="a9">
    <w:name w:val="Revision"/>
    <w:hidden/>
    <w:uiPriority w:val="99"/>
    <w:semiHidden/>
    <w:rsid w:val="00750172"/>
  </w:style>
  <w:style w:type="character" w:styleId="aa">
    <w:name w:val="annotation reference"/>
    <w:basedOn w:val="a0"/>
    <w:uiPriority w:val="99"/>
    <w:semiHidden/>
    <w:unhideWhenUsed/>
    <w:rsid w:val="00DA741C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DA741C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DA741C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DA741C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DA7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陈菲</dc:creator>
  <cp:keywords/>
  <dc:description/>
  <cp:lastModifiedBy>陈子贤</cp:lastModifiedBy>
  <cp:revision>66</cp:revision>
  <cp:lastPrinted>2023-01-31T09:22:00Z</cp:lastPrinted>
  <dcterms:created xsi:type="dcterms:W3CDTF">2021-10-14T06:54:00Z</dcterms:created>
  <dcterms:modified xsi:type="dcterms:W3CDTF">2025-02-19T08:07:00Z</dcterms:modified>
</cp:coreProperties>
</file>