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【丰收封闭式固收类】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【丰收封闭式固收类】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【丰收封闭式固收类】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【丰收封闭式固收类】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1726"/>
      <w:bookmarkStart w:id="1" w:name="_Toc123701383"/>
      <w:bookmarkStart w:id="2" w:name="_Toc139992301"/>
      <w:bookmarkStart w:id="3" w:name="_Toc123112263"/>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64"/>
      <w:bookmarkStart w:id="6" w:name="_Toc139991727"/>
      <w:bookmarkStart w:id="7" w:name="_Toc123112225"/>
      <w:bookmarkStart w:id="8" w:name="_Toc139992302"/>
      <w:bookmarkStart w:id="9" w:name="_Toc12370138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3</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39991729"/>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【兴银理财丰收封闭式159号固收类理财产品】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sz w:val="18"/>
                <w:szCs w:val="18"/>
              </w:rPr>
            </w:pPr>
            <w:r>
              <w:rPr>
                <w:rFonts w:hint="eastAsia" w:ascii="宋体" w:hAnsi="宋体"/>
                <w:bCs/>
                <w:sz w:val="18"/>
                <w:szCs w:val="18"/>
              </w:rPr>
              <w:t>【丰收封闭式159号A（安享款）】（适用【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【丰收封闭式159号</w:t>
            </w:r>
            <w:r>
              <w:rPr>
                <w:rFonts w:hint="eastAsia" w:ascii="宋体" w:hAnsi="宋体"/>
                <w:bCs/>
                <w:sz w:val="18"/>
                <w:szCs w:val="18"/>
                <w:lang w:val="en-US" w:eastAsia="zh-CN"/>
              </w:rPr>
              <w:t>B</w:t>
            </w:r>
            <w:r>
              <w:rPr>
                <w:rFonts w:hint="eastAsia" w:ascii="宋体" w:hAnsi="宋体"/>
                <w:bCs/>
                <w:sz w:val="18"/>
                <w:szCs w:val="18"/>
              </w:rPr>
              <w:t>（安享款）】（适用【</w:t>
            </w:r>
            <w:r>
              <w:rPr>
                <w:rFonts w:hint="eastAsia" w:ascii="宋体" w:hAnsi="宋体"/>
                <w:bCs/>
                <w:sz w:val="18"/>
                <w:szCs w:val="18"/>
                <w:lang w:val="en-US" w:eastAsia="zh-CN"/>
              </w:rPr>
              <w:t>B</w:t>
            </w:r>
            <w:r>
              <w:rPr>
                <w:rFonts w:hint="eastAsia" w:ascii="宋体" w:hAnsi="宋体"/>
                <w:bCs/>
                <w:sz w:val="18"/>
                <w:szCs w:val="18"/>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【丰收封闭式159号</w:t>
            </w:r>
            <w:r>
              <w:rPr>
                <w:rFonts w:hint="eastAsia" w:ascii="宋体" w:hAnsi="宋体"/>
                <w:bCs/>
                <w:sz w:val="18"/>
                <w:szCs w:val="18"/>
                <w:lang w:val="en-US" w:eastAsia="zh-CN"/>
              </w:rPr>
              <w:t>C</w:t>
            </w:r>
            <w:r>
              <w:rPr>
                <w:rFonts w:hint="eastAsia" w:ascii="宋体" w:hAnsi="宋体"/>
                <w:bCs/>
                <w:sz w:val="18"/>
                <w:szCs w:val="18"/>
              </w:rPr>
              <w:t>（安享款）】（适用【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【Z7002025000377】注：投资者可依据理财产品登记编码在中国理财网查询产品信息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9C311590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【9C31159A】（适用【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【9C3115</w:t>
            </w:r>
            <w:r>
              <w:rPr>
                <w:rFonts w:hint="eastAsia" w:ascii="宋体" w:hAnsi="宋体"/>
                <w:bCs/>
                <w:color w:val="000000" w:themeColor="text1"/>
                <w:sz w:val="18"/>
                <w:szCs w:val="18"/>
                <w:lang w:val="en-US" w:eastAsia="zh-CN"/>
                <w14:textFill>
                  <w14:solidFill>
                    <w14:schemeClr w14:val="tx1"/>
                  </w14:solidFill>
                </w14:textFill>
              </w:rPr>
              <w:t>9</w:t>
            </w:r>
            <w:r>
              <w:rPr>
                <w:rFonts w:hint="eastAsia" w:ascii="宋体" w:hAnsi="宋体"/>
                <w:bCs/>
                <w:color w:val="000000" w:themeColor="text1"/>
                <w:sz w:val="18"/>
                <w:szCs w:val="18"/>
                <w14:textFill>
                  <w14:solidFill>
                    <w14:schemeClr w14:val="tx1"/>
                  </w14:solidFill>
                </w14:textFill>
              </w:rPr>
              <w:t>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【9C3115</w:t>
            </w:r>
            <w:r>
              <w:rPr>
                <w:rFonts w:hint="eastAsia" w:ascii="宋体" w:hAnsi="宋体"/>
                <w:bCs/>
                <w:color w:val="000000" w:themeColor="text1"/>
                <w:sz w:val="18"/>
                <w:szCs w:val="18"/>
                <w:lang w:val="en-US" w:eastAsia="zh-CN"/>
                <w14:textFill>
                  <w14:solidFill>
                    <w14:schemeClr w14:val="tx1"/>
                  </w14:solidFill>
                </w14:textFill>
              </w:rPr>
              <w:t>9</w:t>
            </w:r>
            <w:r>
              <w:rPr>
                <w:rFonts w:hint="eastAsia" w:ascii="宋体" w:hAnsi="宋体"/>
                <w:bCs/>
                <w:color w:val="000000" w:themeColor="text1"/>
                <w:sz w:val="18"/>
                <w:szCs w:val="18"/>
                <w14:textFill>
                  <w14:solidFill>
                    <w14:schemeClr w14:val="tx1"/>
                  </w14:solidFill>
                </w14:textFill>
              </w:rPr>
              <w:t>C】（适用【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bookmarkStart w:id="66" w:name="_GoBack"/>
            <w:bookmarkEnd w:id="6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112229"/>
      <w:bookmarkStart w:id="15" w:name="_Toc29629"/>
      <w:bookmarkStart w:id="16" w:name="_Toc139991730"/>
      <w:bookmarkStart w:id="17" w:name="_Toc123701389"/>
      <w:bookmarkStart w:id="18" w:name="_Toc4966"/>
      <w:bookmarkStart w:id="19" w:name="_Toc4867"/>
      <w:bookmarkStart w:id="20" w:name="_Toc8727"/>
      <w:bookmarkStart w:id="21" w:name="_Toc141703880"/>
      <w:bookmarkStart w:id="22" w:name="_Toc26897"/>
      <w:bookmarkStart w:id="23" w:name="_Toc32639"/>
      <w:bookmarkStart w:id="24" w:name="_Toc23386"/>
      <w:bookmarkStart w:id="25" w:name="_Toc15517"/>
      <w:bookmarkStart w:id="26" w:name="_Toc123112268"/>
      <w:bookmarkStart w:id="27" w:name="_Toc30935"/>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3224"/>
      <w:bookmarkStart w:id="33" w:name="_Toc19592"/>
      <w:bookmarkStart w:id="34" w:name="_Toc6617"/>
      <w:bookmarkStart w:id="35" w:name="_Toc24860"/>
      <w:bookmarkStart w:id="36" w:name="_Toc15067"/>
      <w:bookmarkStart w:id="37" w:name="_Toc21301"/>
      <w:bookmarkStart w:id="38" w:name="_Toc258829399"/>
      <w:bookmarkStart w:id="39" w:name="_Toc819"/>
      <w:bookmarkStart w:id="40" w:name="_Toc2465"/>
      <w:bookmarkStart w:id="41" w:name="_Toc13020"/>
      <w:bookmarkStart w:id="42" w:name="_Toc22864"/>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20318"/>
      <w:bookmarkStart w:id="49" w:name="_Toc13288"/>
      <w:bookmarkStart w:id="50" w:name="_Toc74065740"/>
      <w:bookmarkStart w:id="51" w:name="_Toc22708"/>
      <w:bookmarkStart w:id="52" w:name="_Toc733"/>
      <w:bookmarkStart w:id="53" w:name="_Toc545"/>
      <w:bookmarkStart w:id="54" w:name="_Toc6149"/>
      <w:bookmarkStart w:id="55" w:name="_Toc18631"/>
      <w:bookmarkStart w:id="56" w:name="_Toc24571"/>
      <w:bookmarkStart w:id="57" w:name="_Toc6683"/>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101436E"/>
    <w:rsid w:val="019A104A"/>
    <w:rsid w:val="02D41EA5"/>
    <w:rsid w:val="04084877"/>
    <w:rsid w:val="040915FF"/>
    <w:rsid w:val="050463A8"/>
    <w:rsid w:val="05052D5D"/>
    <w:rsid w:val="05F13238"/>
    <w:rsid w:val="08F06232"/>
    <w:rsid w:val="0B21257D"/>
    <w:rsid w:val="0FFA44C7"/>
    <w:rsid w:val="13750F25"/>
    <w:rsid w:val="149E474A"/>
    <w:rsid w:val="175E6F25"/>
    <w:rsid w:val="18D640E4"/>
    <w:rsid w:val="19212E29"/>
    <w:rsid w:val="1A555EEA"/>
    <w:rsid w:val="23BE11D8"/>
    <w:rsid w:val="25386F34"/>
    <w:rsid w:val="31BD265B"/>
    <w:rsid w:val="358C1AE5"/>
    <w:rsid w:val="35C863A1"/>
    <w:rsid w:val="3BBA51FE"/>
    <w:rsid w:val="4069171A"/>
    <w:rsid w:val="4071725A"/>
    <w:rsid w:val="431859F2"/>
    <w:rsid w:val="487A428F"/>
    <w:rsid w:val="49F35C14"/>
    <w:rsid w:val="4B5E66CD"/>
    <w:rsid w:val="4F9B33E8"/>
    <w:rsid w:val="56C22B29"/>
    <w:rsid w:val="5DED78EC"/>
    <w:rsid w:val="64DE20E9"/>
    <w:rsid w:val="657411FF"/>
    <w:rsid w:val="6B364EF9"/>
    <w:rsid w:val="6B59328D"/>
    <w:rsid w:val="74D77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18</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2025-03-24T03:23:36Z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