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mc:Ignorable="w14 w15 wp14">
  <w:body>
    <w:p>
      <w:pPr>
        <w:jc w:val="center"/>
        <w:outlineLvl w:val="0"/>
        <w:rPr>
          <w:rFonts w:ascii="华文中宋" w:cs="华文中宋" w:eastAsia="华文中宋" w:hAnsi="华文中宋" w:hint="eastAsia"/>
          <w:sz w:val="36"/>
          <w:szCs w:val="36"/>
        </w:rPr>
      </w:pPr>
      <w:r>
        <w:rPr>
          <w:rFonts w:ascii="华文中宋" w:cs="华文中宋" w:eastAsia="华文中宋" w:hAnsi="华文中宋" w:hint="eastAsia"/>
          <w:sz w:val="36"/>
          <w:szCs w:val="36"/>
          <w:lang w:eastAsia="zh-CN" w:val="en-US"/>
        </w:rPr>
        <w:t>杭银理财幸福99周添益2101期理财业绩比较基准</w:t>
      </w:r>
      <w:r>
        <w:rPr>
          <w:rFonts w:ascii="华文中宋" w:cs="华文中宋" w:eastAsia="华文中宋" w:hAnsi="华文中宋" w:hint="eastAsia"/>
          <w:sz w:val="36"/>
          <w:szCs w:val="36"/>
        </w:rPr>
        <w:t>调整公告</w:t>
      </w:r>
    </w:p>
    <w:p>
      <w:pPr>
        <w:jc w:val="center"/>
        <w:rPr>
          <w:rFonts w:ascii="方正小标宋简体" w:cs="方正小标宋简体" w:eastAsia="方正小标宋简体" w:hAnsi="方正小标宋简体" w:hint="eastAsia"/>
          <w:sz w:val="28"/>
          <w:szCs w:val="28"/>
        </w:rPr>
      </w:pPr>
    </w:p>
    <w:p>
      <w:pPr>
        <w:rPr>
          <w:rFonts w:ascii="仿宋_GB2312" w:cs="仿宋_GB2312" w:eastAsia="仿宋_GB2312" w:hAnsi="仿宋_GB2312" w:hint="eastAsia"/>
          <w:sz w:val="30"/>
          <w:szCs w:val="30"/>
        </w:rPr>
      </w:pPr>
      <w:r>
        <w:rPr>
          <w:rFonts w:ascii="仿宋_GB2312" w:cs="仿宋_GB2312" w:eastAsia="仿宋_GB2312" w:hAnsi="仿宋_GB2312" w:hint="eastAsia"/>
          <w:sz w:val="30"/>
          <w:szCs w:val="30"/>
        </w:rPr>
        <w:t>尊敬的投资者：</w:t>
      </w:r>
    </w:p>
    <w:p>
      <w:pPr>
        <w:ind w:firstLine="600" w:firstLineChars="200"/>
        <w:rPr>
          <w:rFonts w:ascii="仿宋_GB2312" w:cs="仿宋_GB2312" w:eastAsia="仿宋_GB2312" w:hAnsi="仿宋_GB2312" w:hint="eastAsia"/>
          <w:sz w:val="30"/>
          <w:szCs w:val="30"/>
          <w:lang w:eastAsia="zh-CN" w:val="en-US"/>
        </w:rPr>
      </w:pPr>
      <w:r>
        <w:rPr>
          <w:rFonts w:ascii="仿宋_GB2312" w:cs="仿宋_GB2312" w:eastAsia="仿宋_GB2312" w:hAnsi="仿宋_GB2312" w:hint="eastAsia"/>
          <w:sz w:val="30"/>
          <w:szCs w:val="30"/>
        </w:rPr>
        <w:t>自</w:t>
      </w:r>
      <w:r>
        <w:rPr>
          <w:rFonts w:ascii="仿宋_GB2312" w:cs="仿宋_GB2312" w:eastAsia="仿宋_GB2312" w:hAnsi="仿宋_GB2312" w:hint="eastAsia"/>
          <w:sz w:val="30"/>
          <w:szCs w:val="30"/>
          <w:lang w:eastAsia="zh-CN" w:val="en-US"/>
        </w:rPr>
        <w:t>2025年4月3日</w:t>
      </w:r>
      <w:r>
        <w:rPr>
          <w:rFonts w:ascii="仿宋_GB2312" w:cs="仿宋_GB2312" w:eastAsia="仿宋_GB2312" w:hAnsi="仿宋_GB2312" w:hint="eastAsia"/>
          <w:sz w:val="30"/>
          <w:szCs w:val="30"/>
        </w:rPr>
        <w:t>起，</w:t>
      </w:r>
      <w:r>
        <w:rPr>
          <w:rFonts w:ascii="仿宋_GB2312" w:cs="仿宋_GB2312" w:eastAsia="仿宋_GB2312" w:hAnsi="仿宋_GB2312" w:hint="eastAsia"/>
          <w:sz w:val="30"/>
          <w:szCs w:val="30"/>
          <w:lang w:eastAsia="zh-CN" w:val="en-US"/>
        </w:rPr>
        <w:t>杭银理财幸福99周添益2101期理财</w:t>
      </w:r>
      <w:r>
        <w:rPr>
          <w:rFonts w:ascii="仿宋_GB2312" w:cs="仿宋_GB2312" w:eastAsia="仿宋_GB2312" w:hAnsi="仿宋_GB2312" w:hint="eastAsia"/>
          <w:sz w:val="30"/>
          <w:szCs w:val="30"/>
        </w:rPr>
        <w:t>（产品代码：</w:t>
      </w:r>
      <w:r>
        <w:rPr>
          <w:rFonts w:ascii="仿宋_GB2312" w:cs="仿宋_GB2312" w:eastAsia="仿宋_GB2312" w:hAnsi="仿宋_GB2312" w:hint="eastAsia"/>
          <w:sz w:val="30"/>
          <w:szCs w:val="30"/>
          <w:lang w:eastAsia="zh-CN" w:val="en-US"/>
        </w:rPr>
        <w:t>TYG7D2101</w:t>
      </w:r>
      <w:r>
        <w:rPr>
          <w:rFonts w:ascii="仿宋_GB2312" w:cs="仿宋_GB2312" w:eastAsia="仿宋_GB2312" w:hAnsi="仿宋_GB2312" w:hint="eastAsia"/>
          <w:sz w:val="30"/>
          <w:szCs w:val="30"/>
        </w:rPr>
        <w:t>）将调整</w:t>
      </w:r>
      <w:r>
        <w:rPr>
          <w:rFonts w:ascii="仿宋_GB2312" w:cs="仿宋_GB2312" w:eastAsia="仿宋_GB2312" w:hAnsi="仿宋_GB2312" w:hint="eastAsia"/>
          <w:sz w:val="30"/>
          <w:szCs w:val="30"/>
          <w:lang w:eastAsia="zh-CN" w:val="en-US"/>
        </w:rPr>
        <w:t>业绩比较基准</w:t>
      </w:r>
      <w:r>
        <w:rPr>
          <w:rFonts w:ascii="仿宋_GB2312" w:cs="仿宋_GB2312" w:eastAsia="仿宋_GB2312" w:hAnsi="仿宋_GB2312" w:hint="eastAsia"/>
          <w:sz w:val="30"/>
          <w:szCs w:val="30"/>
          <w:lang w:eastAsia="zh-CN"/>
        </w:rPr>
        <w:t>，</w:t>
      </w:r>
      <w:r>
        <w:rPr>
          <w:rFonts w:ascii="仿宋_GB2312" w:cs="仿宋_GB2312" w:eastAsia="仿宋_GB2312" w:hAnsi="仿宋_GB2312" w:hint="eastAsia"/>
          <w:sz w:val="30"/>
          <w:szCs w:val="30"/>
        </w:rPr>
        <w:t>敬请投资者关注，做好投资安排。</w:t>
      </w:r>
      <w:r>
        <w:rPr>
          <w:rFonts w:ascii="仿宋_GB2312" w:cs="仿宋_GB2312" w:eastAsia="仿宋_GB2312" w:hAnsi="仿宋_GB2312" w:hint="eastAsia"/>
          <w:sz w:val="30"/>
          <w:szCs w:val="30"/>
          <w:lang w:eastAsia="zh-CN" w:val="en-US"/>
        </w:rPr>
        <w:t>具体调整如下：</w:t>
      </w:r>
    </w:p>
    <w:tbl>
      <w:tblPr>
        <w:tblStyle w:val="8"/>
        <w:tblW w:type="dxa" w:w="8330"/>
        <w:tblInd w:type="dxa" w:w="0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110"/>
        <w:gridCol w:w="3170"/>
        <w:gridCol w:w="3050"/>
      </w:tblGrid>
      <w:tr>
        <w:tblPrEx>
          <w:tblBorders>
            <w:top w:color="auto" w:space="0" w:sz="4" w:val="single"/>
            <w:left w:color="auto" w:space="0" w:sz="4" w:val="single"/>
            <w:bottom w:color="auto" w:space="0" w:sz="4" w:val="single"/>
            <w:right w:color="auto" w:space="0" w:sz="4" w:val="single"/>
            <w:insideH w:color="auto" w:space="0" w:sz="4" w:val="single"/>
            <w:insideV w:color="auto" w:space="0" w:sz="4" w:val="single"/>
          </w:tblBorders>
          <w:tblCellMar>
            <w:top w:type="dxa" w:w="0"/>
            <w:left w:type="dxa" w:w="108"/>
            <w:bottom w:type="dxa" w:w="0"/>
            <w:right w:type="dxa" w:w="108"/>
          </w:tblCellMar>
        </w:tblPrEx>
        <w:tc>
          <w:tcPr>
            <w:tcW w:type="dxa" w:w="2110"/>
          </w:tcPr>
          <w:p>
            <w:pPr>
              <w:numPr>
                <w:ilvl w:val="0"/>
                <w:numId w:val="0"/>
              </w:numPr>
              <w:jc w:val="center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 w:val="en-US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 w:val="en-US"/>
              </w:rPr>
              <w:t>销售代码</w:t>
            </w:r>
          </w:p>
        </w:tc>
        <w:tc>
          <w:tcPr>
            <w:tcW w:type="dxa" w:w="3170"/>
          </w:tcPr>
          <w:p>
            <w:pPr>
              <w:numPr>
                <w:ilvl w:val="0"/>
                <w:numId w:val="0"/>
              </w:numPr>
              <w:jc w:val="center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 w:val="en-US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 w:val="en-US"/>
              </w:rPr>
              <w:t>调整前</w:t>
            </w:r>
          </w:p>
        </w:tc>
        <w:tc>
          <w:tcPr>
            <w:tcW w:type="dxa" w:w="3050"/>
          </w:tcPr>
          <w:p>
            <w:pPr>
              <w:numPr>
                <w:ilvl w:val="0"/>
                <w:numId w:val="0"/>
              </w:numPr>
              <w:jc w:val="center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 w:val="en-US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 w:val="en-US"/>
              </w:rPr>
              <w:t>调整后</w:t>
            </w:r>
          </w:p>
        </w:tc>
      </w:tr>
      <w:tr>
        <w:tblPrEx>
          <w:tblBorders>
            <w:top w:color="auto" w:space="0" w:sz="4" w:val="single"/>
            <w:left w:color="auto" w:space="0" w:sz="4" w:val="single"/>
            <w:bottom w:color="auto" w:space="0" w:sz="4" w:val="single"/>
            <w:right w:color="auto" w:space="0" w:sz="4" w:val="single"/>
            <w:insideH w:color="auto" w:space="0" w:sz="4" w:val="single"/>
            <w:insideV w:color="auto" w:space="0" w:sz="4" w:val="single"/>
          </w:tblBorders>
          <w:tblCellMar>
            <w:top w:type="dxa" w:w="0"/>
            <w:left w:type="dxa" w:w="108"/>
            <w:bottom w:type="dxa" w:w="0"/>
            <w:right w:type="dxa" w:w="108"/>
          </w:tblCellMar>
        </w:tblPrEx>
        <w:tc>
          <w:tcPr>
            <w:tcW w:type="dxa" w:w="2110"/>
          </w:tcPr>
          <w:p>
            <w:pPr>
              <w:numPr>
                <w:ilvl w:val="0"/>
                <w:numId w:val="0"/>
              </w:numPr>
              <w:jc w:val="center"/>
              <w:rPr>
                <w:rFonts w:ascii="仿宋_GB2312" w:cs="仿宋_GB2312" w:eastAsia="仿宋_GB2312" w:hAnsi="仿宋_GB2312" w:hint="default"/>
                <w:sz w:val="24"/>
                <w:szCs w:val="24"/>
                <w:vertAlign w:val="baseline"/>
                <w:lang w:eastAsia="zh-CN" w:val="en-US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 w:val="en-US"/>
              </w:rPr>
              <w:t>TYG7D2101</w:t>
            </w:r>
          </w:p>
        </w:tc>
        <w:tc>
          <w:tcPr>
            <w:tcW w:type="dxa" w:w="3170"/>
            <w:shd w:color="auto" w:fill="auto" w:val="clear"/>
            <w:vAlign w:val="top"/>
          </w:tcPr>
          <w:p>
            <w:pPr>
              <w:numPr>
                <w:ilvl w:val="0"/>
                <w:numId w:val="0"/>
              </w:numPr>
              <w:ind w:firstLine="0" w:firstLineChars="0" w:left="0" w:leftChars="0"/>
              <w:jc w:val="center"/>
              <w:rPr>
                <w:rFonts w:ascii="仿宋_GB2312" w:cs="仿宋_GB2312" w:eastAsia="仿宋_GB2312" w:hAnsi="仿宋_GB2312" w:hint="default"/>
                <w:kern w:val="2"/>
                <w:sz w:val="24"/>
                <w:szCs w:val="24"/>
                <w:vertAlign w:val="baseline"/>
                <w:lang w:bidi="ar-SA" w:eastAsia="zh-CN" w:val="en-US"/>
              </w:rPr>
            </w:pPr>
            <w:r>
              <w:rPr>
                <w:rFonts w:ascii="仿宋_GB2312" w:cs="仿宋_GB2312" w:eastAsia="仿宋_GB2312" w:hAnsi="仿宋_GB2312" w:hint="eastAsia"/>
                <w:kern w:val="2"/>
                <w:sz w:val="24"/>
                <w:szCs w:val="24"/>
                <w:vertAlign w:val="baseline"/>
                <w:lang w:bidi="ar-SA" w:eastAsia="zh-CN" w:val="en-US"/>
              </w:rPr>
              <w:t>1.85%-2.85%</w:t>
            </w:r>
          </w:p>
        </w:tc>
        <w:tc>
          <w:tcPr>
            <w:tcW w:type="dxa" w:w="3050"/>
          </w:tcPr>
          <w:p>
            <w:pPr>
              <w:numPr>
                <w:ilvl w:val="0"/>
                <w:numId w:val="0"/>
              </w:numPr>
              <w:jc w:val="center"/>
              <w:rPr>
                <w:rFonts w:ascii="仿宋_GB2312" w:cs="仿宋_GB2312" w:eastAsia="仿宋_GB2312" w:hAnsi="仿宋_GB2312" w:hint="default"/>
                <w:sz w:val="24"/>
                <w:szCs w:val="24"/>
                <w:vertAlign w:val="baseline"/>
                <w:lang w:eastAsia="zh-CN" w:val="en-US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 w:val="en-US"/>
              </w:rPr>
              <w:t>1.65%-2.65%</w:t>
            </w:r>
          </w:p>
        </w:tc>
      </w:tr>
    </w:tbl>
    <w:p>
      <w:pPr>
        <w:numPr>
          <w:ilvl w:val="0"/>
          <w:numId w:val="0"/>
        </w:numPr>
        <w:ind w:firstLine="600" w:firstLineChars="200"/>
        <w:rPr>
          <w:rFonts w:ascii="仿宋_GB2312" w:cs="仿宋_GB2312" w:eastAsia="仿宋_GB2312" w:hAnsi="仿宋_GB2312" w:hint="eastAsia"/>
          <w:sz w:val="30"/>
          <w:szCs w:val="30"/>
        </w:rPr>
      </w:pPr>
      <w:r>
        <w:rPr>
          <w:rFonts w:ascii="仿宋_GB2312" w:cs="仿宋_GB2312" w:eastAsia="仿宋_GB2312" w:hAnsi="仿宋_GB2312" w:hint="eastAsia"/>
          <w:sz w:val="30"/>
          <w:szCs w:val="30"/>
        </w:rPr>
        <w:t>测算依据详见理财计划合同。</w:t>
      </w:r>
    </w:p>
    <w:p>
      <w:pPr>
        <w:ind w:firstLine="480" w:firstLineChars="200"/>
        <w:rPr>
          <w:rFonts w:ascii="仿宋_GB2312" w:cs="仿宋_GB2312" w:eastAsia="仿宋_GB2312" w:hAnsi="仿宋_GB2312" w:hint="eastAsia"/>
          <w:sz w:val="24"/>
          <w:szCs w:val="24"/>
        </w:rPr>
      </w:pPr>
      <w:r>
        <w:rPr>
          <w:rFonts w:ascii="仿宋_GB2312" w:cs="仿宋_GB2312" w:eastAsia="仿宋_GB2312" w:hAnsi="仿宋_GB2312" w:hint="eastAsia"/>
          <w:sz w:val="24"/>
          <w:szCs w:val="24"/>
        </w:rPr>
        <w:t>注：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ind w:firstLine="600" w:firstLineChars="200"/>
        <w:rPr>
          <w:rFonts w:ascii="仿宋_GB2312" w:cs="仿宋_GB2312" w:eastAsia="仿宋_GB2312" w:hAnsi="仿宋_GB2312" w:hint="eastAsia"/>
          <w:sz w:val="30"/>
          <w:szCs w:val="30"/>
        </w:rPr>
      </w:pPr>
      <w:r>
        <w:rPr>
          <w:rFonts w:ascii="仿宋_GB2312" w:cs="仿宋_GB2312" w:eastAsia="仿宋_GB2312" w:hAnsi="仿宋_GB2312" w:hint="eastAsia"/>
          <w:sz w:val="30"/>
          <w:szCs w:val="30"/>
        </w:rPr>
        <w:t>感谢您一直以来对杭银理财的支持，敬请继续关注杭银理财的理财产品。</w:t>
      </w:r>
    </w:p>
    <w:p>
      <w:pPr>
        <w:rPr>
          <w:rFonts w:ascii="仿宋_GB2312" w:cs="仿宋_GB2312" w:eastAsia="仿宋_GB2312" w:hAnsi="仿宋_GB2312" w:hint="eastAsia"/>
          <w:sz w:val="30"/>
          <w:szCs w:val="30"/>
        </w:rPr>
      </w:pPr>
    </w:p>
    <w:p>
      <w:pPr>
        <w:rPr>
          <w:rFonts w:ascii="仿宋_GB2312" w:cs="仿宋_GB2312" w:eastAsia="仿宋_GB2312" w:hAnsi="仿宋_GB2312" w:hint="eastAsia"/>
          <w:sz w:val="30"/>
          <w:szCs w:val="30"/>
        </w:rPr>
      </w:pPr>
    </w:p>
    <w:p>
      <w:pPr>
        <w:rPr>
          <w:rFonts w:ascii="仿宋_GB2312" w:cs="仿宋_GB2312" w:eastAsia="仿宋_GB2312" w:hAnsi="仿宋_GB2312" w:hint="eastAsia"/>
          <w:sz w:val="30"/>
          <w:szCs w:val="30"/>
        </w:rPr>
      </w:pPr>
    </w:p>
    <w:p>
      <w:pPr>
        <w:jc w:val="right"/>
        <w:rPr>
          <w:rFonts w:ascii="仿宋_GB2312" w:cs="仿宋_GB2312" w:eastAsia="仿宋_GB2312" w:hAnsi="仿宋_GB2312" w:hint="eastAsia"/>
          <w:sz w:val="30"/>
          <w:szCs w:val="30"/>
        </w:rPr>
      </w:pPr>
      <w:r>
        <w:rPr>
          <w:rFonts w:ascii="仿宋_GB2312" w:cs="仿宋_GB2312" w:eastAsia="仿宋_GB2312" w:hAnsi="仿宋_GB2312" w:hint="eastAsia"/>
          <w:sz w:val="30"/>
          <w:szCs w:val="30"/>
        </w:rPr>
        <w:t>杭银理财有限责任公司</w:t>
      </w:r>
    </w:p>
    <w:p>
      <w:pPr>
        <w:jc w:val="center"/>
        <w:rPr>
          <w:rFonts w:ascii="仿宋_GB2312" w:cs="仿宋_GB2312" w:eastAsia="仿宋_GB2312" w:hAnsi="仿宋_GB2312" w:hint="default"/>
          <w:sz w:val="30"/>
          <w:szCs w:val="30"/>
          <w:lang w:eastAsia="zh-CN" w:val="en-US"/>
        </w:rPr>
      </w:pPr>
      <w:r>
        <w:rPr>
          <w:rFonts w:ascii="仿宋_GB2312" w:cs="仿宋_GB2312" w:eastAsia="仿宋_GB2312" w:hAnsi="仿宋_GB2312" w:hint="eastAsia"/>
          <w:sz w:val="30"/>
          <w:szCs w:val="30"/>
          <w:lang w:eastAsia="zh-CN" w:val="en-US"/>
        </w:rPr>
        <w:t xml:space="preserve">                                      2025年3月19日</w:t>
      </w:r>
    </w:p>
    <w:p>
      <w:pPr>
        <w:widowControl/>
        <w:jc w:val="both"/>
      </w:pPr>
      <w:bookmarkStart w:id="0" w:name="_GoBack"/>
      <w:bookmarkEnd w:id="0"/>
    </w:p>
    <w:sectPr>
      <w:headerReference r:id="rId3" w:type="default"/>
      <w:pgSz w:h="16838" w:w="11906"/>
      <w:pgMar w:bottom="2551" w:footer="992" w:gutter="0" w:header="851" w:left="1803" w:right="1803" w:top="2551"/>
      <w:cols w:num="1" w:space="0"/>
      <w:docGrid w:charSpace="0" w:linePitch="317"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Microsoft YaHei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header1.xml><?xml version="1.0" encoding="utf-8"?>
<w:hdr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allowOverlap="1" behindDoc="1" distB="0" distL="114300" distR="114300" distT="0" layoutInCell="1" locked="0" relativeHeight="251658240" simplePos="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b="15240" l="0" r="0" t="0"/>
          <wp:wrapNone/>
          <wp:docPr descr="微信图片_20220817144322" id="5" name="WordPictureWatermark140627"/>
          <wp:cNvGraphicFramePr>
            <a:graphicFrameLocks xmlns:a="http://schemas.openxmlformats.org/drawingml/2006/main" noChangeAspect="tru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微信图片_20220817144322" id="5" name="WordPictureWatermark140627"/>
                  <pic:cNvPicPr>
                    <a:picLocks noChangeAspect="true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psCustomData="http://www.wps.cn/officeDocument/2013/wpsCustomData" mc:Ignorable="w14">
  <w:zoom w:percent="120"/>
  <w:embedSystemFonts/>
  <w:bordersDoNotSurroundHeader w:val="true"/>
  <w:bordersDoNotSurroundFooter w:val="true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EE29775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  <w:rsid w:val="8FAF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IncludeSubdocsInStats/>
</w:settings>
</file>

<file path=word/styles.xml><?xml version="1.0" encoding="utf-8"?>
<w:styles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psCustomData="http://www.wps.cn/officeDocument/2013/wpsCustomData" mc:Ignorable="w14">
  <w:docDefaults>
    <w:rPrDefault>
      <w:rPr>
        <w:rFonts w:ascii="Calibri" w:cs="Times New Roman" w:eastAsia="宋体" w:hAnsi="Calibri"/>
      </w:rPr>
    </w:rPrDefault>
  </w:docDefaults>
  <w:latentStyles w:count="260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semiHidden="0" w:uiPriority="0"/>
    <w:lsdException w:name="heading 3" w:qFormat="1" w:semiHidden="0" w:uiPriority="0"/>
    <w:lsdException w:name="heading 4" w:qFormat="1" w:uiPriority="0"/>
    <w:lsdException w:name="heading 5" w:qFormat="1" w:uiPriority="0"/>
    <w:lsdException w:name="heading 6" w:qFormat="1" w:uiPriority="0"/>
    <w:lsdException w:name="heading 7" w:qFormat="1" w:uiPriority="0"/>
    <w:lsdException w:name="heading 8" w:qFormat="1" w:uiPriority="0"/>
    <w:lsdException w:name="heading 9" w:qFormat="1" w:uiPriority="0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qFormat="1" w:semiHidden="0" w:uiPriority="0" w:unhideWhenUsed="0"/>
    <w:lsdException w:name="footer" w:qFormat="1" w:semiHidden="0" w:uiPriority="0" w:unhideWhenUsed="0"/>
    <w:lsdException w:name="index heading" w:semiHidden="0" w:uiPriority="0" w:unhideWhenUsed="0"/>
    <w:lsdException w:name="caption" w:qFormat="1" w:uiPriority="0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qFormat="1" w:semiHidden="0" w:uiPriority="0" w:unhideWhenUsed="0"/>
    <w:lsdException w:name="Closing" w:semiHidden="0" w:uiPriority="0" w:unhideWhenUsed="0"/>
    <w:lsdException w:name="Signature" w:semiHidden="0" w:uiPriority="0" w:unhideWhenUsed="0"/>
    <w:lsdException w:name="Default Paragraph Font" w:qFormat="1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qFormat="1" w:semiHidden="0" w:uiPriority="0" w:unhideWhenUsed="0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qFormat="1" w:semiHidden="0" w:uiPriority="0" w:unhideWhenUsed="0"/>
    <w:lsdException w:name="Emphasis" w:qFormat="1" w:semiHidden="0" w:uiPriority="0" w:unhideWhenUsed="0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 w:uiPriority="99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qFormat="1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default="1" w:styleId="1" w:type="paragraph">
    <w:name w:val="Normal"/>
    <w:qFormat/>
    <w:uiPriority w:val="0"/>
    <w:pPr>
      <w:widowControl w:val="0"/>
      <w:jc w:val="both"/>
    </w:pPr>
    <w:rPr>
      <w:rFonts w:asciiTheme="minorHAnsi" w:cstheme="minorBidi" w:eastAsiaTheme="minorEastAsia" w:hAnsiTheme="minorHAnsi"/>
      <w:kern w:val="2"/>
      <w:sz w:val="21"/>
      <w:szCs w:val="24"/>
      <w:lang w:bidi="ar-SA" w:eastAsia="zh-CN" w:val="en-US"/>
    </w:rPr>
  </w:style>
  <w:style w:styleId="2" w:type="paragraph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styleId="3" w:type="paragraph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styleId="4" w:type="paragraph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default="1" w:styleId="9" w:type="character">
    <w:name w:val="Default Paragraph Font"/>
    <w:semiHidden/>
    <w:unhideWhenUsed/>
    <w:qFormat/>
    <w:uiPriority w:val="1"/>
  </w:style>
  <w:style w:default="1" w:styleId="7" w:type="table">
    <w:name w:val="Normal Table"/>
    <w:semiHidden/>
    <w:unhideWhenUsed/>
    <w:qFormat/>
    <w:uiPriority w:val="99"/>
    <w:tblPr>
      <w:tblCellMar>
        <w:top w:type="dxa" w:w="0"/>
        <w:left w:type="dxa" w:w="108"/>
        <w:bottom w:type="dxa" w:w="0"/>
        <w:right w:type="dxa" w:w="108"/>
      </w:tblCellMar>
    </w:tblPr>
  </w:style>
  <w:style w:styleId="5" w:type="paragraph">
    <w:name w:val="footer"/>
    <w:basedOn w:val="1"/>
    <w:qFormat/>
    <w:uiPriority w:val="0"/>
    <w:pPr>
      <w:tabs>
        <w:tab w:pos="4153" w:val="center"/>
        <w:tab w:pos="8306" w:val="right"/>
      </w:tabs>
      <w:snapToGrid w:val="0"/>
      <w:jc w:val="left"/>
    </w:pPr>
    <w:rPr>
      <w:sz w:val="18"/>
    </w:rPr>
  </w:style>
  <w:style w:styleId="6" w:type="paragraph">
    <w:name w:val="header"/>
    <w:basedOn w:val="1"/>
    <w:qFormat/>
    <w:uiPriority w:val="0"/>
    <w:pPr>
      <w:pBdr>
        <w:top w:color="auto" w:space="1" w:sz="0" w:val="none"/>
        <w:left w:color="auto" w:space="4" w:sz="0" w:val="none"/>
        <w:bottom w:color="auto" w:space="1" w:sz="0" w:val="none"/>
        <w:right w:color="auto" w:space="4" w:sz="0" w:val="none"/>
      </w:pBdr>
      <w:tabs>
        <w:tab w:pos="4153" w:val="center"/>
        <w:tab w:pos="8306" w:val="right"/>
      </w:tabs>
      <w:snapToGrid w:val="0"/>
    </w:pPr>
    <w:rPr>
      <w:sz w:val="18"/>
    </w:rPr>
  </w:style>
  <w:style w:styleId="8" w:type="table">
    <w:name w:val="Table Grid"/>
    <w:basedOn w:val="7"/>
    <w:qFormat/>
    <w:uiPriority w:val="0"/>
    <w:pPr>
      <w:widowControl w:val="0"/>
      <w:jc w:val="both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header1.xml" Type="http://schemas.openxmlformats.org/officeDocument/2006/relationships/header"/><Relationship Id="rId4" Target="theme/theme1.xml" Type="http://schemas.openxmlformats.org/officeDocument/2006/relationships/theme"/><Relationship Id="rId5" Target="../customXml/item1.xml" Type="http://schemas.openxmlformats.org/officeDocument/2006/relationships/customXml"/><Relationship Id="rId6" Target="fontTable.xml" Type="http://schemas.openxmlformats.org/officeDocument/2006/relationships/fontTable"/></Relationships>
</file>

<file path=word/_rels/header1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844</Characters>
  <Lines>7</Lines>
  <Paragraphs>1</Paragraphs>
  <TotalTime>0</TotalTime>
  <ScaleCrop>false</ScaleCrop>
  <LinksUpToDate>false</LinksUpToDate>
  <CharactersWithSpaces>990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2022-08-18T06:47:00Z</dcterms:created>
  <dc:creator>Administrator</dc:creator>
  <cp:lastModifiedBy>qiaoshiyang</cp:lastModifiedBy>
  <dcterms:modified xsi:type="dcterms:W3CDTF">2025-03-10T13:38:24Z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ICV" pid="2">
    <vt:lpwstr>156FBEF45315492997A928A82EDAEB25</vt:lpwstr>
  </property>
  <property fmtid="{D5CDD505-2E9C-101B-9397-08002B2CF9AE}" name="KSOProductBuildVer" pid="3">
    <vt:lpwstr>2052-11.8.2.10505</vt:lpwstr>
  </property>
</Properties>
</file>