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cs="宋体"/>
          <w:b/>
          <w:bCs/>
          <w:sz w:val="44"/>
          <w:szCs w:val="44"/>
          <w:highlight w:val="none"/>
          <w:lang w:eastAsia="zh-CN"/>
        </w:rPr>
        <w:t>丰收添益90天持有期理财1期理财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cs="宋体"/>
          <w:highlight w:val="none"/>
          <w:lang w:eastAsia="zh-CN"/>
        </w:rPr>
        <w:t>丰收添益90天持有期理财1期理财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both"/>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丰收添益90天持有期理财1期理财风险揭示书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丰收添益90天持有期理财1期理财产品说明书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cs="宋体"/>
          <w:b/>
          <w:highlight w:val="none"/>
          <w:lang w:eastAsia="zh-CN"/>
        </w:rPr>
        <w:t>丰收添益90天持有期理财1期理财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202501</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keepNext/>
        <w:keepLines w:val="0"/>
        <w:pageBreakBefore w:val="0"/>
        <w:widowControl w:val="0"/>
        <w:numPr>
          <w:ilvl w:val="0"/>
          <w:numId w:val="3"/>
        </w:numPr>
        <w:kinsoku/>
        <w:wordWrap/>
        <w:overflowPunct/>
        <w:topLinePunct w:val="0"/>
        <w:autoSpaceDE/>
        <w:autoSpaceDN/>
        <w:bidi w:val="0"/>
        <w:adjustRightInd/>
        <w:snapToGrid/>
        <w:spacing w:line="360" w:lineRule="auto"/>
        <w:ind w:firstLine="482" w:firstLineChars="200"/>
        <w:jc w:val="left"/>
        <w:textAlignment w:val="auto"/>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keepNext/>
        <w:keepLines/>
        <w:pageBreakBefore w:val="0"/>
        <w:widowControl w:val="0"/>
        <w:numPr>
          <w:ilvl w:val="0"/>
          <w:numId w:val="4"/>
        </w:numPr>
        <w:kinsoku/>
        <w:wordWrap/>
        <w:overflowPunct/>
        <w:topLinePunct w:val="0"/>
        <w:autoSpaceDE/>
        <w:autoSpaceDN/>
        <w:bidi w:val="0"/>
        <w:adjustRightInd/>
        <w:snapToGrid/>
        <w:ind w:firstLine="482" w:firstLineChars="200"/>
        <w:textAlignment w:val="auto"/>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highlight w:val="none"/>
        </w:rPr>
        <w:t>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lang w:val="en-US" w:eastAsia="zh-CN"/>
        </w:rPr>
        <w:t>不同</w:t>
      </w:r>
      <w:r>
        <w:rPr>
          <w:rFonts w:hint="eastAsia" w:ascii="宋体" w:hAnsi="宋体" w:cs="宋体"/>
          <w:b/>
          <w:sz w:val="24"/>
          <w:highlight w:val="none"/>
          <w:lang w:val="en-US" w:eastAsia="zh-CN"/>
        </w:rPr>
        <w:t>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lang w:val="en-US" w:eastAsia="zh-CN"/>
        </w:rPr>
        <w:t>投资者</w:t>
      </w:r>
      <w:bookmarkStart w:id="0" w:name="OLE_LINK3"/>
      <w:r>
        <w:rPr>
          <w:rFonts w:hint="eastAsia" w:ascii="宋体" w:hAnsi="宋体" w:cs="宋体"/>
          <w:b/>
          <w:sz w:val="24"/>
          <w:highlight w:val="none"/>
          <w:lang w:val="en-US" w:eastAsia="zh-CN"/>
        </w:rPr>
        <w:t>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bookmarkEnd w:id="0"/>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资金流动性风险：本理财计划认购/申购份额确认后，投资者需持有份额一定期限后才能申请赎回，期间不得提前赎回。</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收益不达业绩比较基准风险：本理财计划的投资收益与投资者的申购、赎回时点密切相关，收益存在一定的波动性，理财计划本金出现损失的可能性不容忽视。</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未知价风险：产品以产品申购和赎回确认时的单位净值，按照“金额申购、份额赎回”的原则计算投资者申购份额和赎回资金，产品净值可能会有波动</w:t>
      </w:r>
      <w:r>
        <w:rPr>
          <w:rFonts w:hint="eastAsia" w:ascii="宋体" w:hAnsi="宋体" w:cs="宋体"/>
          <w:b/>
          <w:sz w:val="24"/>
          <w:highlight w:val="none"/>
          <w:lang w:eastAsia="zh-CN"/>
        </w:rPr>
        <w:t>。</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w:t>
      </w:r>
      <w:r>
        <w:rPr>
          <w:rFonts w:hint="eastAsia" w:ascii="宋体" w:hAnsi="宋体" w:cs="宋体"/>
          <w:b/>
          <w:sz w:val="24"/>
          <w:highlight w:val="none"/>
        </w:rPr>
        <w:t>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cs="宋体"/>
          <w:b/>
          <w:sz w:val="24"/>
          <w:highlight w:val="none"/>
        </w:rPr>
        <w:t>程度</w:t>
      </w:r>
      <w:r>
        <w:rPr>
          <w:rFonts w:hint="eastAsia" w:ascii="宋体" w:hAnsi="宋体" w:cs="宋体"/>
          <w:b/>
          <w:sz w:val="24"/>
          <w:highlight w:val="none"/>
          <w:lang w:eastAsia="zh-CN"/>
        </w:rPr>
        <w:t>较</w:t>
      </w:r>
      <w:r>
        <w:rPr>
          <w:rFonts w:hint="eastAsia" w:ascii="宋体" w:hAnsi="宋体" w:cs="宋体"/>
          <w:b/>
          <w:sz w:val="24"/>
          <w:highlight w:val="none"/>
          <w:lang w:val="en-US" w:eastAsia="zh-CN"/>
        </w:rPr>
        <w:t>低</w:t>
      </w:r>
      <w:r>
        <w:rPr>
          <w:rFonts w:hint="eastAsia" w:ascii="宋体" w:hAnsi="宋体" w:cs="宋体"/>
          <w:b/>
          <w:sz w:val="24"/>
          <w:highlight w:val="none"/>
        </w:rPr>
        <w:t>，收益波动</w:t>
      </w:r>
      <w:r>
        <w:rPr>
          <w:rFonts w:hint="eastAsia" w:ascii="宋体" w:hAnsi="宋体" w:cs="宋体"/>
          <w:b/>
          <w:sz w:val="24"/>
          <w:highlight w:val="none"/>
          <w:lang w:eastAsia="zh-CN"/>
        </w:rPr>
        <w:t>较</w:t>
      </w:r>
      <w:r>
        <w:rPr>
          <w:rFonts w:hint="eastAsia" w:ascii="宋体" w:hAnsi="宋体" w:cs="宋体"/>
          <w:b/>
          <w:sz w:val="24"/>
          <w:highlight w:val="none"/>
          <w:lang w:val="en-US" w:eastAsia="zh-CN"/>
        </w:rPr>
        <w:t>小</w:t>
      </w:r>
      <w:r>
        <w:rPr>
          <w:rFonts w:hint="eastAsia" w:ascii="宋体" w:hAnsi="宋体" w:cs="宋体"/>
          <w:b/>
          <w:sz w:val="24"/>
          <w:highlight w:val="none"/>
        </w:rPr>
        <w:t>，</w:t>
      </w:r>
      <w:r>
        <w:rPr>
          <w:rFonts w:hint="eastAsia" w:ascii="宋体" w:hAnsi="宋体" w:cs="宋体"/>
          <w:b/>
          <w:sz w:val="24"/>
          <w:highlight w:val="none"/>
          <w:lang w:eastAsia="zh-CN"/>
        </w:rPr>
        <w:t>虽然存在一些可能对产品本金和收益安全产生不利影响的因素，但</w:t>
      </w:r>
      <w:r>
        <w:rPr>
          <w:rFonts w:hint="eastAsia" w:ascii="宋体" w:hAnsi="宋体" w:cs="宋体"/>
          <w:b/>
          <w:sz w:val="24"/>
          <w:highlight w:val="none"/>
        </w:rPr>
        <w:t>产品本金</w:t>
      </w:r>
      <w:r>
        <w:rPr>
          <w:rFonts w:hint="eastAsia" w:ascii="宋体" w:hAnsi="宋体" w:cs="宋体"/>
          <w:b/>
          <w:sz w:val="24"/>
          <w:highlight w:val="none"/>
          <w:lang w:eastAsia="zh-CN"/>
        </w:rPr>
        <w:t>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w:t>
      </w:r>
      <w:r>
        <w:rPr>
          <w:rFonts w:hint="eastAsia" w:ascii="宋体" w:hAnsi="宋体" w:cs="宋体"/>
          <w:b/>
          <w:sz w:val="24"/>
          <w:highlight w:val="none"/>
        </w:rPr>
        <w:t>稳健型</w:t>
      </w:r>
      <w:r>
        <w:rPr>
          <w:rFonts w:hint="eastAsia" w:ascii="宋体" w:hAnsi="宋体" w:cs="宋体"/>
          <w:b/>
          <w:sz w:val="24"/>
          <w:highlight w:val="none"/>
          <w:lang w:eastAsia="zh-CN"/>
        </w:rPr>
        <w:t>、</w:t>
      </w:r>
      <w:r>
        <w:rPr>
          <w:rFonts w:hint="eastAsia" w:ascii="宋体" w:hAnsi="宋体" w:cs="宋体"/>
          <w:b/>
          <w:sz w:val="24"/>
          <w:highlight w:val="none"/>
        </w:rPr>
        <w:t>平衡型、成长型、进取型</w:t>
      </w:r>
      <w:r>
        <w:rPr>
          <w:rFonts w:hint="eastAsia" w:ascii="宋体" w:hAnsi="宋体" w:cs="宋体"/>
          <w:b/>
          <w:sz w:val="24"/>
          <w:highlight w:val="none"/>
        </w:rPr>
        <w:t>〗的个人投资者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lang w:eastAsia="zh-CN"/>
        </w:rPr>
        <w:t>丰收添益90天持有期理财1期理财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202501</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〖Z7002225000174〗</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w:t>
      </w:r>
      <w:r>
        <w:rPr>
          <w:rFonts w:hint="eastAsia" w:ascii="宋体" w:hAnsi="宋体" w:cs="宋体"/>
          <w:bCs/>
          <w:sz w:val="24"/>
          <w:highlight w:val="none"/>
        </w:rPr>
        <w:t>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keepNext w:val="0"/>
        <w:keepLines w:val="0"/>
        <w:widowControl w:val="0"/>
        <w:numPr>
          <w:ilvl w:val="0"/>
          <w:numId w:val="13"/>
        </w:numPr>
        <w:suppressLineNumbers w:val="0"/>
        <w:adjustRightInd/>
        <w:spacing w:before="0" w:beforeAutospacing="0" w:after="0" w:afterAutospacing="0" w:line="360" w:lineRule="auto"/>
        <w:ind w:left="0" w:right="0" w:firstLine="482" w:firstLineChars="200"/>
        <w:jc w:val="both"/>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w:t>
      </w:r>
      <w:r>
        <w:rPr>
          <w:rFonts w:hint="eastAsia" w:ascii="宋体" w:hAnsi="宋体" w:cs="宋体"/>
          <w:lang w:bidi="ar"/>
        </w:rPr>
        <w:t>宁波镇海农村商业银行股份有限公司</w:t>
      </w:r>
      <w:r>
        <w:rPr>
          <w:rFonts w:hint="eastAsia" w:ascii="宋体" w:hAnsi="宋体" w:cs="宋体"/>
          <w:bCs/>
          <w:color w:val="auto"/>
          <w:kern w:val="2"/>
          <w:highlight w:val="none"/>
        </w:rPr>
        <w:t>等其他银行业金融机构或者国务院银行业监督管理机构认可的其他机构，可代为办理理财产品销售业务。</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w:t>
      </w:r>
      <w:r>
        <w:rPr>
          <w:rFonts w:hint="eastAsia" w:ascii="宋体" w:hAnsi="宋体" w:cs="宋体"/>
          <w:bCs/>
          <w:color w:val="auto"/>
          <w:kern w:val="2"/>
          <w:highlight w:val="none"/>
          <w:lang w:eastAsia="zh-CN"/>
        </w:rPr>
        <w:t>丰收添益90天持有期理财1期理财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丰收添益90天持有期理财1期理财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丰收添益90天持有期理财1期理财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丰收添益90天持有期理财1期理财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指作为丰收添益90天持有期理财1期理财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产品说明书</w:t>
      </w:r>
      <w:r>
        <w:rPr>
          <w:rFonts w:hint="eastAsia" w:ascii="宋体" w:hAnsi="宋体" w:cs="宋体"/>
          <w:bCs/>
          <w:color w:val="auto"/>
          <w:kern w:val="2"/>
          <w:highlight w:val="none"/>
        </w:rPr>
        <w:t>》《投资者权益须知》《理财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cs="宋体"/>
          <w:bCs/>
          <w:color w:val="auto"/>
          <w:kern w:val="2"/>
          <w:highlight w:val="none"/>
          <w:lang w:eastAsia="zh-CN"/>
        </w:rPr>
        <w:t>丰收添益90天持有期理财1期理财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w:t>
      </w:r>
      <w:r>
        <w:rPr>
          <w:rFonts w:hint="eastAsia" w:ascii="宋体" w:hAnsi="宋体" w:cs="宋体"/>
          <w:bCs/>
          <w:highlight w:val="none"/>
          <w:lang w:eastAsia="zh-CN"/>
        </w:rPr>
        <w:t>、</w:t>
      </w:r>
      <w:r>
        <w:rPr>
          <w:rFonts w:hint="eastAsia" w:ascii="宋体" w:hAnsi="宋体" w:cs="宋体"/>
          <w:bCs/>
          <w:highlight w:val="none"/>
          <w:lang w:val="en-US" w:eastAsia="zh-CN"/>
        </w:rPr>
        <w:t>境外交易所等</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持有期：</w:t>
      </w:r>
      <w:r>
        <w:rPr>
          <w:rFonts w:hint="eastAsia" w:ascii="宋体" w:hAnsi="宋体" w:cs="宋体"/>
          <w:b w:val="0"/>
          <w:bCs/>
          <w:color w:val="auto"/>
          <w:kern w:val="2"/>
          <w:highlight w:val="none"/>
          <w:lang w:eastAsia="zh-CN"/>
        </w:rPr>
        <w:t>指投资者认购或申购后，需</w:t>
      </w:r>
      <w:r>
        <w:rPr>
          <w:rFonts w:hint="eastAsia" w:ascii="宋体" w:hAnsi="宋体" w:cs="宋体"/>
          <w:bCs/>
          <w:color w:val="auto"/>
          <w:kern w:val="2"/>
          <w:highlight w:val="none"/>
        </w:rPr>
        <w:t>持有固定期限后才可进行赎回。</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eastAsia="zh"/>
        </w:rPr>
        <w:t>中</w:t>
      </w:r>
      <w:r>
        <w:rPr>
          <w:rFonts w:hint="eastAsia" w:ascii="宋体" w:hAnsi="宋体" w:cs="宋体"/>
          <w:b/>
          <w:color w:val="auto"/>
          <w:kern w:val="2"/>
          <w:highlight w:val="none"/>
          <w:lang w:val="en-US" w:eastAsia="zh-CN"/>
        </w:rPr>
        <w:t>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平衡型</w:t>
            </w:r>
            <w:r>
              <w:rPr>
                <w:rFonts w:hint="eastAsia" w:ascii="宋体" w:hAnsi="宋体" w:cs="宋体"/>
                <w:b w:val="0"/>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sz w:val="21"/>
                <w:szCs w:val="21"/>
                <w:highlight w:val="none"/>
                <w:lang w:eastAsia="zh-CN"/>
              </w:rPr>
              <w:t>丰收添益90天持有期理财1期理财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eastAsia="zh-CN"/>
              </w:rPr>
              <w:t>丰收添益90天持有期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lang w:val="en-US" w:eastAsia="zh-CN"/>
              </w:rPr>
              <w:t>〖FSTYGC90D2501〗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cs="宋体"/>
                <w:sz w:val="21"/>
                <w:szCs w:val="21"/>
                <w:highlight w:val="none"/>
              </w:rPr>
              <w:t>Z7002225000174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机构投资者〗以及〖</w:t>
            </w:r>
            <w:r>
              <w:rPr>
                <w:rFonts w:hint="eastAsia" w:ascii="宋体" w:hAnsi="宋体" w:cs="宋体"/>
                <w:b/>
                <w:color w:val="000000"/>
                <w:sz w:val="21"/>
                <w:szCs w:val="21"/>
                <w:highlight w:val="none"/>
              </w:rPr>
              <w:t>稳健型</w:t>
            </w:r>
            <w:r>
              <w:rPr>
                <w:rFonts w:hint="eastAsia" w:ascii="宋体" w:hAnsi="宋体" w:cs="宋体"/>
                <w:b/>
                <w:color w:val="000000"/>
                <w:sz w:val="21"/>
                <w:szCs w:val="21"/>
                <w:highlight w:val="none"/>
                <w:lang w:eastAsia="zh-CN"/>
              </w:rPr>
              <w:t>、</w:t>
            </w:r>
            <w:r>
              <w:rPr>
                <w:rFonts w:hint="eastAsia" w:ascii="宋体" w:hAnsi="宋体" w:cs="宋体"/>
                <w:b/>
                <w:color w:val="000000"/>
                <w:sz w:val="21"/>
                <w:szCs w:val="21"/>
                <w:highlight w:val="none"/>
              </w:rPr>
              <w:t>平衡型、成长型、进取型</w:t>
            </w:r>
            <w:r>
              <w:rPr>
                <w:rFonts w:hint="eastAsia" w:ascii="宋体" w:hAnsi="宋体" w:cs="宋体"/>
                <w:b/>
                <w:sz w:val="21"/>
                <w:szCs w:val="21"/>
                <w:highlight w:val="none"/>
              </w:rPr>
              <w:t>〗</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000000"/>
                <w:sz w:val="21"/>
                <w:szCs w:val="21"/>
                <w:highlight w:val="none"/>
                <w:lang w:eastAsia="zh-CN"/>
              </w:rPr>
            </w:pPr>
            <w:r>
              <w:rPr>
                <w:rFonts w:hint="eastAsia" w:ascii="宋体" w:hAnsi="宋体" w:cs="宋体"/>
                <w:b w:val="0"/>
                <w:bCs/>
                <w:color w:val="000000"/>
                <w:sz w:val="21"/>
                <w:szCs w:val="21"/>
                <w:highlight w:val="none"/>
                <w:lang w:eastAsia="zh-CN"/>
              </w:rPr>
              <w:t>其中：</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b w:val="0"/>
                <w:bCs/>
                <w:color w:val="000000"/>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sz w:val="21"/>
                <w:szCs w:val="21"/>
                <w:highlight w:val="none"/>
                <w:lang w:val="en-US" w:eastAsia="zh-CN"/>
              </w:rPr>
              <w:t>FSTYGC90D2501A</w:t>
            </w:r>
            <w:r>
              <w:rPr>
                <w:rFonts w:hint="eastAsia" w:ascii="宋体" w:hAnsi="宋体" w:cs="宋体"/>
                <w:b w:val="0"/>
                <w:bCs/>
                <w:color w:val="auto"/>
                <w:sz w:val="21"/>
                <w:szCs w:val="21"/>
                <w:highlight w:val="none"/>
                <w:lang w:eastAsia="zh-CN"/>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ascii="宋体" w:hAnsi="宋体" w:cs="宋体"/>
                <w:bCs/>
                <w:sz w:val="21"/>
                <w:szCs w:val="21"/>
                <w:highlight w:val="none"/>
              </w:rPr>
              <w:t>普通</w:t>
            </w:r>
            <w:r>
              <w:rPr>
                <w:rFonts w:hint="eastAsia" w:ascii="宋体" w:hAnsi="宋体" w:cs="宋体"/>
                <w:bCs/>
                <w:sz w:val="21"/>
                <w:szCs w:val="21"/>
                <w:highlight w:val="none"/>
              </w:rPr>
              <w:t>个人投资者和机构</w:t>
            </w:r>
            <w:r>
              <w:rPr>
                <w:rFonts w:hint="eastAsia" w:ascii="宋体" w:hAnsi="宋体" w:cs="宋体"/>
                <w:bCs/>
                <w:sz w:val="21"/>
                <w:szCs w:val="21"/>
                <w:highlight w:val="none"/>
                <w:lang w:val="en-US" w:eastAsia="zh-CN"/>
              </w:rPr>
              <w:t>投资者</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p>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sz w:val="21"/>
                <w:szCs w:val="21"/>
                <w:highlight w:val="none"/>
                <w:lang w:val="en-US" w:eastAsia="zh-CN"/>
              </w:rPr>
              <w:t>FSTYGC90D2501C</w:t>
            </w:r>
            <w:r>
              <w:rPr>
                <w:rFonts w:hint="eastAsia" w:ascii="宋体" w:hAnsi="宋体" w:cs="宋体"/>
                <w:b w:val="0"/>
                <w:bCs/>
                <w:color w:val="auto"/>
                <w:sz w:val="21"/>
                <w:szCs w:val="21"/>
                <w:highlight w:val="none"/>
                <w:lang w:eastAsia="zh-CN"/>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ascii="宋体" w:hAnsi="宋体" w:cs="宋体"/>
                <w:bCs/>
                <w:sz w:val="21"/>
                <w:szCs w:val="21"/>
                <w:highlight w:val="none"/>
              </w:rPr>
              <w:t>普通</w:t>
            </w:r>
            <w:r>
              <w:rPr>
                <w:rFonts w:hint="eastAsia" w:ascii="宋体" w:hAnsi="宋体" w:cs="宋体"/>
                <w:bCs/>
                <w:sz w:val="21"/>
                <w:szCs w:val="21"/>
                <w:highlight w:val="none"/>
              </w:rPr>
              <w:t>个人投资者和机构</w:t>
            </w:r>
            <w:r>
              <w:rPr>
                <w:rFonts w:hint="eastAsia" w:ascii="宋体" w:hAnsi="宋体" w:cs="宋体"/>
                <w:bCs/>
                <w:sz w:val="21"/>
                <w:szCs w:val="21"/>
                <w:highlight w:val="none"/>
                <w:lang w:val="en-US" w:eastAsia="zh-CN"/>
              </w:rPr>
              <w:t>投资者</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否</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2025</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2025</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2025</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2025</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2025</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1000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万元，则管理人可宣布本理财计划不成立并在原定理财计划成立日后</w:t>
            </w:r>
            <w:r>
              <w:rPr>
                <w:rFonts w:hint="eastAsia" w:ascii="宋体" w:hAnsi="宋体" w:cs="宋体"/>
                <w:sz w:val="21"/>
                <w:szCs w:val="21"/>
                <w:highlight w:val="none"/>
              </w:rPr>
              <w:t>〖</w:t>
            </w:r>
            <w:r>
              <w:rPr>
                <w:rFonts w:hint="eastAsia" w:ascii="宋体" w:hAnsi="宋体" w:cs="宋体"/>
                <w:color w:val="000000"/>
                <w:sz w:val="21"/>
                <w:szCs w:val="21"/>
                <w:highlight w:val="none"/>
              </w:rPr>
              <w:t>2</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本</w:t>
            </w:r>
            <w:r>
              <w:rPr>
                <w:rFonts w:hint="eastAsia" w:ascii="宋体" w:hAnsi="宋体" w:cs="宋体"/>
                <w:color w:val="000000"/>
                <w:sz w:val="21"/>
                <w:szCs w:val="21"/>
                <w:highlight w:val="none"/>
              </w:rPr>
              <w:t>理财计划</w:t>
            </w:r>
            <w:r>
              <w:rPr>
                <w:rFonts w:hint="eastAsia" w:ascii="宋体" w:hAnsi="宋体" w:cs="宋体"/>
                <w:color w:val="000000"/>
                <w:sz w:val="21"/>
                <w:szCs w:val="21"/>
                <w:highlight w:val="none"/>
                <w:lang w:val="en-US" w:eastAsia="zh-CN"/>
              </w:rPr>
              <w:t>的开放期为</w:t>
            </w:r>
            <w:r>
              <w:rPr>
                <w:rFonts w:hint="eastAsia" w:ascii="宋体" w:hAnsi="宋体" w:cs="宋体"/>
                <w:sz w:val="21"/>
                <w:szCs w:val="21"/>
                <w:highlight w:val="none"/>
              </w:rPr>
              <w:t>〖</w:t>
            </w:r>
            <w:r>
              <w:rPr>
                <w:rFonts w:hint="eastAsia" w:ascii="宋体" w:hAnsi="宋体" w:cs="宋体"/>
                <w:sz w:val="21"/>
                <w:szCs w:val="21"/>
                <w:highlight w:val="none"/>
                <w:lang w:val="en-US" w:eastAsia="zh-CN"/>
              </w:rPr>
              <w:t>封闭期后的每个交易日</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color w:val="000000"/>
                <w:sz w:val="21"/>
                <w:szCs w:val="21"/>
                <w:highlight w:val="none"/>
                <w:lang w:val="en-US" w:eastAsia="zh-CN"/>
              </w:rPr>
              <w:t>如遇开放确认日为非</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lang w:val="en-US" w:eastAsia="zh-CN"/>
              </w:rPr>
              <w:t>日</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。如遇特殊情况，则以管理人公告为准。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持有期</w:t>
            </w:r>
          </w:p>
        </w:tc>
        <w:tc>
          <w:tcPr>
            <w:tcW w:w="7185" w:type="dxa"/>
            <w:noWrap w:val="0"/>
            <w:vAlign w:val="center"/>
          </w:tcPr>
          <w:p>
            <w:pPr>
              <w:widowControl/>
              <w:spacing w:line="360" w:lineRule="auto"/>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本理财计划的持有期为</w:t>
            </w:r>
            <w:r>
              <w:rPr>
                <w:rFonts w:hint="eastAsia" w:ascii="宋体" w:hAnsi="宋体" w:cs="宋体"/>
                <w:sz w:val="21"/>
                <w:szCs w:val="21"/>
                <w:highlight w:val="none"/>
              </w:rPr>
              <w:t>〖</w:t>
            </w:r>
            <w:r>
              <w:rPr>
                <w:rFonts w:hint="eastAsia" w:ascii="宋体" w:hAnsi="宋体" w:cs="宋体"/>
                <w:sz w:val="21"/>
                <w:szCs w:val="21"/>
                <w:highlight w:val="none"/>
                <w:lang w:val="en-US" w:eastAsia="zh-CN"/>
              </w:rPr>
              <w:t>90</w:t>
            </w:r>
            <w:r>
              <w:rPr>
                <w:rFonts w:hint="eastAsia" w:ascii="宋体" w:hAnsi="宋体" w:cs="宋体"/>
                <w:sz w:val="21"/>
                <w:szCs w:val="21"/>
                <w:highlight w:val="none"/>
              </w:rPr>
              <w:t>〗</w:t>
            </w:r>
            <w:r>
              <w:rPr>
                <w:rFonts w:hint="eastAsia" w:ascii="宋体" w:hAnsi="宋体" w:cs="宋体"/>
                <w:sz w:val="21"/>
                <w:szCs w:val="21"/>
                <w:highlight w:val="none"/>
                <w:lang w:val="en-US" w:eastAsia="zh-CN"/>
              </w:rPr>
              <w:t>天，投资者认购/申购份额确认成功后，每一笔份额需自理财计划成立日（含）/确认日（含）起最低持有满</w:t>
            </w:r>
            <w:r>
              <w:rPr>
                <w:rFonts w:hint="eastAsia" w:ascii="宋体" w:hAnsi="宋体" w:cs="宋体"/>
                <w:sz w:val="21"/>
                <w:szCs w:val="21"/>
                <w:highlight w:val="none"/>
              </w:rPr>
              <w:t>〖</w:t>
            </w:r>
            <w:r>
              <w:rPr>
                <w:rFonts w:hint="eastAsia" w:ascii="宋体" w:hAnsi="宋体" w:cs="宋体"/>
                <w:sz w:val="21"/>
                <w:szCs w:val="21"/>
                <w:highlight w:val="none"/>
                <w:lang w:val="en-US" w:eastAsia="zh-CN"/>
              </w:rPr>
              <w:t>90</w:t>
            </w:r>
            <w:r>
              <w:rPr>
                <w:rFonts w:hint="eastAsia" w:ascii="宋体" w:hAnsi="宋体" w:cs="宋体"/>
                <w:sz w:val="21"/>
                <w:szCs w:val="21"/>
                <w:highlight w:val="none"/>
              </w:rPr>
              <w:t>〗</w:t>
            </w:r>
            <w:r>
              <w:rPr>
                <w:rFonts w:hint="eastAsia" w:ascii="宋体" w:hAnsi="宋体" w:cs="宋体"/>
                <w:sz w:val="21"/>
                <w:szCs w:val="21"/>
                <w:highlight w:val="none"/>
                <w:lang w:val="en-US" w:eastAsia="zh-CN"/>
              </w:rPr>
              <w:t>天后方可按规则申请赎回。如投资者多次购买理财计划，其中持有</w:t>
            </w:r>
            <w:r>
              <w:rPr>
                <w:rFonts w:hint="eastAsia" w:ascii="宋体" w:hAnsi="宋体" w:cs="宋体"/>
                <w:sz w:val="21"/>
                <w:szCs w:val="21"/>
                <w:highlight w:val="none"/>
              </w:rPr>
              <w:t>〖</w:t>
            </w:r>
            <w:r>
              <w:rPr>
                <w:rFonts w:hint="eastAsia" w:ascii="宋体" w:hAnsi="宋体" w:cs="宋体"/>
                <w:sz w:val="21"/>
                <w:szCs w:val="21"/>
                <w:highlight w:val="none"/>
                <w:lang w:val="en-US" w:eastAsia="zh-CN"/>
              </w:rPr>
              <w:t>90</w:t>
            </w:r>
            <w:r>
              <w:rPr>
                <w:rFonts w:hint="eastAsia" w:ascii="宋体" w:hAnsi="宋体" w:cs="宋体"/>
                <w:sz w:val="21"/>
                <w:szCs w:val="21"/>
                <w:highlight w:val="none"/>
              </w:rPr>
              <w:t>〗</w:t>
            </w:r>
            <w:r>
              <w:rPr>
                <w:rFonts w:hint="eastAsia" w:ascii="宋体" w:hAnsi="宋体" w:cs="宋体"/>
                <w:sz w:val="21"/>
                <w:szCs w:val="21"/>
                <w:highlight w:val="none"/>
                <w:lang w:val="en-US" w:eastAsia="zh-CN"/>
              </w:rPr>
              <w:t>天及以上的份额，可申请赎回；持有</w:t>
            </w:r>
            <w:r>
              <w:rPr>
                <w:rFonts w:hint="eastAsia" w:ascii="宋体" w:hAnsi="宋体" w:cs="宋体"/>
                <w:sz w:val="21"/>
                <w:szCs w:val="21"/>
                <w:highlight w:val="none"/>
              </w:rPr>
              <w:t>〖</w:t>
            </w:r>
            <w:r>
              <w:rPr>
                <w:rFonts w:hint="eastAsia" w:ascii="宋体" w:hAnsi="宋体" w:cs="宋体"/>
                <w:sz w:val="21"/>
                <w:szCs w:val="21"/>
                <w:highlight w:val="none"/>
                <w:lang w:val="en-US" w:eastAsia="zh-CN"/>
              </w:rPr>
              <w:t>90</w:t>
            </w:r>
            <w:r>
              <w:rPr>
                <w:rFonts w:hint="eastAsia" w:ascii="宋体" w:hAnsi="宋体" w:cs="宋体"/>
                <w:sz w:val="21"/>
                <w:szCs w:val="21"/>
                <w:highlight w:val="none"/>
              </w:rPr>
              <w:t>〗</w:t>
            </w:r>
            <w:r>
              <w:rPr>
                <w:rFonts w:hint="eastAsia" w:ascii="宋体" w:hAnsi="宋体" w:cs="宋体"/>
                <w:sz w:val="21"/>
                <w:szCs w:val="21"/>
                <w:highlight w:val="none"/>
                <w:lang w:val="en-US" w:eastAsia="zh-CN"/>
              </w:rPr>
              <w:t>天以内的份额，不可申请赎回。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1.本理财计划在每个开放期的开放日工作时间均可进行申购，申购申请将在确认日，即</w:t>
            </w:r>
            <w:r>
              <w:rPr>
                <w:rFonts w:hint="eastAsia" w:ascii="宋体" w:hAnsi="宋体" w:cs="宋体"/>
                <w:color w:val="000000"/>
                <w:sz w:val="21"/>
                <w:szCs w:val="21"/>
                <w:highlight w:val="none"/>
                <w:lang w:val="en-US" w:eastAsia="zh-CN"/>
              </w:rPr>
              <w:t>申购申请日</w:t>
            </w:r>
            <w:r>
              <w:rPr>
                <w:rFonts w:hint="eastAsia" w:ascii="宋体" w:hAnsi="宋体" w:cs="宋体"/>
                <w:color w:val="000000"/>
                <w:sz w:val="21"/>
                <w:szCs w:val="21"/>
                <w:highlight w:val="none"/>
              </w:rPr>
              <w:t>后的第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w:t>
            </w:r>
            <w:r>
              <w:rPr>
                <w:rFonts w:hint="eastAsia" w:ascii="宋体" w:hAnsi="宋体" w:cs="宋体"/>
                <w:sz w:val="21"/>
                <w:szCs w:val="21"/>
                <w:highlight w:val="none"/>
              </w:rPr>
              <w:t>〗</w:t>
            </w:r>
            <w:r>
              <w:rPr>
                <w:rFonts w:hint="eastAsia" w:ascii="宋体" w:hAnsi="宋体" w:cs="宋体"/>
                <w:bCs/>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满足最低持有期后，本理财计划在每个开放期的开放日工作时间均可进行赎回，赎回申请将在确认日，即赎回申请日后的第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w:t>
            </w:r>
            <w:r>
              <w:rPr>
                <w:rFonts w:hint="eastAsia" w:ascii="宋体" w:hAnsi="宋体" w:cs="宋体"/>
                <w:sz w:val="21"/>
                <w:szCs w:val="21"/>
                <w:highlight w:val="none"/>
              </w:rPr>
              <w:t>〗</w:t>
            </w:r>
            <w:r>
              <w:rPr>
                <w:rFonts w:hint="eastAsia" w:ascii="宋体" w:hAnsi="宋体" w:cs="宋体"/>
                <w:bCs/>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工作时间为每个〖</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日〗上午〖9:00〗至下午〖17:00〗。确认日如遇非〖</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kern w:val="0"/>
                <w:sz w:val="21"/>
                <w:szCs w:val="21"/>
                <w:highlight w:val="none"/>
                <w:lang w:val="en-US" w:eastAsia="zh-CN"/>
              </w:rPr>
              <w:t>4.在</w:t>
            </w:r>
            <w:r>
              <w:rPr>
                <w:rFonts w:hint="eastAsia" w:ascii="宋体" w:hAnsi="宋体" w:cs="宋体"/>
                <w:color w:val="000000"/>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的</w:t>
            </w:r>
            <w:r>
              <w:rPr>
                <w:rFonts w:hint="eastAsia" w:ascii="宋体" w:hAnsi="宋体" w:cs="宋体"/>
                <w:color w:val="000000"/>
                <w:sz w:val="21"/>
                <w:szCs w:val="21"/>
                <w:highlight w:val="none"/>
              </w:rPr>
              <w:t>〖17:00〗</w:t>
            </w:r>
            <w:r>
              <w:rPr>
                <w:rFonts w:hint="eastAsia" w:ascii="宋体" w:hAnsi="宋体" w:cs="宋体"/>
                <w:bCs/>
                <w:color w:val="000000"/>
                <w:sz w:val="21"/>
                <w:szCs w:val="21"/>
                <w:highlight w:val="none"/>
                <w:lang w:val="en-US" w:eastAsia="zh-CN"/>
              </w:rPr>
              <w:t>之前提交的申购和赎回申请，申请日为提出申请当日；在</w:t>
            </w:r>
            <w:r>
              <w:rPr>
                <w:rFonts w:hint="eastAsia" w:ascii="宋体" w:hAnsi="宋体" w:cs="宋体"/>
                <w:color w:val="000000"/>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bCs/>
                <w:color w:val="000000"/>
                <w:sz w:val="21"/>
                <w:szCs w:val="21"/>
                <w:highlight w:val="none"/>
                <w:lang w:val="en-US" w:eastAsia="zh-CN"/>
              </w:rPr>
              <w:t>的</w:t>
            </w:r>
            <w:r>
              <w:rPr>
                <w:rFonts w:hint="eastAsia" w:ascii="宋体" w:hAnsi="宋体" w:cs="宋体"/>
                <w:color w:val="000000"/>
                <w:sz w:val="21"/>
                <w:szCs w:val="21"/>
                <w:highlight w:val="none"/>
              </w:rPr>
              <w:t>〖17:00〗</w:t>
            </w:r>
            <w:r>
              <w:rPr>
                <w:rFonts w:hint="eastAsia" w:ascii="宋体" w:hAnsi="宋体" w:cs="宋体"/>
                <w:bCs/>
                <w:color w:val="000000"/>
                <w:sz w:val="21"/>
                <w:szCs w:val="21"/>
                <w:highlight w:val="none"/>
                <w:lang w:val="en-US" w:eastAsia="zh-CN"/>
              </w:rPr>
              <w:t>之后提交的申购和赎回申请，申请日为提出申请日的</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5.募集期/开放期内提交的交易申请，在理财计划成立日/确认日前一日下午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6.上述交易安排如有调整，请以管理人公告为准。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1.单户持有份额不得超过理财计划总份额的50%。</w:t>
            </w:r>
          </w:p>
          <w:p>
            <w:pPr>
              <w:widowControl/>
              <w:spacing w:line="360" w:lineRule="auto"/>
              <w:contextualSpacing/>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2.单户持有最高</w:t>
            </w:r>
            <w:r>
              <w:rPr>
                <w:rFonts w:hint="eastAsia" w:ascii="宋体" w:hAnsi="宋体" w:cs="宋体"/>
                <w:sz w:val="21"/>
                <w:szCs w:val="21"/>
                <w:highlight w:val="none"/>
              </w:rPr>
              <w:t>〖</w:t>
            </w:r>
            <w:r>
              <w:rPr>
                <w:rFonts w:hint="eastAsia" w:ascii="宋体" w:hAnsi="宋体" w:cs="宋体"/>
                <w:sz w:val="21"/>
                <w:szCs w:val="21"/>
                <w:highlight w:val="none"/>
                <w:lang w:val="en-US" w:eastAsia="zh-CN"/>
              </w:rPr>
              <w:t>金额</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为</w:t>
            </w:r>
            <w:r>
              <w:rPr>
                <w:rFonts w:hint="eastAsia" w:ascii="宋体" w:hAnsi="宋体" w:cs="宋体"/>
                <w:sz w:val="21"/>
                <w:szCs w:val="21"/>
                <w:highlight w:val="none"/>
              </w:rPr>
              <w:t>〖</w:t>
            </w:r>
            <w:r>
              <w:rPr>
                <w:rFonts w:hint="eastAsia" w:ascii="宋体" w:hAnsi="宋体" w:cs="宋体"/>
                <w:sz w:val="21"/>
                <w:szCs w:val="21"/>
                <w:highlight w:val="none"/>
                <w:lang w:val="en-US" w:eastAsia="zh-CN"/>
              </w:rPr>
              <w:t>5000</w:t>
            </w:r>
            <w:r>
              <w:rPr>
                <w:rFonts w:hint="eastAsia" w:ascii="宋体" w:hAnsi="宋体" w:cs="宋体"/>
                <w:sz w:val="21"/>
                <w:szCs w:val="21"/>
                <w:highlight w:val="none"/>
              </w:rPr>
              <w:t>〗</w:t>
            </w:r>
            <w:r>
              <w:rPr>
                <w:rFonts w:hint="eastAsia" w:ascii="宋体" w:hAnsi="宋体" w:cs="宋体"/>
                <w:sz w:val="21"/>
                <w:szCs w:val="21"/>
                <w:highlight w:val="none"/>
                <w:lang w:val="en-US" w:eastAsia="zh-CN"/>
              </w:rPr>
              <w:t>万元</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w:t>
            </w:r>
            <w:r>
              <w:rPr>
                <w:rFonts w:hint="eastAsia" w:ascii="宋体" w:hAnsi="宋体" w:cs="宋体"/>
                <w:bCs/>
                <w:color w:val="000000"/>
                <w:sz w:val="21"/>
                <w:szCs w:val="21"/>
                <w:highlight w:val="none"/>
              </w:rPr>
              <w:t>÷</w:t>
            </w:r>
            <w:r>
              <w:rPr>
                <w:rFonts w:hint="eastAsia" w:ascii="宋体" w:hAnsi="宋体" w:cs="宋体"/>
                <w:bCs/>
                <w:sz w:val="21"/>
                <w:szCs w:val="21"/>
                <w:highlight w:val="none"/>
              </w:rPr>
              <w:t>确认日</w:t>
            </w:r>
            <w:r>
              <w:rPr>
                <w:rFonts w:hint="eastAsia" w:ascii="宋体" w:hAnsi="宋体" w:cs="宋体"/>
                <w:bCs/>
                <w:sz w:val="21"/>
                <w:szCs w:val="21"/>
                <w:highlight w:val="none"/>
                <w:lang w:eastAsia="zh-CN"/>
              </w:rPr>
              <w:t>前一</w:t>
            </w:r>
            <w:bookmarkStart w:id="1" w:name="OLE_LINK5"/>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bookmarkEnd w:id="1"/>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bCs/>
                <w:sz w:val="21"/>
                <w:szCs w:val="21"/>
                <w:highlight w:val="none"/>
              </w:rPr>
              <w:t>的单位净值</w:t>
            </w:r>
            <w:r>
              <w:rPr>
                <w:rFonts w:hint="eastAsia" w:ascii="宋体" w:hAnsi="宋体" w:cs="宋体"/>
                <w:bCs/>
                <w:sz w:val="21"/>
                <w:szCs w:val="21"/>
                <w:highlight w:val="none"/>
                <w:lang w:val="en-US" w:eastAsia="zh-CN"/>
              </w:rPr>
              <w:t>-浮动管理费（如有）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六</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六</w:t>
            </w:r>
            <w:r>
              <w:rPr>
                <w:rFonts w:hint="eastAsia" w:ascii="宋体" w:hAnsi="宋体" w:cs="宋体"/>
                <w:color w:val="000000"/>
                <w:sz w:val="21"/>
                <w:szCs w:val="21"/>
                <w:highlight w:val="none"/>
                <w:lang w:eastAsia="zh-CN"/>
              </w:rPr>
              <w:t>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color w:val="000000"/>
                <w:sz w:val="21"/>
                <w:szCs w:val="21"/>
                <w:highlight w:val="none"/>
                <w:lang w:val="en-US" w:eastAsia="zh-CN"/>
              </w:rPr>
              <w:t>于</w:t>
            </w:r>
            <w:r>
              <w:rPr>
                <w:rFonts w:hint="eastAsia" w:ascii="宋体" w:hAnsi="宋体" w:eastAsia="宋体" w:cs="宋体"/>
                <w:sz w:val="21"/>
                <w:szCs w:val="21"/>
                <w:highlight w:val="none"/>
              </w:rPr>
              <w:t>〖</w:t>
            </w:r>
            <w:r>
              <w:rPr>
                <w:rFonts w:hint="eastAsia" w:ascii="宋体" w:hAnsi="宋体" w:cs="宋体"/>
                <w:color w:val="000000"/>
                <w:sz w:val="21"/>
                <w:szCs w:val="21"/>
                <w:highlight w:val="none"/>
                <w:lang w:val="en-US" w:eastAsia="zh-CN"/>
              </w:rPr>
              <w:t>确认日当</w:t>
            </w:r>
            <w:r>
              <w:rPr>
                <w:rFonts w:hint="eastAsia" w:ascii="宋体" w:hAnsi="宋体" w:cs="宋体"/>
                <w:color w:val="000000"/>
                <w:sz w:val="21"/>
                <w:szCs w:val="21"/>
                <w:highlight w:val="none"/>
                <w:lang w:eastAsia="zh-CN"/>
              </w:rPr>
              <w:t>日</w:t>
            </w:r>
            <w:r>
              <w:rPr>
                <w:rFonts w:hint="eastAsia" w:ascii="宋体" w:hAnsi="宋体" w:eastAsia="宋体" w:cs="宋体"/>
                <w:sz w:val="21"/>
                <w:szCs w:val="21"/>
                <w:highlight w:val="none"/>
              </w:rPr>
              <w:t>〗</w:t>
            </w:r>
            <w:r>
              <w:rPr>
                <w:rFonts w:hint="eastAsia" w:ascii="宋体" w:hAnsi="宋体" w:cs="宋体"/>
                <w:color w:val="000000"/>
                <w:sz w:val="21"/>
                <w:szCs w:val="21"/>
                <w:highlight w:val="none"/>
              </w:rPr>
              <w:t>，最晚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sz w:val="21"/>
                <w:szCs w:val="21"/>
                <w:highlight w:val="none"/>
              </w:rPr>
              <w:t>〖</w:t>
            </w:r>
            <w:r>
              <w:rPr>
                <w:rFonts w:hint="eastAsia" w:ascii="宋体" w:hAnsi="宋体" w:cs="宋体"/>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w:t>
            </w:r>
            <w:r>
              <w:rPr>
                <w:rFonts w:hint="eastAsia" w:ascii="宋体" w:hAnsi="宋体" w:cs="宋体"/>
                <w:kern w:val="2"/>
                <w:sz w:val="21"/>
                <w:szCs w:val="21"/>
                <w:highlight w:val="none"/>
                <w:lang w:val="en-US" w:eastAsia="zh-CN"/>
              </w:rPr>
              <w:t>%-2.80%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w:t>
            </w:r>
            <w:r>
              <w:rPr>
                <w:rFonts w:hint="eastAsia" w:ascii="宋体" w:hAnsi="宋体" w:cs="宋体"/>
                <w:kern w:val="2"/>
                <w:sz w:val="21"/>
                <w:szCs w:val="21"/>
                <w:highlight w:val="none"/>
                <w:lang w:val="en-US" w:eastAsia="zh-CN"/>
              </w:rPr>
              <w:t>%-2.90%</w:t>
            </w:r>
            <w:r>
              <w:rPr>
                <w:rFonts w:hint="eastAsia" w:ascii="宋体" w:hAnsi="宋体" w:cs="宋体"/>
                <w:sz w:val="21"/>
                <w:szCs w:val="21"/>
                <w:highlight w:val="none"/>
              </w:rPr>
              <w:t>〗（年化）。</w:t>
            </w:r>
          </w:p>
          <w:p>
            <w:pPr>
              <w:widowControl/>
              <w:spacing w:line="360" w:lineRule="auto"/>
              <w:jc w:val="left"/>
              <w:rPr>
                <w:rFonts w:hint="eastAsia" w:ascii="宋体" w:hAnsi="宋体" w:cs="宋体"/>
                <w:b/>
                <w:bCs/>
                <w:sz w:val="21"/>
                <w:szCs w:val="21"/>
                <w:highlight w:val="none"/>
              </w:rPr>
            </w:pPr>
            <w:r>
              <w:rPr>
                <w:rFonts w:hint="eastAsia" w:ascii="宋体" w:hAnsi="宋体" w:cs="宋体"/>
                <w:b/>
                <w:bCs/>
                <w:sz w:val="21"/>
                <w:szCs w:val="21"/>
                <w:highlight w:val="none"/>
              </w:rPr>
              <w:t>业绩基准测算依据：本理财计划重点投资于货币市场工具、同业存单、存款、债券等资产，同时根据流动性管理需要和监管要求配置不低于5%的高流动性资产。参考产品拟投资资产的收益率和市场表现，扣除各项费用，并结合投资策略综合测算得出本理财计划的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本理财计划为净值型理财产品，其业绩表现将随市场波动具有不确定性。本公司提醒投资者关注，业绩比较基准</w:t>
            </w:r>
            <w:r>
              <w:rPr>
                <w:rFonts w:hint="eastAsia" w:ascii="宋体" w:hAnsi="宋体" w:cs="宋体"/>
                <w:b/>
                <w:sz w:val="21"/>
                <w:szCs w:val="21"/>
                <w:highlight w:val="none"/>
                <w:lang w:eastAsia="zh-CN"/>
              </w:rPr>
              <w:t>不是预期收益率，</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bCs/>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本理财计划免除</w:t>
            </w:r>
            <w:r>
              <w:rPr>
                <w:rFonts w:hint="eastAsia" w:ascii="宋体" w:hAnsi="宋体" w:cs="宋体"/>
                <w:color w:val="000000"/>
                <w:sz w:val="21"/>
                <w:szCs w:val="21"/>
                <w:highlight w:val="none"/>
                <w:lang w:val="en-US" w:eastAsia="zh-CN"/>
              </w:rPr>
              <w:t>浮动管理</w:t>
            </w:r>
            <w:r>
              <w:rPr>
                <w:rFonts w:hint="eastAsia" w:ascii="宋体" w:hAnsi="宋体" w:cs="宋体"/>
                <w:color w:val="000000"/>
                <w:sz w:val="21"/>
                <w:szCs w:val="21"/>
                <w:highlight w:val="none"/>
              </w:rPr>
              <w:t>费</w:t>
            </w:r>
            <w:r>
              <w:rPr>
                <w:rFonts w:hint="eastAsia" w:ascii="宋体" w:hAnsi="宋体" w:eastAsia="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w:t>
      </w:r>
      <w:r>
        <w:rPr>
          <w:rFonts w:hint="eastAsia" w:ascii="宋体" w:hAnsi="宋体" w:cs="宋体"/>
          <w:bCs/>
          <w:sz w:val="24"/>
          <w:highlight w:val="none"/>
          <w:lang w:eastAsia="zh-CN"/>
        </w:rPr>
        <w:t>及相关资产的资产管理产品。</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ascii="宋体" w:hAnsi="宋体" w:cs="宋体"/>
                <w:bCs/>
                <w:sz w:val="21"/>
                <w:szCs w:val="21"/>
                <w:highlight w:val="none"/>
              </w:rPr>
            </w:pPr>
          </w:p>
        </w:tc>
        <w:tc>
          <w:tcPr>
            <w:tcW w:w="4740" w:type="dxa"/>
            <w:noWrap w:val="0"/>
            <w:vAlign w:val="top"/>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投资资产</w:t>
            </w:r>
          </w:p>
        </w:tc>
        <w:tc>
          <w:tcPr>
            <w:tcW w:w="1996" w:type="dxa"/>
            <w:noWrap w:val="0"/>
            <w:vAlign w:val="top"/>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大类资产类型</w:t>
            </w:r>
          </w:p>
        </w:tc>
        <w:tc>
          <w:tcPr>
            <w:tcW w:w="4740" w:type="dxa"/>
            <w:noWrap w:val="0"/>
            <w:vAlign w:val="top"/>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固定收益类资产</w:t>
            </w:r>
          </w:p>
        </w:tc>
        <w:tc>
          <w:tcPr>
            <w:tcW w:w="1996"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lang w:val="en-US" w:eastAsia="zh-CN"/>
              </w:rPr>
              <w:t>8</w:t>
            </w:r>
            <w:r>
              <w:rPr>
                <w:rFonts w:hint="eastAsia" w:ascii="宋体" w:hAnsi="宋体" w:cs="宋体"/>
                <w:bCs/>
                <w:sz w:val="21"/>
                <w:szCs w:val="21"/>
                <w:highlight w:val="none"/>
                <w:lang w:val="en-US" w:eastAsia="zh-CN"/>
              </w:rPr>
              <w:t>0</w:t>
            </w:r>
            <w:r>
              <w:rPr>
                <w:rFonts w:hint="eastAsia" w:ascii="宋体" w:hAnsi="宋体" w:cs="宋体"/>
                <w:bCs/>
                <w:sz w:val="21"/>
                <w:szCs w:val="21"/>
                <w:highlight w:val="none"/>
              </w:rPr>
              <w:t>%-</w:t>
            </w:r>
            <w:r>
              <w:rPr>
                <w:rFonts w:hint="eastAsia" w:ascii="宋体" w:hAnsi="宋体" w:cs="宋体"/>
                <w:bCs/>
                <w:sz w:val="21"/>
                <w:szCs w:val="21"/>
                <w:highlight w:val="none"/>
                <w:lang w:val="en-US" w:eastAsia="zh-CN"/>
              </w:rPr>
              <w:t>1</w:t>
            </w:r>
            <w:r>
              <w:rPr>
                <w:rFonts w:hint="eastAsia" w:ascii="宋体" w:hAnsi="宋体" w:cs="宋体"/>
                <w:bCs/>
                <w:sz w:val="21"/>
                <w:szCs w:val="21"/>
                <w:highlight w:val="none"/>
                <w:lang w:val="en-US" w:eastAsia="zh-CN"/>
              </w:rPr>
              <w:t>00</w:t>
            </w:r>
            <w:r>
              <w:rPr>
                <w:rFonts w:hint="eastAsia" w:ascii="宋体" w:hAnsi="宋体" w:cs="宋体"/>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 w:val="21"/>
                <w:szCs w:val="21"/>
                <w:highlight w:val="none"/>
              </w:rPr>
            </w:pPr>
          </w:p>
        </w:tc>
        <w:tc>
          <w:tcPr>
            <w:tcW w:w="4740" w:type="dxa"/>
            <w:noWrap w:val="0"/>
            <w:vAlign w:val="top"/>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权益类资产</w:t>
            </w:r>
          </w:p>
        </w:tc>
        <w:tc>
          <w:tcPr>
            <w:tcW w:w="1996"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lang w:val="en-US" w:eastAsia="zh-CN"/>
              </w:rPr>
              <w:t>0</w:t>
            </w:r>
            <w:r>
              <w:rPr>
                <w:rFonts w:hint="eastAsia" w:ascii="宋体" w:hAnsi="宋体" w:cs="宋体"/>
                <w:bCs/>
                <w:sz w:val="21"/>
                <w:szCs w:val="21"/>
                <w:highlight w:val="none"/>
              </w:rPr>
              <w:t>%-</w:t>
            </w:r>
            <w:r>
              <w:rPr>
                <w:rFonts w:hint="eastAsia" w:ascii="宋体" w:hAnsi="宋体" w:cs="宋体"/>
                <w:bCs/>
                <w:sz w:val="21"/>
                <w:szCs w:val="21"/>
                <w:highlight w:val="none"/>
                <w:lang w:val="en-US" w:eastAsia="zh-CN"/>
              </w:rPr>
              <w:t>10</w:t>
            </w:r>
            <w:r>
              <w:rPr>
                <w:rFonts w:hint="eastAsia" w:ascii="宋体" w:hAnsi="宋体" w:cs="宋体"/>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 w:val="21"/>
                <w:szCs w:val="21"/>
                <w:highlight w:val="none"/>
              </w:rPr>
            </w:pPr>
          </w:p>
        </w:tc>
        <w:tc>
          <w:tcPr>
            <w:tcW w:w="4740" w:type="dxa"/>
            <w:noWrap w:val="0"/>
            <w:vAlign w:val="top"/>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lang w:val="en-US" w:eastAsia="zh-CN"/>
              </w:rPr>
              <w:t>其他类</w:t>
            </w:r>
            <w:r>
              <w:rPr>
                <w:rFonts w:hint="eastAsia" w:ascii="宋体" w:hAnsi="宋体" w:cs="宋体"/>
                <w:bCs/>
                <w:sz w:val="21"/>
                <w:szCs w:val="21"/>
                <w:highlight w:val="none"/>
              </w:rPr>
              <w:t>资产</w:t>
            </w:r>
          </w:p>
        </w:tc>
        <w:tc>
          <w:tcPr>
            <w:tcW w:w="1996" w:type="dxa"/>
            <w:noWrap w:val="0"/>
            <w:vAlign w:val="center"/>
          </w:tcPr>
          <w:p>
            <w:pPr>
              <w:spacing w:line="360" w:lineRule="auto"/>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0</w:t>
            </w:r>
            <w:r>
              <w:rPr>
                <w:rFonts w:hint="eastAsia" w:ascii="宋体" w:hAnsi="宋体" w:cs="宋体"/>
                <w:bCs/>
                <w:sz w:val="21"/>
                <w:szCs w:val="21"/>
                <w:highlight w:val="none"/>
              </w:rPr>
              <w:t>%-</w:t>
            </w:r>
            <w:r>
              <w:rPr>
                <w:rFonts w:hint="eastAsia" w:ascii="宋体" w:hAnsi="宋体" w:cs="宋体"/>
                <w:bCs/>
                <w:sz w:val="21"/>
                <w:szCs w:val="21"/>
                <w:highlight w:val="none"/>
                <w:lang w:val="en-US" w:eastAsia="zh-CN"/>
              </w:rPr>
              <w:t>20</w:t>
            </w:r>
            <w:r>
              <w:rPr>
                <w:rFonts w:hint="eastAsia" w:ascii="宋体" w:hAnsi="宋体" w:cs="宋体"/>
                <w:bCs/>
                <w:sz w:val="21"/>
                <w:szCs w:val="21"/>
                <w:highlight w:val="none"/>
              </w:rPr>
              <w:t>%</w:t>
            </w:r>
          </w:p>
        </w:tc>
      </w:tr>
    </w:tbl>
    <w:p>
      <w:pPr>
        <w:pStyle w:val="17"/>
        <w:adjustRightInd/>
        <w:spacing w:line="360" w:lineRule="auto"/>
        <w:ind w:firstLine="456" w:firstLineChars="19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本理财计划特殊资产类型为基于大类资产类型项下的进一步细化分类，其配置比例不得超过大类资产配置比例。</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本理财计划自成立日起</w:t>
      </w:r>
      <w:r>
        <w:rPr>
          <w:rFonts w:hint="eastAsia" w:ascii="宋体" w:hAnsi="宋体" w:cs="宋体"/>
          <w:highlight w:val="none"/>
        </w:rPr>
        <w:t>〖</w:t>
      </w:r>
      <w:r>
        <w:rPr>
          <w:rFonts w:hint="eastAsia" w:ascii="宋体" w:hAnsi="宋体" w:cs="宋体"/>
          <w:bCs/>
          <w:color w:val="auto"/>
          <w:kern w:val="2"/>
          <w:highlight w:val="none"/>
        </w:rPr>
        <w:t>1</w:t>
      </w:r>
      <w:r>
        <w:rPr>
          <w:rFonts w:hint="eastAsia" w:ascii="宋体" w:hAnsi="宋体" w:cs="宋体"/>
          <w:highlight w:val="none"/>
        </w:rPr>
        <w:t>〗</w:t>
      </w:r>
      <w:r>
        <w:rPr>
          <w:rFonts w:hint="eastAsia" w:ascii="宋体" w:hAnsi="宋体" w:cs="宋体"/>
          <w:bCs/>
          <w:color w:val="auto"/>
          <w:kern w:val="2"/>
          <w:highlight w:val="none"/>
        </w:rPr>
        <w:t>个月为建仓期，管理人应当在建仓期结束前使各项投资比例符合约定。在理财计划存续期间如遇市场变化导致各类投资品投资比例暂时超出以上范围，为保护投资者利益，管理人将在流动性受限资产可出售、可转让或者恢复交易的15个交易日内调整至上述比例范围。</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大类</w:t>
      </w:r>
      <w:r>
        <w:rPr>
          <w:rFonts w:hint="eastAsia" w:ascii="宋体" w:hAnsi="宋体" w:cs="宋体"/>
          <w:bCs/>
          <w:color w:val="auto"/>
          <w:kern w:val="2"/>
          <w:highlight w:val="none"/>
        </w:rPr>
        <w:t>资产配置策略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管理人通过对宏观经济运行状况、国家政策、货币政策、产业政策、市场资金环境及证券市场环境的分析来判断经济周期的阶段和位置，通过定量和定性相结合的方式进行</w:t>
      </w:r>
      <w:r>
        <w:rPr>
          <w:rFonts w:hint="eastAsia" w:ascii="宋体" w:hAnsi="宋体" w:cs="宋体"/>
          <w:bCs/>
          <w:color w:val="auto"/>
          <w:kern w:val="2"/>
          <w:highlight w:val="none"/>
          <w:lang w:val="en-US" w:eastAsia="zh-CN"/>
        </w:rPr>
        <w:t>大类</w:t>
      </w:r>
      <w:r>
        <w:rPr>
          <w:rFonts w:hint="eastAsia" w:ascii="宋体" w:hAnsi="宋体" w:cs="宋体"/>
          <w:bCs/>
          <w:color w:val="auto"/>
          <w:kern w:val="2"/>
          <w:highlight w:val="none"/>
        </w:rPr>
        <w:t>资产管理</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主动判断市场时机进行资产配置，确定在</w:t>
      </w:r>
      <w:r>
        <w:rPr>
          <w:rFonts w:hint="eastAsia"/>
          <w:highlight w:val="none"/>
          <w:lang w:val="en-US" w:eastAsia="zh-CN"/>
        </w:rPr>
        <w:t>存款、存单、</w:t>
      </w:r>
      <w:r>
        <w:rPr>
          <w:rFonts w:hint="eastAsia" w:ascii="宋体" w:hAnsi="宋体" w:cs="宋体"/>
          <w:bCs/>
          <w:color w:val="auto"/>
          <w:kern w:val="2"/>
          <w:highlight w:val="none"/>
        </w:rPr>
        <w:t>债券</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优先股</w:t>
      </w:r>
      <w:r>
        <w:rPr>
          <w:rFonts w:hint="eastAsia" w:ascii="宋体" w:hAnsi="宋体" w:cs="宋体"/>
          <w:bCs/>
          <w:color w:val="auto"/>
          <w:kern w:val="2"/>
          <w:highlight w:val="none"/>
        </w:rPr>
        <w:t>等各类资产上的投资比例。</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债券投资策略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管理人本着稳健投资的理念，基于宏观经济形势、货币政策、固定收益资产价格走势，采用安全性和流动性优先、优选投资品种，</w:t>
      </w:r>
      <w:r>
        <w:rPr>
          <w:rFonts w:hint="eastAsia" w:ascii="宋体" w:hAnsi="宋体" w:cs="宋体"/>
          <w:bCs/>
          <w:color w:val="auto"/>
          <w:kern w:val="2"/>
          <w:highlight w:val="none"/>
          <w:lang w:val="en-US" w:eastAsia="zh-CN"/>
        </w:rPr>
        <w:t>综合运用信用策略、久期策略、杠杆策略、曲线策略、交易策略等</w:t>
      </w:r>
      <w:r>
        <w:rPr>
          <w:rFonts w:hint="eastAsia" w:ascii="宋体" w:hAnsi="宋体" w:cs="宋体"/>
          <w:bCs/>
          <w:color w:val="auto"/>
          <w:kern w:val="2"/>
          <w:highlight w:val="none"/>
        </w:rPr>
        <w:t>。</w:t>
      </w:r>
    </w:p>
    <w:p>
      <w:pPr>
        <w:numPr>
          <w:ilvl w:val="0"/>
          <w:numId w:val="23"/>
        </w:numPr>
        <w:spacing w:line="360" w:lineRule="auto"/>
        <w:jc w:val="left"/>
        <w:rPr>
          <w:rFonts w:ascii="宋体" w:hAnsi="宋体" w:cs="宋体"/>
          <w:bCs/>
          <w:sz w:val="24"/>
          <w:highlight w:val="none"/>
        </w:rPr>
      </w:pPr>
      <w:r>
        <w:rPr>
          <w:rFonts w:hint="eastAsia" w:ascii="宋体" w:hAnsi="宋体" w:cs="宋体"/>
          <w:bCs/>
          <w:sz w:val="24"/>
          <w:highlight w:val="none"/>
        </w:rPr>
        <w:t>权益</w:t>
      </w:r>
      <w:r>
        <w:rPr>
          <w:rFonts w:hint="eastAsia" w:ascii="宋体" w:hAnsi="宋体" w:cs="宋体"/>
          <w:bCs/>
          <w:sz w:val="24"/>
          <w:highlight w:val="none"/>
          <w:lang w:val="en-US" w:eastAsia="zh-CN"/>
        </w:rPr>
        <w:t>类</w:t>
      </w:r>
      <w:r>
        <w:rPr>
          <w:rFonts w:hint="eastAsia" w:ascii="宋体" w:hAnsi="宋体" w:cs="宋体"/>
          <w:bCs/>
          <w:sz w:val="24"/>
          <w:highlight w:val="none"/>
        </w:rPr>
        <w:t>资产策略</w:t>
      </w:r>
    </w:p>
    <w:p>
      <w:pPr>
        <w:pStyle w:val="17"/>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sz w:val="24"/>
          <w:highlight w:val="none"/>
        </w:rPr>
        <w:t>管理人</w:t>
      </w:r>
      <w:r>
        <w:rPr>
          <w:rFonts w:hint="eastAsia" w:ascii="宋体" w:hAnsi="宋体" w:cs="宋体"/>
          <w:bCs/>
          <w:color w:val="auto"/>
          <w:kern w:val="2"/>
          <w:sz w:val="24"/>
          <w:highlight w:val="none"/>
          <w:u w:val="none"/>
          <w:lang w:val="en-US" w:eastAsia="zh-CN"/>
        </w:rPr>
        <w:t>结合产品流动性和市场情况，择机在组合中配置优先股权益类资产</w:t>
      </w:r>
      <w:r>
        <w:rPr>
          <w:rFonts w:hint="eastAsia" w:ascii="宋体" w:hAnsi="宋体" w:cs="宋体"/>
          <w:bCs/>
          <w:color w:val="auto"/>
          <w:kern w:val="2"/>
          <w:sz w:val="24"/>
          <w:highlight w:val="none"/>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eastAsia="宋体" w:cs="宋体"/>
          <w:b w:val="0"/>
          <w:bCs/>
          <w:sz w:val="24"/>
          <w:highlight w:val="none"/>
          <w:lang w:val="en-US" w:eastAsia="zh-CN"/>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
          <w:bCs/>
          <w:color w:val="000000"/>
          <w:sz w:val="24"/>
          <w:highlight w:val="none"/>
          <w:lang w:val="en-US" w:eastAsia="zh-CN"/>
        </w:rPr>
        <w:t>a、c</w:t>
      </w:r>
      <w:r>
        <w:rPr>
          <w:rFonts w:hint="eastAsia" w:ascii="宋体" w:hAnsi="宋体" w:cs="宋体"/>
          <w:bCs/>
          <w:color w:val="000000"/>
          <w:sz w:val="24"/>
          <w:highlight w:val="none"/>
        </w:rPr>
        <w:t>】</w:t>
      </w:r>
    </w:p>
    <w:p>
      <w:pPr>
        <w:numPr>
          <w:ilvl w:val="0"/>
          <w:numId w:val="28"/>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本理财计划</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8"/>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8"/>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本理财计划不存在活跃交易市场，并且需要采用估值技术确定公允价值的资产比例不得超过理财产品净资产50%以上。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3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3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3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777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6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托管人名称</w:t>
            </w:r>
          </w:p>
        </w:tc>
        <w:tc>
          <w:tcPr>
            <w:tcW w:w="6030" w:type="dxa"/>
            <w:noWrap w:val="0"/>
            <w:vAlign w:val="top"/>
          </w:tcPr>
          <w:p>
            <w:pPr>
              <w:spacing w:line="360" w:lineRule="auto"/>
              <w:jc w:val="left"/>
              <w:rPr>
                <w:rFonts w:ascii="宋体" w:hAnsi="宋体" w:cs="宋体"/>
                <w:bCs/>
                <w:sz w:val="21"/>
                <w:szCs w:val="21"/>
                <w:highlight w:val="none"/>
              </w:rPr>
            </w:pPr>
            <w:r>
              <w:rPr>
                <w:rFonts w:hint="eastAsia" w:ascii="宋体" w:hAnsi="宋体" w:cs="宋体"/>
                <w:bCs/>
                <w:sz w:val="21"/>
                <w:szCs w:val="21"/>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托管人住所</w:t>
            </w:r>
          </w:p>
        </w:tc>
        <w:tc>
          <w:tcPr>
            <w:tcW w:w="6030" w:type="dxa"/>
            <w:noWrap w:val="0"/>
            <w:vAlign w:val="top"/>
          </w:tcPr>
          <w:p>
            <w:pPr>
              <w:spacing w:line="360" w:lineRule="auto"/>
              <w:jc w:val="left"/>
              <w:rPr>
                <w:rFonts w:hint="eastAsia" w:ascii="宋体" w:hAnsi="宋体" w:cs="宋体"/>
                <w:bCs/>
                <w:sz w:val="21"/>
                <w:szCs w:val="21"/>
                <w:highlight w:val="none"/>
              </w:rPr>
            </w:pPr>
            <w:r>
              <w:rPr>
                <w:rFonts w:hint="eastAsia" w:ascii="宋体" w:hAnsi="宋体" w:cs="宋体"/>
                <w:bCs/>
                <w:sz w:val="21"/>
                <w:szCs w:val="21"/>
                <w:highlight w:val="none"/>
              </w:rPr>
              <w:t>杭州市</w:t>
            </w:r>
            <w:r>
              <w:rPr>
                <w:rFonts w:hint="eastAsia" w:ascii="宋体" w:hAnsi="宋体" w:cs="宋体"/>
                <w:bCs/>
                <w:sz w:val="21"/>
                <w:szCs w:val="21"/>
                <w:highlight w:val="none"/>
                <w:lang w:val="en-US" w:eastAsia="zh-CN"/>
              </w:rPr>
              <w:t>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托管人职责</w:t>
            </w:r>
          </w:p>
        </w:tc>
        <w:tc>
          <w:tcPr>
            <w:tcW w:w="6030" w:type="dxa"/>
            <w:noWrap w:val="0"/>
            <w:vAlign w:val="top"/>
          </w:tcPr>
          <w:p>
            <w:pPr>
              <w:spacing w:line="360" w:lineRule="auto"/>
              <w:jc w:val="left"/>
              <w:rPr>
                <w:rFonts w:hint="eastAsia" w:ascii="宋体" w:hAnsi="宋体" w:cs="宋体"/>
                <w:bCs/>
                <w:sz w:val="21"/>
                <w:szCs w:val="21"/>
                <w:highlight w:val="none"/>
              </w:rPr>
            </w:pPr>
            <w:r>
              <w:rPr>
                <w:rFonts w:hint="eastAsia" w:ascii="宋体" w:hAnsi="宋体" w:cs="宋体"/>
                <w:bCs/>
                <w:sz w:val="21"/>
                <w:szCs w:val="21"/>
                <w:highlight w:val="none"/>
              </w:rPr>
              <w:t>主要提供包括账户开立、资金保管、资金结算、估值核对等理财产品托管服务。</w:t>
            </w:r>
          </w:p>
        </w:tc>
      </w:tr>
    </w:tbl>
    <w:p>
      <w:pPr>
        <w:numPr>
          <w:ilvl w:val="0"/>
          <w:numId w:val="3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7802"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475"/>
        <w:gridCol w:w="1155"/>
        <w:gridCol w:w="3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62"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销售机构信息</w:t>
            </w:r>
          </w:p>
        </w:tc>
        <w:tc>
          <w:tcPr>
            <w:tcW w:w="2475" w:type="dxa"/>
            <w:vMerge w:val="restart"/>
            <w:noWrap w:val="0"/>
            <w:vAlign w:val="center"/>
          </w:tcPr>
          <w:p>
            <w:pPr>
              <w:keepNext w:val="0"/>
              <w:keepLines w:val="0"/>
              <w:widowControl/>
              <w:suppressLineNumbers w:val="0"/>
              <w:spacing w:line="360" w:lineRule="auto"/>
              <w:jc w:val="center"/>
              <w:textAlignment w:val="auto"/>
              <w:rPr>
                <w:rFonts w:hint="eastAsia" w:ascii="宋体" w:hAnsi="宋体" w:cs="宋体"/>
                <w:bCs/>
                <w:sz w:val="21"/>
                <w:szCs w:val="21"/>
                <w:highlight w:val="none"/>
              </w:rPr>
            </w:pPr>
            <w:r>
              <w:rPr>
                <w:rFonts w:hint="eastAsia" w:ascii="宋体" w:hAnsi="宋体" w:cs="宋体"/>
                <w:bCs/>
                <w:color w:val="auto"/>
                <w:sz w:val="21"/>
                <w:szCs w:val="21"/>
                <w:highlight w:val="none"/>
                <w:lang w:bidi="ar"/>
              </w:rPr>
              <w:t>宁波镇海农村商业银行股份有限公司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宁波市镇海区骆驼街道镇海大道中段788号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0574-86297777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宁波慈溪农村商业银行股份有限公司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浙江省慈溪市浒山街道南城路25号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0574-63810682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浙江萧山农村商业银行股份有限公司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杭州市萧山区城厢街道人民路258号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浙江台州路桥农村商业银行股份有限公司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浙江省台州市路桥区路北街道中心大道5789号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浙江温岭农村商业银行股份有限公司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温岭市城东街道下保路100号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0576-81627780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浙江台州黄岩农村商业银行股份有限公司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浙江台州黄岩洞天路88号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0576-89996596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湖州吴兴农村商业银行股份有限公司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浙江省湖州市吴兴区东街55号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浙江龙港农村商业银行股份有限公司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浙江省龙港市人民路1000号荣御府5号楼101室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0577-68719669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restart"/>
            <w:noWrap w:val="0"/>
            <w:vAlign w:val="center"/>
          </w:tcPr>
          <w:p>
            <w:pPr>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宁波北仑农村商业银行股份有限公司</w:t>
            </w: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住所</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浙江省新碶宝山路69号（凤凰国际商务广场）1幢69号、63号（凤凰国际商务广场）1幢（2-26层）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 w:val="21"/>
                <w:szCs w:val="21"/>
                <w:highlight w:val="none"/>
              </w:rPr>
            </w:pPr>
          </w:p>
        </w:tc>
        <w:tc>
          <w:tcPr>
            <w:tcW w:w="2475" w:type="dxa"/>
            <w:vMerge w:val="continue"/>
            <w:noWrap w:val="0"/>
            <w:vAlign w:val="center"/>
          </w:tcPr>
          <w:p>
            <w:pPr>
              <w:spacing w:line="360" w:lineRule="auto"/>
              <w:jc w:val="center"/>
              <w:rPr>
                <w:rFonts w:hint="eastAsia" w:ascii="宋体" w:hAnsi="宋体" w:cs="宋体"/>
                <w:bCs/>
                <w:sz w:val="21"/>
                <w:szCs w:val="21"/>
                <w:highlight w:val="none"/>
              </w:rPr>
            </w:pPr>
          </w:p>
        </w:tc>
        <w:tc>
          <w:tcPr>
            <w:tcW w:w="1155"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客服热线</w:t>
            </w:r>
          </w:p>
        </w:tc>
        <w:tc>
          <w:tcPr>
            <w:tcW w:w="3210" w:type="dxa"/>
            <w:noWrap w:val="0"/>
            <w:vAlign w:val="center"/>
          </w:tcPr>
          <w:p>
            <w:pPr>
              <w:keepNext w:val="0"/>
              <w:keepLines w:val="0"/>
              <w:widowControl/>
              <w:suppressLineNumbers w:val="0"/>
              <w:spacing w:line="360" w:lineRule="auto"/>
              <w:jc w:val="center"/>
              <w:textAlignment w:val="auto"/>
              <w:rPr>
                <w:rFonts w:hint="eastAsia" w:ascii="宋体" w:hAnsi="宋体" w:eastAsia="宋体" w:cs="宋体"/>
                <w:bCs/>
                <w:i w:val="0"/>
                <w:color w:val="auto"/>
                <w:kern w:val="2"/>
                <w:sz w:val="21"/>
                <w:szCs w:val="21"/>
                <w:highlight w:val="none"/>
                <w:u w:val="none"/>
                <w:lang w:val="en-US" w:eastAsia="zh-CN" w:bidi="ar"/>
              </w:rPr>
            </w:pPr>
            <w:r>
              <w:rPr>
                <w:rFonts w:hint="eastAsia" w:ascii="宋体" w:hAnsi="宋体" w:eastAsia="宋体" w:cs="宋体"/>
                <w:bCs/>
                <w:i w:val="0"/>
                <w:color w:val="auto"/>
                <w:kern w:val="2"/>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noWrap w:val="0"/>
            <w:vAlign w:val="center"/>
          </w:tcPr>
          <w:p>
            <w:pPr>
              <w:spacing w:line="360" w:lineRule="auto"/>
              <w:jc w:val="center"/>
              <w:rPr>
                <w:rFonts w:ascii="宋体" w:hAnsi="宋体" w:cs="宋体"/>
                <w:bCs/>
                <w:sz w:val="21"/>
                <w:szCs w:val="21"/>
                <w:highlight w:val="none"/>
              </w:rPr>
            </w:pPr>
            <w:r>
              <w:rPr>
                <w:rFonts w:hint="eastAsia" w:ascii="宋体" w:hAnsi="宋体" w:cs="宋体"/>
                <w:bCs/>
                <w:sz w:val="21"/>
                <w:szCs w:val="21"/>
                <w:highlight w:val="none"/>
              </w:rPr>
              <w:t>销售机构职责</w:t>
            </w:r>
          </w:p>
        </w:tc>
        <w:tc>
          <w:tcPr>
            <w:tcW w:w="6840" w:type="dxa"/>
            <w:gridSpan w:val="3"/>
            <w:noWrap w:val="0"/>
            <w:vAlign w:val="top"/>
          </w:tcPr>
          <w:p>
            <w:pPr>
              <w:spacing w:line="360" w:lineRule="auto"/>
              <w:jc w:val="left"/>
              <w:rPr>
                <w:rFonts w:hint="eastAsia" w:ascii="宋体" w:hAnsi="宋体" w:cs="宋体"/>
                <w:bCs/>
                <w:sz w:val="21"/>
                <w:szCs w:val="21"/>
                <w:highlight w:val="none"/>
              </w:rPr>
            </w:pPr>
            <w:r>
              <w:rPr>
                <w:rFonts w:hint="eastAsia" w:ascii="宋体" w:hAnsi="宋体" w:cs="宋体"/>
                <w:bCs/>
                <w:sz w:val="21"/>
                <w:szCs w:val="21"/>
                <w:highlight w:val="none"/>
              </w:rPr>
              <w:t>主要负责理财计划推广、投资者风险承受能力评估、投资者适当性管理、理财计划份额认购、申购及赎回办理。</w:t>
            </w:r>
          </w:p>
          <w:p>
            <w:pPr>
              <w:spacing w:line="360" w:lineRule="auto"/>
              <w:jc w:val="left"/>
              <w:rPr>
                <w:rFonts w:ascii="宋体" w:hAnsi="宋体" w:cs="宋体"/>
                <w:bCs/>
                <w:sz w:val="21"/>
                <w:szCs w:val="21"/>
                <w:highlight w:val="none"/>
              </w:rPr>
            </w:pPr>
            <w:r>
              <w:rPr>
                <w:rFonts w:hint="eastAsia" w:ascii="宋体" w:hAnsi="宋体" w:cs="宋体"/>
                <w:bCs/>
                <w:sz w:val="21"/>
                <w:szCs w:val="21"/>
                <w:highlight w:val="none"/>
              </w:rPr>
              <w:t>协助管理人负责与投资者签订理财计划合同、与投资者沟通及进行信息披露、接受投资者咨询和维护等销售服务。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6"/>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6"/>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6"/>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5"/>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理财计划财产的年化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bCs/>
          <w:color w:val="000000"/>
          <w:sz w:val="24"/>
          <w:highlight w:val="none"/>
          <w:lang w:val="en-US" w:eastAsia="zh-CN"/>
        </w:rPr>
        <w:t>0.025%</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bCs/>
          <w:color w:val="000000"/>
          <w:sz w:val="24"/>
          <w:highlight w:val="none"/>
          <w:lang w:val="en-US" w:eastAsia="zh-CN"/>
        </w:rPr>
        <w:t>0.025%</w:t>
      </w:r>
      <w:r>
        <w:rPr>
          <w:rFonts w:hint="eastAsia" w:ascii="宋体" w:hAnsi="宋体" w:cs="宋体"/>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理财计划财产的年化固定管理费率为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40"/>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40"/>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41"/>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bookmarkStart w:id="2" w:name="OLE_LINK2"/>
      <w:bookmarkStart w:id="3" w:name="OLE_LINK11"/>
      <w:r>
        <w:rPr>
          <w:rFonts w:hint="eastAsia" w:ascii="宋体" w:hAnsi="宋体" w:cs="宋体"/>
          <w:bCs/>
          <w:color w:val="000000"/>
          <w:sz w:val="24"/>
          <w:highlight w:val="none"/>
        </w:rPr>
        <w:t>本理财计划免除</w:t>
      </w:r>
      <w:r>
        <w:rPr>
          <w:rFonts w:hint="eastAsia" w:ascii="宋体" w:hAnsi="宋体" w:cs="宋体"/>
          <w:bCs/>
          <w:color w:val="000000"/>
          <w:sz w:val="24"/>
          <w:highlight w:val="none"/>
          <w:lang w:val="en-US" w:eastAsia="zh-CN"/>
        </w:rPr>
        <w:t>浮动管理费。</w:t>
      </w:r>
    </w:p>
    <w:bookmarkEnd w:id="2"/>
    <w:bookmarkEnd w:id="3"/>
    <w:p>
      <w:pPr>
        <w:numPr>
          <w:ilvl w:val="0"/>
          <w:numId w:val="42"/>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5"/>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5"/>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default" w:ascii="宋体" w:hAnsi="宋体" w:eastAsia="宋体" w:cs="宋体"/>
          <w:bCs/>
          <w:color w:val="000000"/>
          <w:sz w:val="24"/>
          <w:highlight w:val="none"/>
          <w:lang w:val="en-US" w:eastAsia="zh-CN"/>
        </w:rPr>
      </w:pPr>
      <w:bookmarkStart w:id="4" w:name="OLE_LINK1"/>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r>
        <w:rPr>
          <w:rFonts w:hint="eastAsia" w:ascii="宋体" w:hAnsi="宋体" w:cs="宋体"/>
          <w:bCs/>
          <w:sz w:val="24"/>
          <w:highlight w:val="none"/>
          <w:lang w:val="en-US" w:eastAsia="zh-CN"/>
        </w:rPr>
        <w:t>-浮动管理费（如有）</w:t>
      </w:r>
    </w:p>
    <w:bookmarkEnd w:id="4"/>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6"/>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0"/>
        </w:numPr>
        <w:spacing w:line="360" w:lineRule="auto"/>
        <w:ind w:left="420" w:leftChars="0"/>
        <w:jc w:val="left"/>
        <w:outlineLvl w:val="2"/>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numPr>
          <w:ilvl w:val="0"/>
          <w:numId w:val="4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扣除托管费、固定管理费、销售服务费（如有）后，投资</w:t>
      </w:r>
      <w:r>
        <w:rPr>
          <w:rFonts w:hint="eastAsia" w:ascii="宋体" w:hAnsi="宋体" w:cs="宋体"/>
          <w:b/>
          <w:color w:val="000000"/>
          <w:sz w:val="24"/>
          <w:highlight w:val="none"/>
          <w:lang w:val="en-US" w:eastAsia="zh-CN"/>
        </w:rPr>
        <w:t>产生盈利</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sz w:val="24"/>
          <w:highlight w:val="none"/>
          <w:lang w:eastAsia="zh-CN"/>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本产品</w:t>
      </w:r>
      <w:r>
        <w:rPr>
          <w:rFonts w:hint="eastAsia" w:ascii="宋体" w:hAnsi="宋体" w:cs="宋体"/>
          <w:bCs/>
          <w:color w:val="000000"/>
          <w:sz w:val="24"/>
          <w:highlight w:val="none"/>
        </w:rPr>
        <w:t>为例，假设购买时理财计划净值为1.00</w:t>
      </w:r>
      <w:r>
        <w:rPr>
          <w:rFonts w:hint="eastAsia" w:ascii="宋体" w:hAnsi="宋体" w:cs="宋体"/>
          <w:bCs/>
          <w:color w:val="000000"/>
          <w:sz w:val="24"/>
          <w:highlight w:val="none"/>
          <w:lang w:val="en-US" w:eastAsia="zh-CN"/>
        </w:rPr>
        <w:t>0000</w:t>
      </w:r>
      <w:r>
        <w:rPr>
          <w:rFonts w:hint="eastAsia" w:ascii="宋体" w:hAnsi="宋体" w:cs="宋体"/>
          <w:bCs/>
          <w:color w:val="000000"/>
          <w:sz w:val="24"/>
          <w:highlight w:val="none"/>
        </w:rPr>
        <w:t>元，折算份额为100,000.00份，假设投资理财计划362天。到期时扣除托管费、固定管理费、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期间无分红，</w:t>
      </w:r>
      <w:r>
        <w:rPr>
          <w:rFonts w:hint="eastAsia" w:ascii="宋体" w:hAnsi="宋体" w:cs="宋体"/>
          <w:bCs/>
          <w:color w:val="000000"/>
          <w:sz w:val="24"/>
          <w:highlight w:val="none"/>
        </w:rPr>
        <w:t>此时，(1.0426</w:t>
      </w:r>
      <w:r>
        <w:rPr>
          <w:rFonts w:hint="eastAsia" w:ascii="宋体" w:hAnsi="宋体" w:cs="宋体"/>
          <w:bCs/>
          <w:color w:val="000000"/>
          <w:sz w:val="24"/>
          <w:highlight w:val="none"/>
          <w:lang w:val="en-US" w:eastAsia="zh-CN"/>
        </w:rPr>
        <w:t>00</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1.00</w:t>
      </w:r>
      <w:r>
        <w:rPr>
          <w:rFonts w:hint="eastAsia" w:ascii="宋体" w:hAnsi="宋体" w:cs="宋体"/>
          <w:bCs/>
          <w:color w:val="000000"/>
          <w:sz w:val="24"/>
          <w:highlight w:val="none"/>
          <w:lang w:val="en-US" w:eastAsia="zh-CN"/>
        </w:rPr>
        <w:t>0000</w:t>
      </w:r>
      <w:r>
        <w:rPr>
          <w:rFonts w:hint="eastAsia" w:ascii="宋体" w:hAnsi="宋体" w:cs="宋体"/>
          <w:bCs/>
          <w:color w:val="000000"/>
          <w:sz w:val="24"/>
          <w:highlight w:val="none"/>
        </w:rPr>
        <w:t>-1)×365</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362=4.30%，即投资</w:t>
      </w:r>
      <w:r>
        <w:rPr>
          <w:rFonts w:hint="eastAsia" w:ascii="宋体" w:hAnsi="宋体" w:cs="宋体"/>
          <w:bCs/>
          <w:color w:val="000000"/>
          <w:sz w:val="24"/>
          <w:highlight w:val="none"/>
          <w:lang w:val="en-US" w:eastAsia="zh-CN"/>
        </w:rPr>
        <w:t>收益达到年化</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4.30%</w:t>
      </w:r>
      <w:r>
        <w:rPr>
          <w:rFonts w:hint="eastAsia" w:ascii="宋体" w:hAnsi="宋体" w:cs="宋体"/>
          <w:bCs/>
          <w:color w:val="000000"/>
          <w:sz w:val="24"/>
          <w:highlight w:val="none"/>
        </w:rPr>
        <w:t>〗，投资者最终收益为：100,000.00×(1.0426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w:t>
      </w:r>
      <w:r>
        <w:rPr>
          <w:rFonts w:hint="eastAsia" w:ascii="宋体" w:hAnsi="宋体" w:cs="宋体"/>
          <w:bCs/>
          <w:color w:val="000000"/>
          <w:sz w:val="24"/>
          <w:highlight w:val="none"/>
          <w:lang w:val="en-US" w:eastAsia="zh-CN"/>
        </w:rPr>
        <w:t>0000</w:t>
      </w:r>
      <w:r>
        <w:rPr>
          <w:rFonts w:hint="eastAsia" w:ascii="宋体" w:hAnsi="宋体" w:cs="宋体"/>
          <w:bCs/>
          <w:color w:val="000000"/>
          <w:sz w:val="24"/>
          <w:highlight w:val="none"/>
        </w:rPr>
        <w:t>）=4,260.00（元）</w:t>
      </w:r>
    </w:p>
    <w:p>
      <w:pPr>
        <w:numPr>
          <w:ilvl w:val="0"/>
          <w:numId w:val="4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val="en-US" w:eastAsia="zh-CN"/>
        </w:rPr>
        <w:t>二</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w:t>
      </w:r>
      <w:r>
        <w:rPr>
          <w:rFonts w:hint="eastAsia" w:ascii="宋体" w:hAnsi="宋体" w:cs="宋体"/>
          <w:bCs/>
          <w:color w:val="000000"/>
          <w:sz w:val="24"/>
          <w:highlight w:val="none"/>
        </w:rPr>
        <w:t>1.00</w:t>
      </w:r>
      <w:r>
        <w:rPr>
          <w:rFonts w:hint="eastAsia" w:ascii="宋体" w:hAnsi="宋体" w:cs="宋体"/>
          <w:bCs/>
          <w:color w:val="000000"/>
          <w:sz w:val="24"/>
          <w:highlight w:val="none"/>
          <w:lang w:val="en-US" w:eastAsia="zh-CN"/>
        </w:rPr>
        <w:t>0000</w:t>
      </w:r>
      <w:r>
        <w:rPr>
          <w:rFonts w:hint="eastAsia" w:ascii="宋体" w:hAnsi="宋体" w:cs="宋体"/>
          <w:bCs/>
          <w:color w:val="000000"/>
          <w:sz w:val="24"/>
          <w:highlight w:val="none"/>
        </w:rPr>
        <w:t>元，折算份额为100,000.00份，假设投资理财计划362天</w:t>
      </w:r>
      <w:r>
        <w:rPr>
          <w:rFonts w:hint="eastAsia" w:ascii="宋体" w:hAnsi="宋体" w:cs="宋体"/>
          <w:bCs/>
          <w:color w:val="000000"/>
          <w:sz w:val="24"/>
          <w:highlight w:val="none"/>
          <w:lang w:eastAsia="zh-CN"/>
        </w:rPr>
        <w:t>后，</w:t>
      </w:r>
      <w:r>
        <w:rPr>
          <w:rFonts w:hint="eastAsia" w:ascii="宋体" w:hAnsi="宋体" w:cs="宋体"/>
          <w:bCs/>
          <w:color w:val="000000"/>
          <w:sz w:val="24"/>
          <w:highlight w:val="none"/>
          <w:lang w:eastAsia="zh-CN"/>
        </w:rPr>
        <w:t>赎回份额</w:t>
      </w:r>
      <w:r>
        <w:rPr>
          <w:rFonts w:hint="eastAsia" w:ascii="宋体" w:hAnsi="宋体" w:cs="宋体"/>
          <w:bCs/>
          <w:color w:val="000000"/>
          <w:sz w:val="24"/>
          <w:highlight w:val="none"/>
        </w:rPr>
        <w:t>100,000.00份</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赎回</w:t>
      </w:r>
      <w:r>
        <w:rPr>
          <w:rFonts w:hint="eastAsia" w:ascii="宋体" w:hAnsi="宋体" w:cs="宋体"/>
          <w:bCs/>
          <w:color w:val="000000"/>
          <w:sz w:val="24"/>
          <w:highlight w:val="none"/>
        </w:rPr>
        <w:t>时</w:t>
      </w:r>
      <w:r>
        <w:rPr>
          <w:rFonts w:hint="eastAsia" w:ascii="宋体" w:hAnsi="宋体" w:cs="宋体"/>
          <w:bCs/>
          <w:color w:val="000000"/>
          <w:sz w:val="24"/>
          <w:highlight w:val="none"/>
          <w:lang w:eastAsia="zh-CN"/>
        </w:rPr>
        <w:t>期间无分红，</w:t>
      </w:r>
      <w:r>
        <w:rPr>
          <w:rFonts w:hint="eastAsia" w:ascii="宋体" w:hAnsi="宋体" w:cs="宋体"/>
          <w:bCs/>
          <w:color w:val="000000"/>
          <w:sz w:val="24"/>
          <w:highlight w:val="none"/>
        </w:rPr>
        <w:t>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，投资者最终收益为：100,000.00×（0.9975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rPr>
        <w:t>1.00</w:t>
      </w:r>
      <w:r>
        <w:rPr>
          <w:rFonts w:hint="eastAsia" w:ascii="宋体" w:hAnsi="宋体" w:cs="宋体"/>
          <w:bCs/>
          <w:color w:val="000000"/>
          <w:sz w:val="24"/>
          <w:highlight w:val="none"/>
          <w:lang w:val="en-US" w:eastAsia="zh-CN"/>
        </w:rPr>
        <w:t>0000</w:t>
      </w:r>
      <w:r>
        <w:rPr>
          <w:rFonts w:hint="eastAsia" w:ascii="宋体" w:hAnsi="宋体" w:cs="宋体"/>
          <w:bCs/>
          <w:color w:val="000000"/>
          <w:sz w:val="24"/>
          <w:highlight w:val="none"/>
        </w:rPr>
        <w:t>）=-250.00（元）。</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9"/>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（具体以销售机构要求为准）</w:t>
      </w:r>
    </w:p>
    <w:p>
      <w:pPr>
        <w:numPr>
          <w:ilvl w:val="0"/>
          <w:numId w:val="49"/>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9"/>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50"/>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50"/>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本理财计划在每个开放期的开放日工作时间可进行申购，申购申请将在申购确认日进行确认，即申购开放期后的第〖1〗个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进行确认。</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满足最低持有期后，</w:t>
      </w:r>
      <w:r>
        <w:rPr>
          <w:rFonts w:hint="eastAsia" w:ascii="宋体" w:hAnsi="宋体" w:cs="宋体"/>
          <w:bCs/>
          <w:sz w:val="24"/>
          <w:highlight w:val="none"/>
        </w:rPr>
        <w:t>本理财计划在每个开放期的开放日工作时间可进行赎回，赎回申请将在赎回确认日进行确认，即赎回开放期后的第〖1〗个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进行确认。</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于</w:t>
      </w:r>
      <w:r>
        <w:rPr>
          <w:rFonts w:hint="eastAsia" w:ascii="宋体" w:hAnsi="宋体" w:cs="宋体"/>
          <w:bCs/>
          <w:sz w:val="24"/>
          <w:highlight w:val="none"/>
        </w:rPr>
        <w:t>〖</w:t>
      </w:r>
      <w:r>
        <w:rPr>
          <w:rFonts w:hint="eastAsia" w:ascii="宋体" w:hAnsi="宋体" w:cs="宋体"/>
          <w:bCs/>
          <w:sz w:val="24"/>
          <w:highlight w:val="none"/>
          <w:lang w:val="en-US" w:eastAsia="zh-CN"/>
        </w:rPr>
        <w:t>确认日当日</w:t>
      </w:r>
      <w:r>
        <w:rPr>
          <w:rFonts w:hint="eastAsia" w:ascii="宋体" w:hAnsi="宋体" w:cs="宋体"/>
          <w:bCs/>
          <w:sz w:val="24"/>
          <w:highlight w:val="none"/>
        </w:rPr>
        <w:t>〗</w:t>
      </w:r>
      <w:r>
        <w:rPr>
          <w:rFonts w:hint="eastAsia" w:ascii="宋体" w:hAnsi="宋体" w:cs="宋体"/>
          <w:bCs/>
          <w:sz w:val="24"/>
          <w:highlight w:val="none"/>
        </w:rPr>
        <w:t>，最晚〖</w:t>
      </w:r>
      <w:r>
        <w:rPr>
          <w:rFonts w:hint="eastAsia" w:ascii="宋体" w:hAnsi="宋体" w:cs="宋体"/>
          <w:bCs/>
          <w:sz w:val="24"/>
          <w:highlight w:val="none"/>
          <w:lang w:val="en-US" w:eastAsia="zh-CN"/>
        </w:rPr>
        <w:t>2</w:t>
      </w:r>
      <w:r>
        <w:rPr>
          <w:rFonts w:hint="eastAsia" w:ascii="宋体" w:hAnsi="宋体" w:cs="宋体"/>
          <w:bCs/>
          <w:sz w:val="24"/>
          <w:highlight w:val="none"/>
        </w:rPr>
        <w:t>〗个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内（遇节假日顺延）支付。如遇资金在途或法定工作日调整，实际资金到账日以公告为准。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如连续2日（含）以上开放日发生巨额赎回，对于已经接受的赎回申请，管理人可以延缓支付赎回款项，但延缓期限不得超过20个工作日。</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、最晚〖</w:t>
      </w:r>
      <w:r>
        <w:rPr>
          <w:rFonts w:hint="eastAsia" w:ascii="宋体" w:hAnsi="宋体" w:cs="宋体"/>
          <w:bCs/>
          <w:sz w:val="24"/>
          <w:highlight w:val="none"/>
          <w:lang w:val="en-US" w:eastAsia="zh-CN"/>
        </w:rPr>
        <w:t>3</w:t>
      </w:r>
      <w:r>
        <w:rPr>
          <w:rFonts w:hint="eastAsia" w:ascii="宋体" w:hAnsi="宋体" w:cs="宋体"/>
          <w:bCs/>
          <w:sz w:val="24"/>
          <w:highlight w:val="none"/>
        </w:rPr>
        <w:t>〗个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sz w:val="24"/>
          <w:highlight w:val="none"/>
        </w:rPr>
        <w:t>2</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cs="宋体"/>
          <w:bCs/>
          <w:sz w:val="24"/>
          <w:highlight w:val="none"/>
        </w:rPr>
        <w:t>〖</w:t>
      </w:r>
      <w:r>
        <w:rPr>
          <w:rFonts w:hint="eastAsia" w:ascii="宋体" w:hAnsi="宋体" w:cs="宋体"/>
          <w:bCs/>
          <w:sz w:val="24"/>
          <w:highlight w:val="none"/>
          <w:lang w:val="en-US" w:eastAsia="zh-CN"/>
        </w:rPr>
        <w:t>交易</w:t>
      </w:r>
      <w:r>
        <w:rPr>
          <w:rFonts w:hint="eastAsia" w:ascii="宋体" w:hAnsi="宋体" w:cs="宋体"/>
          <w:bCs/>
          <w:sz w:val="24"/>
          <w:highlight w:val="none"/>
        </w:rPr>
        <w:t>日</w:t>
      </w:r>
      <w:r>
        <w:rPr>
          <w:rFonts w:hint="eastAsia" w:ascii="宋体" w:hAnsi="宋体" w:cs="宋体"/>
          <w:bCs/>
          <w:sz w:val="24"/>
          <w:highlight w:val="none"/>
        </w:rPr>
        <w:t>〗</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6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61"/>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6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2"/>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62"/>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6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3"/>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31"/>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6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202501</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7"/>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8"/>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7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7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7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7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71"/>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71"/>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71"/>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7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3"/>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3"/>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202501</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4"/>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6"/>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r>
        <w:rPr>
          <w:rFonts w:hint="eastAsia" w:ascii="宋体" w:hAnsi="宋体"/>
          <w:sz w:val="24"/>
          <w:highlight w:val="none"/>
        </w:rPr>
        <w:t xml:space="preserve"> </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8"/>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8"/>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8"/>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4"/>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74"/>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9"/>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9"/>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9"/>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9"/>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4"/>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80"/>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80"/>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80"/>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spacing w:line="360" w:lineRule="auto"/>
        <w:outlineLvl w:val="9"/>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sz w:val="24"/>
          <w:highlight w:val="none"/>
        </w:rPr>
      </w:pPr>
    </w:p>
    <w:p>
      <w:pPr>
        <w:spacing w:line="360" w:lineRule="auto"/>
        <w:outlineLvl w:val="9"/>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outlineLvl w:val="9"/>
        <w:rPr>
          <w:rFonts w:hint="eastAsia" w:ascii="宋体" w:hAnsi="宋体"/>
          <w:b/>
          <w:bCs/>
          <w:sz w:val="24"/>
          <w:highlight w:val="none"/>
        </w:rPr>
      </w:pPr>
    </w:p>
    <w:p>
      <w:pPr>
        <w:spacing w:line="360" w:lineRule="auto"/>
        <w:outlineLvl w:val="9"/>
        <w:rPr>
          <w:rFonts w:hint="eastAsia" w:ascii="宋体" w:hAnsi="宋体"/>
          <w:b/>
          <w:bCs/>
          <w:sz w:val="24"/>
          <w:highlight w:val="none"/>
        </w:rPr>
      </w:pPr>
    </w:p>
    <w:p>
      <w:pPr>
        <w:spacing w:before="156" w:beforeLines="50" w:after="156" w:afterLines="50" w:line="360" w:lineRule="auto"/>
        <w:ind w:firstLine="4800" w:firstLineChars="2000"/>
        <w:jc w:val="right"/>
        <w:outlineLvl w:val="9"/>
        <w:rPr>
          <w:rFonts w:hint="eastAsia" w:ascii="Arial" w:hAnsi="Arial"/>
          <w:sz w:val="24"/>
          <w:highlight w:val="none"/>
        </w:rPr>
      </w:pPr>
      <w:r>
        <w:rPr>
          <w:rFonts w:hint="eastAsia" w:ascii="Arial" w:hAnsi="Arial"/>
          <w:sz w:val="24"/>
          <w:highlight w:val="none"/>
        </w:rPr>
        <w:t xml:space="preserve">   年   月   日</w:t>
      </w:r>
    </w:p>
    <w:p>
      <w:pPr>
        <w:jc w:val="left"/>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br w:type="page"/>
      </w:r>
      <w:r>
        <w:rPr>
          <w:rFonts w:hint="eastAsia" w:ascii="Calibri" w:hAnsi="Calibri" w:eastAsia="宋体" w:cs="黑体"/>
          <w:b/>
          <w:bCs w:val="0"/>
          <w:sz w:val="44"/>
          <w:szCs w:val="44"/>
          <w:highlight w:val="none"/>
          <w:lang w:val="en-US" w:eastAsia="zh-CN"/>
        </w:rPr>
        <w:t>杭银理财</w:t>
      </w:r>
      <w:bookmarkStart w:id="5" w:name="_GoBack"/>
      <w:bookmarkEnd w:id="5"/>
      <w:r>
        <w:rPr>
          <w:rFonts w:hint="eastAsia" w:ascii="Calibri" w:hAnsi="Calibri" w:eastAsia="宋体" w:cs="黑体"/>
          <w:b/>
          <w:bCs w:val="0"/>
          <w:sz w:val="44"/>
          <w:szCs w:val="44"/>
          <w:highlight w:val="none"/>
          <w:lang w:val="en-US" w:eastAsia="zh-CN"/>
        </w:rPr>
        <w:t>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cs="宋体"/>
          <w:sz w:val="28"/>
          <w:szCs w:val="28"/>
          <w:highlight w:val="none"/>
          <w:lang w:eastAsia="zh-CN"/>
        </w:rPr>
        <w:t>202501</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w:t>
      </w:r>
      <w:r>
        <w:rPr>
          <w:rFonts w:hint="eastAsia" w:ascii="宋体" w:hAnsi="宋体" w:cs="宋体"/>
          <w:b/>
          <w:bCs/>
          <w:sz w:val="24"/>
          <w:highlight w:val="none"/>
          <w:lang w:val="en-US" w:eastAsia="zh-CN"/>
        </w:rPr>
        <w:t>5</w:t>
      </w:r>
      <w:r>
        <w:rPr>
          <w:rFonts w:hint="eastAsia" w:ascii="宋体" w:hAnsi="宋体" w:eastAsia="宋体" w:cs="宋体"/>
          <w:b/>
          <w:bCs/>
          <w:sz w:val="24"/>
          <w:highlight w:val="none"/>
          <w:lang w:val="en-US" w:eastAsia="zh-CN"/>
        </w:rPr>
        <w:t>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81"/>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81"/>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81"/>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81"/>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81"/>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6"/>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6"/>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6"/>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w:t>
      </w:r>
      <w:r>
        <w:rPr>
          <w:rFonts w:hint="eastAsia" w:ascii="宋体" w:hAnsi="宋体" w:cs="黑体"/>
          <w:sz w:val="24"/>
          <w:highlight w:val="none"/>
          <w:lang w:val="en-US" w:eastAsia="zh-CN"/>
        </w:rPr>
        <w:t>被告人</w:t>
      </w:r>
      <w:r>
        <w:rPr>
          <w:rFonts w:hint="eastAsia" w:ascii="宋体" w:hAnsi="宋体" w:eastAsia="宋体" w:cs="黑体"/>
          <w:sz w:val="24"/>
          <w:highlight w:val="none"/>
          <w:lang w:val="en-US" w:eastAsia="zh-CN"/>
        </w:rPr>
        <w:t>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6"/>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86"/>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6"/>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7"/>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7"/>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7"/>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3">
    <w:nsid w:val="85460E80"/>
    <w:multiLevelType w:val="singleLevel"/>
    <w:tmpl w:val="85460E80"/>
    <w:lvl w:ilvl="0" w:tentative="0">
      <w:start w:val="1"/>
      <w:numFmt w:val="decimal"/>
      <w:suff w:val="nothing"/>
      <w:lvlText w:val="（%1）"/>
      <w:lvlJc w:val="left"/>
      <w:rPr>
        <w:rFonts w:hint="default"/>
        <w:b w:val="0"/>
        <w:bCs w:val="0"/>
      </w:rPr>
    </w:lvl>
  </w:abstractNum>
  <w:abstractNum w:abstractNumId="4">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5">
    <w:nsid w:val="8906C252"/>
    <w:multiLevelType w:val="singleLevel"/>
    <w:tmpl w:val="8906C252"/>
    <w:lvl w:ilvl="0" w:tentative="0">
      <w:start w:val="1"/>
      <w:numFmt w:val="decimal"/>
      <w:suff w:val="nothing"/>
      <w:lvlText w:val="（%1）"/>
      <w:lvlJc w:val="left"/>
      <w:rPr>
        <w:rFonts w:hint="default"/>
        <w:b w:val="0"/>
        <w:bCs w:val="0"/>
      </w:rPr>
    </w:lvl>
  </w:abstractNum>
  <w:abstractNum w:abstractNumId="6">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7">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8">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9">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10">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1">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2">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3">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4">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5">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6">
    <w:nsid w:val="AC40BB97"/>
    <w:multiLevelType w:val="singleLevel"/>
    <w:tmpl w:val="AC40BB97"/>
    <w:lvl w:ilvl="0" w:tentative="0">
      <w:start w:val="1"/>
      <w:numFmt w:val="chineseCounting"/>
      <w:suff w:val="nothing"/>
      <w:lvlText w:val="%1、"/>
      <w:lvlJc w:val="left"/>
      <w:rPr>
        <w:rFonts w:hint="eastAsia"/>
      </w:rPr>
    </w:lvl>
  </w:abstractNum>
  <w:abstractNum w:abstractNumId="17">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8">
    <w:nsid w:val="B08226EF"/>
    <w:multiLevelType w:val="singleLevel"/>
    <w:tmpl w:val="B08226EF"/>
    <w:lvl w:ilvl="0" w:tentative="0">
      <w:start w:val="1"/>
      <w:numFmt w:val="chineseCounting"/>
      <w:suff w:val="space"/>
      <w:lvlText w:val="第%1条"/>
      <w:lvlJc w:val="left"/>
      <w:rPr>
        <w:rFonts w:hint="eastAsia"/>
      </w:rPr>
    </w:lvl>
  </w:abstractNum>
  <w:abstractNum w:abstractNumId="19">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20">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1">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2">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3">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4">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5">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6">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7">
    <w:nsid w:val="D8D75090"/>
    <w:multiLevelType w:val="singleLevel"/>
    <w:tmpl w:val="D8D75090"/>
    <w:lvl w:ilvl="0" w:tentative="0">
      <w:start w:val="1"/>
      <w:numFmt w:val="decimal"/>
      <w:suff w:val="nothing"/>
      <w:lvlText w:val="（%1）"/>
      <w:lvlJc w:val="left"/>
      <w:rPr>
        <w:rFonts w:hint="default"/>
        <w:b w:val="0"/>
        <w:bCs w:val="0"/>
      </w:rPr>
    </w:lvl>
  </w:abstractNum>
  <w:abstractNum w:abstractNumId="28">
    <w:nsid w:val="DD2251DF"/>
    <w:multiLevelType w:val="singleLevel"/>
    <w:tmpl w:val="DD2251DF"/>
    <w:lvl w:ilvl="0" w:tentative="0">
      <w:start w:val="1"/>
      <w:numFmt w:val="decimal"/>
      <w:suff w:val="nothing"/>
      <w:lvlText w:val="（%1）"/>
      <w:lvlJc w:val="left"/>
      <w:rPr>
        <w:rFonts w:hint="default"/>
        <w:b w:val="0"/>
        <w:bCs w:val="0"/>
      </w:rPr>
    </w:lvl>
  </w:abstractNum>
  <w:abstractNum w:abstractNumId="29">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30">
    <w:nsid w:val="E70DF796"/>
    <w:multiLevelType w:val="singleLevel"/>
    <w:tmpl w:val="E70DF796"/>
    <w:lvl w:ilvl="0" w:tentative="0">
      <w:start w:val="1"/>
      <w:numFmt w:val="decimal"/>
      <w:suff w:val="nothing"/>
      <w:lvlText w:val="（%1）"/>
      <w:lvlJc w:val="left"/>
    </w:lvl>
  </w:abstractNum>
  <w:abstractNum w:abstractNumId="31">
    <w:nsid w:val="EFF37F09"/>
    <w:multiLevelType w:val="singleLevel"/>
    <w:tmpl w:val="EFF37F09"/>
    <w:lvl w:ilvl="0" w:tentative="0">
      <w:start w:val="1"/>
      <w:numFmt w:val="decimal"/>
      <w:suff w:val="nothing"/>
      <w:lvlText w:val="（%1）"/>
      <w:lvlJc w:val="left"/>
      <w:rPr>
        <w:rFonts w:hint="default"/>
        <w:b w:val="0"/>
        <w:bCs w:val="0"/>
      </w:rPr>
    </w:lvl>
  </w:abstractNum>
  <w:abstractNum w:abstractNumId="32">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4">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5">
    <w:nsid w:val="F574F5B6"/>
    <w:multiLevelType w:val="singleLevel"/>
    <w:tmpl w:val="F574F5B6"/>
    <w:lvl w:ilvl="0" w:tentative="0">
      <w:start w:val="1"/>
      <w:numFmt w:val="decimal"/>
      <w:suff w:val="nothing"/>
      <w:lvlText w:val="（%1）"/>
      <w:lvlJc w:val="left"/>
    </w:lvl>
  </w:abstractNum>
  <w:abstractNum w:abstractNumId="36">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7">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8">
    <w:nsid w:val="084A6179"/>
    <w:multiLevelType w:val="singleLevel"/>
    <w:tmpl w:val="084A6179"/>
    <w:lvl w:ilvl="0" w:tentative="0">
      <w:start w:val="1"/>
      <w:numFmt w:val="decimal"/>
      <w:suff w:val="nothing"/>
      <w:lvlText w:val="（%1）"/>
      <w:lvlJc w:val="left"/>
      <w:rPr>
        <w:rFonts w:hint="default"/>
        <w:highlight w:val="none"/>
      </w:rPr>
    </w:lvl>
  </w:abstractNum>
  <w:abstractNum w:abstractNumId="39">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2">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3">
    <w:nsid w:val="167B0BB4"/>
    <w:multiLevelType w:val="singleLevel"/>
    <w:tmpl w:val="167B0BB4"/>
    <w:lvl w:ilvl="0" w:tentative="0">
      <w:start w:val="1"/>
      <w:numFmt w:val="decimal"/>
      <w:suff w:val="nothing"/>
      <w:lvlText w:val="（%1）"/>
      <w:lvlJc w:val="left"/>
    </w:lvl>
  </w:abstractNum>
  <w:abstractNum w:abstractNumId="44">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5">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6">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7">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8">
    <w:nsid w:val="2CB63BE6"/>
    <w:multiLevelType w:val="singleLevel"/>
    <w:tmpl w:val="2CB63BE6"/>
    <w:lvl w:ilvl="0" w:tentative="0">
      <w:start w:val="1"/>
      <w:numFmt w:val="decimal"/>
      <w:suff w:val="nothing"/>
      <w:lvlText w:val="（%1）"/>
      <w:lvlJc w:val="left"/>
      <w:rPr>
        <w:rFonts w:hint="default"/>
        <w:b w:val="0"/>
        <w:bCs w:val="0"/>
      </w:rPr>
    </w:lvl>
  </w:abstractNum>
  <w:abstractNum w:abstractNumId="49">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50">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1">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2">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3">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4">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5">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6">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7">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8">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9">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60">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1">
    <w:nsid w:val="5BA91325"/>
    <w:multiLevelType w:val="singleLevel"/>
    <w:tmpl w:val="5BA91325"/>
    <w:lvl w:ilvl="0" w:tentative="0">
      <w:start w:val="1"/>
      <w:numFmt w:val="decimal"/>
      <w:suff w:val="nothing"/>
      <w:lvlText w:val="（%1）"/>
      <w:lvlJc w:val="left"/>
    </w:lvl>
  </w:abstractNum>
  <w:abstractNum w:abstractNumId="62">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3">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4">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5">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6">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7">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8">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9">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70">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1">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2">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3">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4">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5">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6">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7">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8">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9">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80">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1">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2">
    <w:nsid w:val="61F30F62"/>
    <w:multiLevelType w:val="singleLevel"/>
    <w:tmpl w:val="61F30F62"/>
    <w:lvl w:ilvl="0" w:tentative="0">
      <w:start w:val="1"/>
      <w:numFmt w:val="decimal"/>
      <w:suff w:val="nothing"/>
      <w:lvlText w:val="（%1）"/>
      <w:lvlJc w:val="left"/>
      <w:rPr>
        <w:rFonts w:hint="default"/>
        <w:b w:val="0"/>
        <w:bCs w:val="0"/>
      </w:rPr>
    </w:lvl>
  </w:abstractNum>
  <w:abstractNum w:abstractNumId="83">
    <w:nsid w:val="69C07A9C"/>
    <w:multiLevelType w:val="singleLevel"/>
    <w:tmpl w:val="69C07A9C"/>
    <w:lvl w:ilvl="0" w:tentative="0">
      <w:start w:val="1"/>
      <w:numFmt w:val="lowerLetter"/>
      <w:suff w:val="space"/>
      <w:lvlText w:val="%1."/>
      <w:lvlJc w:val="left"/>
    </w:lvl>
  </w:abstractNum>
  <w:abstractNum w:abstractNumId="84">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5">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6">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6"/>
  </w:num>
  <w:num w:numId="2">
    <w:abstractNumId w:val="1"/>
  </w:num>
  <w:num w:numId="3">
    <w:abstractNumId w:val="53"/>
  </w:num>
  <w:num w:numId="4">
    <w:abstractNumId w:val="45"/>
  </w:num>
  <w:num w:numId="5">
    <w:abstractNumId w:val="23"/>
  </w:num>
  <w:num w:numId="6">
    <w:abstractNumId w:val="85"/>
  </w:num>
  <w:num w:numId="7">
    <w:abstractNumId w:val="39"/>
  </w:num>
  <w:num w:numId="8">
    <w:abstractNumId w:val="86"/>
  </w:num>
  <w:num w:numId="9">
    <w:abstractNumId w:val="59"/>
  </w:num>
  <w:num w:numId="10">
    <w:abstractNumId w:val="55"/>
  </w:num>
  <w:num w:numId="11">
    <w:abstractNumId w:val="36"/>
  </w:num>
  <w:num w:numId="12">
    <w:abstractNumId w:val="33"/>
  </w:num>
  <w:num w:numId="13">
    <w:abstractNumId w:val="41"/>
  </w:num>
  <w:num w:numId="14">
    <w:abstractNumId w:val="32"/>
  </w:num>
  <w:num w:numId="15">
    <w:abstractNumId w:val="24"/>
  </w:num>
  <w:num w:numId="16">
    <w:abstractNumId w:val="13"/>
  </w:num>
  <w:num w:numId="17">
    <w:abstractNumId w:val="20"/>
  </w:num>
  <w:num w:numId="18">
    <w:abstractNumId w:val="10"/>
  </w:num>
  <w:num w:numId="19">
    <w:abstractNumId w:val="11"/>
  </w:num>
  <w:num w:numId="20">
    <w:abstractNumId w:val="9"/>
  </w:num>
  <w:num w:numId="21">
    <w:abstractNumId w:val="40"/>
  </w:num>
  <w:num w:numId="22">
    <w:abstractNumId w:val="7"/>
  </w:num>
  <w:num w:numId="23">
    <w:abstractNumId w:val="2"/>
  </w:num>
  <w:num w:numId="24">
    <w:abstractNumId w:val="54"/>
  </w:num>
  <w:num w:numId="25">
    <w:abstractNumId w:val="35"/>
  </w:num>
  <w:num w:numId="26">
    <w:abstractNumId w:val="56"/>
  </w:num>
  <w:num w:numId="27">
    <w:abstractNumId w:val="61"/>
  </w:num>
  <w:num w:numId="28">
    <w:abstractNumId w:val="83"/>
  </w:num>
  <w:num w:numId="29">
    <w:abstractNumId w:val="47"/>
  </w:num>
  <w:num w:numId="30">
    <w:abstractNumId w:val="22"/>
  </w:num>
  <w:num w:numId="31">
    <w:abstractNumId w:val="46"/>
  </w:num>
  <w:num w:numId="32">
    <w:abstractNumId w:val="26"/>
  </w:num>
  <w:num w:numId="33">
    <w:abstractNumId w:val="8"/>
  </w:num>
  <w:num w:numId="34">
    <w:abstractNumId w:val="58"/>
  </w:num>
  <w:num w:numId="35">
    <w:abstractNumId w:val="6"/>
  </w:num>
  <w:num w:numId="36">
    <w:abstractNumId w:val="38"/>
  </w:num>
  <w:num w:numId="37">
    <w:abstractNumId w:val="44"/>
  </w:num>
  <w:num w:numId="38">
    <w:abstractNumId w:val="84"/>
  </w:num>
  <w:num w:numId="39">
    <w:abstractNumId w:val="37"/>
  </w:num>
  <w:num w:numId="40">
    <w:abstractNumId w:val="25"/>
  </w:num>
  <w:num w:numId="41">
    <w:abstractNumId w:val="49"/>
  </w:num>
  <w:num w:numId="42">
    <w:abstractNumId w:val="0"/>
  </w:num>
  <w:num w:numId="43">
    <w:abstractNumId w:val="28"/>
  </w:num>
  <w:num w:numId="44">
    <w:abstractNumId w:val="52"/>
  </w:num>
  <w:num w:numId="45">
    <w:abstractNumId w:val="4"/>
  </w:num>
  <w:num w:numId="46">
    <w:abstractNumId w:val="29"/>
  </w:num>
  <w:num w:numId="47">
    <w:abstractNumId w:val="19"/>
  </w:num>
  <w:num w:numId="48">
    <w:abstractNumId w:val="57"/>
  </w:num>
  <w:num w:numId="49">
    <w:abstractNumId w:val="42"/>
  </w:num>
  <w:num w:numId="50">
    <w:abstractNumId w:val="21"/>
  </w:num>
  <w:num w:numId="51">
    <w:abstractNumId w:val="34"/>
  </w:num>
  <w:num w:numId="52">
    <w:abstractNumId w:val="30"/>
  </w:num>
  <w:num w:numId="53">
    <w:abstractNumId w:val="31"/>
  </w:num>
  <w:num w:numId="54">
    <w:abstractNumId w:val="82"/>
  </w:num>
  <w:num w:numId="55">
    <w:abstractNumId w:val="48"/>
  </w:num>
  <w:num w:numId="56">
    <w:abstractNumId w:val="3"/>
  </w:num>
  <w:num w:numId="57">
    <w:abstractNumId w:val="60"/>
  </w:num>
  <w:num w:numId="58">
    <w:abstractNumId w:val="14"/>
  </w:num>
  <w:num w:numId="59">
    <w:abstractNumId w:val="12"/>
  </w:num>
  <w:num w:numId="60">
    <w:abstractNumId w:val="15"/>
  </w:num>
  <w:num w:numId="61">
    <w:abstractNumId w:val="43"/>
  </w:num>
  <w:num w:numId="62">
    <w:abstractNumId w:val="27"/>
  </w:num>
  <w:num w:numId="63">
    <w:abstractNumId w:val="5"/>
  </w:num>
  <w:num w:numId="64">
    <w:abstractNumId w:val="51"/>
  </w:num>
  <w:num w:numId="65">
    <w:abstractNumId w:val="69"/>
  </w:num>
  <w:num w:numId="66">
    <w:abstractNumId w:val="68"/>
  </w:num>
  <w:num w:numId="67">
    <w:abstractNumId w:val="70"/>
  </w:num>
  <w:num w:numId="68">
    <w:abstractNumId w:val="71"/>
  </w:num>
  <w:num w:numId="69">
    <w:abstractNumId w:val="72"/>
  </w:num>
  <w:num w:numId="70">
    <w:abstractNumId w:val="73"/>
  </w:num>
  <w:num w:numId="71">
    <w:abstractNumId w:val="74"/>
  </w:num>
  <w:num w:numId="72">
    <w:abstractNumId w:val="75"/>
  </w:num>
  <w:num w:numId="73">
    <w:abstractNumId w:val="50"/>
  </w:num>
  <w:num w:numId="74">
    <w:abstractNumId w:val="18"/>
  </w:num>
  <w:num w:numId="75">
    <w:abstractNumId w:val="62"/>
  </w:num>
  <w:num w:numId="76">
    <w:abstractNumId w:val="63"/>
  </w:num>
  <w:num w:numId="77">
    <w:abstractNumId w:val="64"/>
  </w:num>
  <w:num w:numId="78">
    <w:abstractNumId w:val="65"/>
  </w:num>
  <w:num w:numId="79">
    <w:abstractNumId w:val="66"/>
  </w:num>
  <w:num w:numId="80">
    <w:abstractNumId w:val="67"/>
  </w:num>
  <w:num w:numId="81">
    <w:abstractNumId w:val="76"/>
  </w:num>
  <w:num w:numId="82">
    <w:abstractNumId w:val="77"/>
  </w:num>
  <w:num w:numId="83">
    <w:abstractNumId w:val="17"/>
  </w:num>
  <w:num w:numId="84">
    <w:abstractNumId w:val="78"/>
  </w:num>
  <w:num w:numId="85">
    <w:abstractNumId w:val="79"/>
  </w:num>
  <w:num w:numId="86">
    <w:abstractNumId w:val="80"/>
  </w:num>
  <w:num w:numId="87">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ab8c09fc-ebb4-4f15-b49e-3b6144cc8e86"/>
  </w:docVars>
  <w:rsids>
    <w:rsidRoot w:val="00172A27"/>
    <w:rsid w:val="004A3A51"/>
    <w:rsid w:val="01364432"/>
    <w:rsid w:val="01523B8E"/>
    <w:rsid w:val="01E60817"/>
    <w:rsid w:val="01F454C1"/>
    <w:rsid w:val="024F109C"/>
    <w:rsid w:val="036B5FEB"/>
    <w:rsid w:val="040B79D9"/>
    <w:rsid w:val="0449537A"/>
    <w:rsid w:val="04750F90"/>
    <w:rsid w:val="04886CA1"/>
    <w:rsid w:val="04A52A8E"/>
    <w:rsid w:val="04A74955"/>
    <w:rsid w:val="050A18A0"/>
    <w:rsid w:val="05C21734"/>
    <w:rsid w:val="05E05E4D"/>
    <w:rsid w:val="05EC08FE"/>
    <w:rsid w:val="06420CFA"/>
    <w:rsid w:val="06503B59"/>
    <w:rsid w:val="06DF6F6A"/>
    <w:rsid w:val="06F608B3"/>
    <w:rsid w:val="0752555A"/>
    <w:rsid w:val="07993F2A"/>
    <w:rsid w:val="07E45984"/>
    <w:rsid w:val="081B7D56"/>
    <w:rsid w:val="0828699A"/>
    <w:rsid w:val="082B58DC"/>
    <w:rsid w:val="082E46BF"/>
    <w:rsid w:val="087B5F6E"/>
    <w:rsid w:val="08E37254"/>
    <w:rsid w:val="097E3F67"/>
    <w:rsid w:val="09851159"/>
    <w:rsid w:val="09B01B43"/>
    <w:rsid w:val="0A1347F5"/>
    <w:rsid w:val="0A1539E7"/>
    <w:rsid w:val="0A2A32B9"/>
    <w:rsid w:val="0A9E3043"/>
    <w:rsid w:val="0B8E27E3"/>
    <w:rsid w:val="0BF71AE2"/>
    <w:rsid w:val="0CA6603D"/>
    <w:rsid w:val="0D0B1B00"/>
    <w:rsid w:val="0DD032F9"/>
    <w:rsid w:val="0E03229B"/>
    <w:rsid w:val="0E4A4B6F"/>
    <w:rsid w:val="0E670397"/>
    <w:rsid w:val="0EAE473F"/>
    <w:rsid w:val="0EF65480"/>
    <w:rsid w:val="0F336432"/>
    <w:rsid w:val="0F8C206B"/>
    <w:rsid w:val="0F920B86"/>
    <w:rsid w:val="0FAA52AB"/>
    <w:rsid w:val="10D261C8"/>
    <w:rsid w:val="10E7087B"/>
    <w:rsid w:val="10FA5463"/>
    <w:rsid w:val="11BA058F"/>
    <w:rsid w:val="11C23A9E"/>
    <w:rsid w:val="12081858"/>
    <w:rsid w:val="12B62B3B"/>
    <w:rsid w:val="13031153"/>
    <w:rsid w:val="13181417"/>
    <w:rsid w:val="141530E1"/>
    <w:rsid w:val="142A3D0A"/>
    <w:rsid w:val="14C57FED"/>
    <w:rsid w:val="150C5665"/>
    <w:rsid w:val="153D4CD7"/>
    <w:rsid w:val="159302CA"/>
    <w:rsid w:val="15C56302"/>
    <w:rsid w:val="15D419A2"/>
    <w:rsid w:val="160940BB"/>
    <w:rsid w:val="1659752C"/>
    <w:rsid w:val="16E43A7F"/>
    <w:rsid w:val="173E120F"/>
    <w:rsid w:val="185A3DA1"/>
    <w:rsid w:val="18AA2180"/>
    <w:rsid w:val="18E6578A"/>
    <w:rsid w:val="18F22962"/>
    <w:rsid w:val="190A1855"/>
    <w:rsid w:val="19866890"/>
    <w:rsid w:val="198C4B50"/>
    <w:rsid w:val="19DA666D"/>
    <w:rsid w:val="19E337AC"/>
    <w:rsid w:val="19F13F4F"/>
    <w:rsid w:val="1A102675"/>
    <w:rsid w:val="1A876B8B"/>
    <w:rsid w:val="1B280245"/>
    <w:rsid w:val="1BBE4697"/>
    <w:rsid w:val="1BEE4FD6"/>
    <w:rsid w:val="1C3F1BB8"/>
    <w:rsid w:val="1C46238A"/>
    <w:rsid w:val="1D3C4AE8"/>
    <w:rsid w:val="1D552DD9"/>
    <w:rsid w:val="1DAB6D83"/>
    <w:rsid w:val="1E3173A3"/>
    <w:rsid w:val="1E410106"/>
    <w:rsid w:val="1E7432BB"/>
    <w:rsid w:val="1ED938B7"/>
    <w:rsid w:val="1EEC2C3F"/>
    <w:rsid w:val="1F0F5A19"/>
    <w:rsid w:val="1F1D6E1F"/>
    <w:rsid w:val="1F3E7F7D"/>
    <w:rsid w:val="1F51312D"/>
    <w:rsid w:val="1FA140B4"/>
    <w:rsid w:val="1FC9553A"/>
    <w:rsid w:val="20137C57"/>
    <w:rsid w:val="204D3B12"/>
    <w:rsid w:val="205A2AB3"/>
    <w:rsid w:val="20B6224D"/>
    <w:rsid w:val="21025026"/>
    <w:rsid w:val="21B93623"/>
    <w:rsid w:val="21C22F06"/>
    <w:rsid w:val="21E714CE"/>
    <w:rsid w:val="226E653C"/>
    <w:rsid w:val="22A04AF7"/>
    <w:rsid w:val="22D32481"/>
    <w:rsid w:val="22D3594B"/>
    <w:rsid w:val="22F12819"/>
    <w:rsid w:val="23393314"/>
    <w:rsid w:val="23753F06"/>
    <w:rsid w:val="238D2456"/>
    <w:rsid w:val="238E1AAE"/>
    <w:rsid w:val="240F2156"/>
    <w:rsid w:val="24345B9A"/>
    <w:rsid w:val="2483647E"/>
    <w:rsid w:val="256F076F"/>
    <w:rsid w:val="258E6D3D"/>
    <w:rsid w:val="2610340F"/>
    <w:rsid w:val="26820AF7"/>
    <w:rsid w:val="26966D40"/>
    <w:rsid w:val="292668E3"/>
    <w:rsid w:val="29E26197"/>
    <w:rsid w:val="2A1B5D68"/>
    <w:rsid w:val="2A5975B6"/>
    <w:rsid w:val="2A622B8A"/>
    <w:rsid w:val="2A991D32"/>
    <w:rsid w:val="2AB92324"/>
    <w:rsid w:val="2AD6555A"/>
    <w:rsid w:val="2AE62718"/>
    <w:rsid w:val="2B1902F3"/>
    <w:rsid w:val="2B376BE0"/>
    <w:rsid w:val="2BE72798"/>
    <w:rsid w:val="2C1B1E9D"/>
    <w:rsid w:val="2CAB68C5"/>
    <w:rsid w:val="2D7C7ACA"/>
    <w:rsid w:val="2E45409C"/>
    <w:rsid w:val="2EBC6D03"/>
    <w:rsid w:val="2F1F666C"/>
    <w:rsid w:val="2F353C8E"/>
    <w:rsid w:val="2F59643F"/>
    <w:rsid w:val="2F802D62"/>
    <w:rsid w:val="2FD32A37"/>
    <w:rsid w:val="2FE9188B"/>
    <w:rsid w:val="30551FFC"/>
    <w:rsid w:val="307D2E0A"/>
    <w:rsid w:val="311F702A"/>
    <w:rsid w:val="314968B6"/>
    <w:rsid w:val="31A82883"/>
    <w:rsid w:val="320E3E15"/>
    <w:rsid w:val="32C937E9"/>
    <w:rsid w:val="333F6AA7"/>
    <w:rsid w:val="33F7523E"/>
    <w:rsid w:val="3480359E"/>
    <w:rsid w:val="34BE4ED5"/>
    <w:rsid w:val="352B31D6"/>
    <w:rsid w:val="35476F5E"/>
    <w:rsid w:val="35C572EB"/>
    <w:rsid w:val="35F86ABC"/>
    <w:rsid w:val="3602513D"/>
    <w:rsid w:val="36631FD8"/>
    <w:rsid w:val="366A0F47"/>
    <w:rsid w:val="36E72D9B"/>
    <w:rsid w:val="36E82EFE"/>
    <w:rsid w:val="377E5373"/>
    <w:rsid w:val="379F2ED6"/>
    <w:rsid w:val="37CA172C"/>
    <w:rsid w:val="37CB10A0"/>
    <w:rsid w:val="38071350"/>
    <w:rsid w:val="38224FD0"/>
    <w:rsid w:val="38696564"/>
    <w:rsid w:val="38BC5508"/>
    <w:rsid w:val="3A3E2041"/>
    <w:rsid w:val="3AB261DD"/>
    <w:rsid w:val="3ADE5808"/>
    <w:rsid w:val="3B0256C2"/>
    <w:rsid w:val="3B131EF6"/>
    <w:rsid w:val="3B490D86"/>
    <w:rsid w:val="3C2F2290"/>
    <w:rsid w:val="3CE74578"/>
    <w:rsid w:val="3D8434FB"/>
    <w:rsid w:val="3EA67C14"/>
    <w:rsid w:val="3EAD1B36"/>
    <w:rsid w:val="3EC26C98"/>
    <w:rsid w:val="3F056B9E"/>
    <w:rsid w:val="3F354A62"/>
    <w:rsid w:val="3F73FA69"/>
    <w:rsid w:val="3FF54C55"/>
    <w:rsid w:val="406370BC"/>
    <w:rsid w:val="40A41783"/>
    <w:rsid w:val="40FB7670"/>
    <w:rsid w:val="41B60000"/>
    <w:rsid w:val="423C06E2"/>
    <w:rsid w:val="42815397"/>
    <w:rsid w:val="42C94634"/>
    <w:rsid w:val="43423D19"/>
    <w:rsid w:val="43B62261"/>
    <w:rsid w:val="43BA23DE"/>
    <w:rsid w:val="45540446"/>
    <w:rsid w:val="45597983"/>
    <w:rsid w:val="45653F96"/>
    <w:rsid w:val="45BB5620"/>
    <w:rsid w:val="45F127ED"/>
    <w:rsid w:val="46263D02"/>
    <w:rsid w:val="462C1A41"/>
    <w:rsid w:val="46CD66A0"/>
    <w:rsid w:val="46D80EF6"/>
    <w:rsid w:val="47144A93"/>
    <w:rsid w:val="472803B7"/>
    <w:rsid w:val="47837888"/>
    <w:rsid w:val="488B59A4"/>
    <w:rsid w:val="494502E1"/>
    <w:rsid w:val="49653260"/>
    <w:rsid w:val="4A3D69E6"/>
    <w:rsid w:val="4A6F7B99"/>
    <w:rsid w:val="4A7F0ADF"/>
    <w:rsid w:val="4A876764"/>
    <w:rsid w:val="4AA612F0"/>
    <w:rsid w:val="4B0D3113"/>
    <w:rsid w:val="4B5270B8"/>
    <w:rsid w:val="4C4D2C94"/>
    <w:rsid w:val="4C6B0DDA"/>
    <w:rsid w:val="4C6E1306"/>
    <w:rsid w:val="4CAB7CC1"/>
    <w:rsid w:val="4DE50ED6"/>
    <w:rsid w:val="4DEE1021"/>
    <w:rsid w:val="4E186164"/>
    <w:rsid w:val="4E2F1033"/>
    <w:rsid w:val="4E8274B0"/>
    <w:rsid w:val="4EFC1B31"/>
    <w:rsid w:val="4F2836A5"/>
    <w:rsid w:val="4FF363B3"/>
    <w:rsid w:val="501216FC"/>
    <w:rsid w:val="50B73634"/>
    <w:rsid w:val="513B62C0"/>
    <w:rsid w:val="51504FE6"/>
    <w:rsid w:val="51ED1D0C"/>
    <w:rsid w:val="53097B89"/>
    <w:rsid w:val="53111AD8"/>
    <w:rsid w:val="532207FA"/>
    <w:rsid w:val="53FE3DB0"/>
    <w:rsid w:val="54E91D9C"/>
    <w:rsid w:val="552001FD"/>
    <w:rsid w:val="552247DE"/>
    <w:rsid w:val="55A47BB4"/>
    <w:rsid w:val="55D11632"/>
    <w:rsid w:val="56804A86"/>
    <w:rsid w:val="57184991"/>
    <w:rsid w:val="5790790A"/>
    <w:rsid w:val="57BB6218"/>
    <w:rsid w:val="57FF3AAA"/>
    <w:rsid w:val="58DD2EEE"/>
    <w:rsid w:val="58E96C7A"/>
    <w:rsid w:val="59AD3C67"/>
    <w:rsid w:val="59CC6D6F"/>
    <w:rsid w:val="5A1A1165"/>
    <w:rsid w:val="5ABA33EB"/>
    <w:rsid w:val="5B0A4749"/>
    <w:rsid w:val="5B0D630F"/>
    <w:rsid w:val="5B1B492A"/>
    <w:rsid w:val="5B5D608F"/>
    <w:rsid w:val="5B9D223A"/>
    <w:rsid w:val="5C33703B"/>
    <w:rsid w:val="5C3C3DDC"/>
    <w:rsid w:val="5D160516"/>
    <w:rsid w:val="5D7D0F36"/>
    <w:rsid w:val="5DB61BFF"/>
    <w:rsid w:val="5DEF454B"/>
    <w:rsid w:val="5E5A6C63"/>
    <w:rsid w:val="5F3C6712"/>
    <w:rsid w:val="5F4B58F3"/>
    <w:rsid w:val="6053481F"/>
    <w:rsid w:val="606E0DED"/>
    <w:rsid w:val="60AB2000"/>
    <w:rsid w:val="610129B1"/>
    <w:rsid w:val="61D42D1C"/>
    <w:rsid w:val="61D7419E"/>
    <w:rsid w:val="61D85325"/>
    <w:rsid w:val="62860AAA"/>
    <w:rsid w:val="62897E06"/>
    <w:rsid w:val="628B7CEE"/>
    <w:rsid w:val="629D5796"/>
    <w:rsid w:val="62C476E5"/>
    <w:rsid w:val="62D23250"/>
    <w:rsid w:val="657A160B"/>
    <w:rsid w:val="66DD4F9F"/>
    <w:rsid w:val="67182835"/>
    <w:rsid w:val="671E2162"/>
    <w:rsid w:val="678438DB"/>
    <w:rsid w:val="67CD5EA6"/>
    <w:rsid w:val="686D559E"/>
    <w:rsid w:val="68D8721E"/>
    <w:rsid w:val="6A455E4A"/>
    <w:rsid w:val="6A79436D"/>
    <w:rsid w:val="6B3A5BD0"/>
    <w:rsid w:val="6B3C7023"/>
    <w:rsid w:val="6B610D05"/>
    <w:rsid w:val="6BAC21D5"/>
    <w:rsid w:val="6C1D42E9"/>
    <w:rsid w:val="6C3E5296"/>
    <w:rsid w:val="6C952DF1"/>
    <w:rsid w:val="6CED1CB3"/>
    <w:rsid w:val="6D201CAE"/>
    <w:rsid w:val="6D3B42C3"/>
    <w:rsid w:val="6DDE0D10"/>
    <w:rsid w:val="6E082488"/>
    <w:rsid w:val="6E5969DC"/>
    <w:rsid w:val="6E7B6A0F"/>
    <w:rsid w:val="6E7E575F"/>
    <w:rsid w:val="6EF15941"/>
    <w:rsid w:val="6F9921A1"/>
    <w:rsid w:val="6FB83EF3"/>
    <w:rsid w:val="70540D7D"/>
    <w:rsid w:val="706A1464"/>
    <w:rsid w:val="71C80A03"/>
    <w:rsid w:val="73407EBD"/>
    <w:rsid w:val="73EF4563"/>
    <w:rsid w:val="74175679"/>
    <w:rsid w:val="742F0C48"/>
    <w:rsid w:val="744124AA"/>
    <w:rsid w:val="74664F47"/>
    <w:rsid w:val="7468660B"/>
    <w:rsid w:val="75032B80"/>
    <w:rsid w:val="764C6F59"/>
    <w:rsid w:val="77DC27D8"/>
    <w:rsid w:val="77E0572E"/>
    <w:rsid w:val="77ED4104"/>
    <w:rsid w:val="789508C5"/>
    <w:rsid w:val="78EF4372"/>
    <w:rsid w:val="78FC14E5"/>
    <w:rsid w:val="79771B00"/>
    <w:rsid w:val="7980282D"/>
    <w:rsid w:val="798F6426"/>
    <w:rsid w:val="79D106EC"/>
    <w:rsid w:val="79E40087"/>
    <w:rsid w:val="79E60E88"/>
    <w:rsid w:val="7A5520F1"/>
    <w:rsid w:val="7ACA272A"/>
    <w:rsid w:val="7AFD782A"/>
    <w:rsid w:val="7B0E7C70"/>
    <w:rsid w:val="7B131A45"/>
    <w:rsid w:val="7B2F5D22"/>
    <w:rsid w:val="7C8B1B8E"/>
    <w:rsid w:val="7CBE6536"/>
    <w:rsid w:val="7E327381"/>
    <w:rsid w:val="7E6F339A"/>
    <w:rsid w:val="7E810662"/>
    <w:rsid w:val="7F590AE3"/>
    <w:rsid w:val="7FC44D8E"/>
    <w:rsid w:val="7FFD7516"/>
    <w:rsid w:val="BEEF1682"/>
    <w:rsid w:val="DDFD8503"/>
    <w:rsid w:val="DFFED56D"/>
    <w:rsid w:val="F7D98A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3 Char"/>
    <w:link w:val="4"/>
    <w:uiPriority w:val="0"/>
    <w:rPr>
      <w:rFonts w:hAnsi="Calibri" w:eastAsia="宋体"/>
      <w:b/>
      <w:sz w:val="24"/>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35933</Words>
  <Characters>37698</Characters>
  <Lines>1</Lines>
  <Paragraphs>1</Paragraphs>
  <TotalTime>4</TotalTime>
  <ScaleCrop>false</ScaleCrop>
  <LinksUpToDate>false</LinksUpToDate>
  <CharactersWithSpaces>37937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hccb</cp:lastModifiedBy>
  <dcterms:modified xsi:type="dcterms:W3CDTF">2025-05-22T06:33:43Z</dcterms:modified>
  <dc:title>杭银理财幸福99XXXX理财计划合同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y fmtid="{D5CDD505-2E9C-101B-9397-08002B2CF9AE}" pid="4" name="KSOTemplateDocerSaveRecord">
    <vt:lpwstr>eyJoZGlkIjoiMGRhYjRlZDVkMGNhZWM2ZDc0NWIwYmZiZDBhZDllMzMiLCJ1c2VySWQiOiIyNjQ1NjIxNDcifQ==</vt:lpwstr>
  </property>
</Properties>
</file>