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911" w:rsidRDefault="008D37CB">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【稳利恒盈封闭式固收类】</w:t>
      </w:r>
      <w:permEnd w:id="0"/>
      <w:r>
        <w:rPr>
          <w:rFonts w:ascii="黑体" w:eastAsia="黑体" w:hAnsi="黑体"/>
          <w:b/>
          <w:bCs/>
          <w:sz w:val="28"/>
          <w:szCs w:val="28"/>
        </w:rPr>
        <w:t>理财产品</w:t>
      </w:r>
    </w:p>
    <w:p w:rsidR="00672911" w:rsidRDefault="008D37C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72911" w:rsidRDefault="008D37CB" w:rsidP="008D37C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72911" w:rsidRDefault="008D37CB">
      <w:pPr>
        <w:rPr>
          <w:rFonts w:ascii="宋体" w:hAnsi="宋体" w:cs="仿宋_GB2312"/>
          <w:b/>
          <w:kern w:val="0"/>
          <w:sz w:val="18"/>
          <w:szCs w:val="18"/>
        </w:rPr>
      </w:pPr>
      <w:r>
        <w:rPr>
          <w:rFonts w:ascii="宋体" w:hAnsi="宋体" w:cs="仿宋_GB2312" w:hint="eastAsia"/>
          <w:b/>
          <w:kern w:val="0"/>
          <w:sz w:val="18"/>
          <w:szCs w:val="18"/>
        </w:rPr>
        <w:t>尊敬的投资者：</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72911" w:rsidRDefault="008D37C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72911" w:rsidRDefault="008D37C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兴银理财稳利恒盈封闭式</w:t>
      </w:r>
      <w:r>
        <w:rPr>
          <w:rFonts w:ascii="宋体" w:hAnsi="宋体" w:hint="eastAsia"/>
          <w:bCs/>
          <w:sz w:val="18"/>
          <w:szCs w:val="18"/>
        </w:rPr>
        <w:t>2025</w:t>
      </w:r>
      <w:r>
        <w:rPr>
          <w:rFonts w:ascii="宋体" w:hAnsi="宋体" w:hint="eastAsia"/>
          <w:bCs/>
          <w:sz w:val="18"/>
          <w:szCs w:val="18"/>
        </w:rPr>
        <w:t>年</w:t>
      </w:r>
      <w:bookmarkStart w:id="0" w:name="_GoBack"/>
      <w:bookmarkEnd w:id="0"/>
      <w:r>
        <w:rPr>
          <w:rFonts w:ascii="宋体" w:hAnsi="宋体" w:hint="eastAsia"/>
          <w:bCs/>
          <w:sz w:val="18"/>
          <w:szCs w:val="18"/>
        </w:rPr>
        <w:t>430</w:t>
      </w:r>
      <w:r>
        <w:rPr>
          <w:rFonts w:ascii="宋体" w:hAnsi="宋体" w:hint="eastAsia"/>
          <w:bCs/>
          <w:sz w:val="18"/>
          <w:szCs w:val="18"/>
        </w:rPr>
        <w:t>期</w:t>
      </w:r>
      <w:r>
        <w:rPr>
          <w:rFonts w:ascii="宋体" w:hAnsi="宋体" w:hint="eastAsia"/>
          <w:bCs/>
          <w:sz w:val="18"/>
          <w:szCs w:val="18"/>
        </w:rPr>
        <w:t>固收类理财产品</w:t>
      </w:r>
      <w:r>
        <w:rPr>
          <w:rFonts w:asciiTheme="majorEastAsia" w:eastAsiaTheme="majorEastAsia" w:hAnsiTheme="majorEastAsia" w:hint="eastAsia"/>
          <w:bCs/>
          <w:kern w:val="0"/>
          <w:sz w:val="18"/>
          <w:szCs w:val="18"/>
        </w:rPr>
        <w:t>】</w:t>
      </w:r>
      <w:permEnd w:id="1"/>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)D</w:t>
      </w:r>
      <w:r>
        <w:rPr>
          <w:rFonts w:ascii="宋体" w:hAnsi="宋体" w:cs="仿宋_GB2312" w:hint="eastAsia"/>
          <w:kern w:val="0"/>
          <w:sz w:val="18"/>
          <w:szCs w:val="18"/>
        </w:rPr>
        <w:t>】（适用【</w:t>
      </w:r>
      <w:r>
        <w:rPr>
          <w:rFonts w:ascii="宋体" w:hAnsi="宋体" w:cs="仿宋_GB2312" w:hint="eastAsia"/>
          <w:kern w:val="0"/>
          <w:sz w:val="18"/>
          <w:szCs w:val="18"/>
        </w:rPr>
        <w:t>D</w:t>
      </w:r>
      <w:r>
        <w:rPr>
          <w:rFonts w:ascii="宋体" w:hAnsi="宋体" w:cs="仿宋_GB2312" w:hint="eastAsia"/>
          <w:kern w:val="0"/>
          <w:sz w:val="18"/>
          <w:szCs w:val="18"/>
        </w:rPr>
        <w:t>】类份额）</w:t>
      </w:r>
    </w:p>
    <w:permEnd w:id="2"/>
    <w:p w:rsidR="00672911" w:rsidRDefault="00672911">
      <w:pPr>
        <w:ind w:firstLineChars="249" w:firstLine="448"/>
        <w:rPr>
          <w:rFonts w:ascii="宋体" w:hAnsi="宋体" w:cs="仿宋_GB2312"/>
          <w:kern w:val="0"/>
          <w:sz w:val="18"/>
          <w:szCs w:val="18"/>
        </w:rPr>
      </w:pP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Z7002025000814</w:t>
      </w:r>
      <w:r>
        <w:rPr>
          <w:rFonts w:ascii="宋体" w:hAnsi="宋体" w:cs="仿宋_GB2312"/>
          <w:kern w:val="0"/>
          <w:sz w:val="18"/>
          <w:szCs w:val="18"/>
        </w:rPr>
        <w:t>】</w:t>
      </w:r>
      <w:permEnd w:id="3"/>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72911" w:rsidRDefault="008D37C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72911" w:rsidRDefault="008D37CB">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132</w:t>
      </w:r>
      <w:r>
        <w:rPr>
          <w:rFonts w:asciiTheme="majorEastAsia" w:eastAsiaTheme="majorEastAsia" w:hAnsiTheme="majorEastAsia" w:hint="eastAsia"/>
          <w:bCs/>
          <w:sz w:val="18"/>
          <w:szCs w:val="18"/>
        </w:rPr>
        <w:t>天】</w:t>
      </w:r>
    </w:p>
    <w:p w:rsidR="00672911" w:rsidRDefault="008D37CB">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672911" w:rsidRDefault="008D37C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72911" w:rsidRDefault="008D37C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72911" w:rsidRDefault="008D37C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72911" w:rsidRDefault="008D37C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72911" w:rsidRDefault="008D37C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72911" w:rsidRDefault="008D37C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72911" w:rsidRDefault="008D37C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672911" w:rsidRDefault="008D37C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72911" w:rsidRDefault="008D37C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72911" w:rsidRDefault="008D37C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72911" w:rsidRDefault="008D37CB">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672911" w:rsidRDefault="008D37CB">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bCs/>
          <w:sz w:val="18"/>
          <w:szCs w:val="18"/>
        </w:rPr>
        <w:t>1.</w:t>
      </w:r>
      <w:r>
        <w:rPr>
          <w:rFonts w:ascii="宋体" w:hAnsi="宋体" w:hint="eastAsia"/>
          <w:bCs/>
          <w:sz w:val="18"/>
          <w:szCs w:val="18"/>
        </w:rPr>
        <w:t>拟投资市场和资产的风险：</w:t>
      </w:r>
    </w:p>
    <w:p w:rsidR="00672911" w:rsidRDefault="008D37CB">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）投资债权类资产的风险</w:t>
      </w:r>
    </w:p>
    <w:p w:rsidR="00672911" w:rsidRDefault="008D37CB">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）投资标准化债权类资产的风险</w:t>
      </w:r>
    </w:p>
    <w:p w:rsidR="00672911" w:rsidRDefault="008D37CB">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72911" w:rsidRDefault="008D37CB">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）投资非标准化债权类资产的风险</w:t>
      </w:r>
    </w:p>
    <w:p w:rsidR="00672911" w:rsidRDefault="008D37CB">
      <w:pPr>
        <w:pStyle w:val="aa"/>
        <w:ind w:firstLine="360"/>
        <w:rPr>
          <w:rFonts w:ascii="宋体" w:hAnsi="宋体"/>
          <w:bCs/>
          <w:sz w:val="18"/>
          <w:szCs w:val="18"/>
        </w:rPr>
      </w:pPr>
      <w:r>
        <w:rPr>
          <w:rFonts w:ascii="宋体" w:hAnsi="宋体" w:hint="eastAsia"/>
          <w:bCs/>
          <w:sz w:val="18"/>
          <w:szCs w:val="18"/>
        </w:rPr>
        <w:t>本产品投资非标债权类资产时可能面临以下风险：由于融资主体</w:t>
      </w:r>
      <w:r>
        <w:rPr>
          <w:rFonts w:ascii="宋体" w:hAnsi="宋体"/>
          <w:bCs/>
          <w:sz w:val="18"/>
          <w:szCs w:val="18"/>
        </w:rPr>
        <w:t>/</w:t>
      </w:r>
      <w:r>
        <w:rPr>
          <w:rFonts w:ascii="宋体" w:hAnsi="宋体" w:hint="eastAsia"/>
          <w:bCs/>
          <w:sz w:val="18"/>
          <w:szCs w:val="18"/>
        </w:rPr>
        <w:t>增信主体</w:t>
      </w:r>
      <w:r>
        <w:rPr>
          <w:rFonts w:ascii="宋体" w:hAnsi="宋体"/>
          <w:bCs/>
          <w:sz w:val="18"/>
          <w:szCs w:val="18"/>
        </w:rPr>
        <w:t>/</w:t>
      </w:r>
      <w:r>
        <w:rPr>
          <w:rFonts w:ascii="宋体" w:hAnsi="宋体" w:hint="eastAsia"/>
          <w:bCs/>
          <w:sz w:val="18"/>
          <w:szCs w:val="18"/>
        </w:rPr>
        <w:t>其他义务人还款履约能力可能的变化导致的信用风险（包括但不限于：融资主体提前还</w:t>
      </w:r>
      <w:r>
        <w:rPr>
          <w:rFonts w:ascii="宋体" w:hAnsi="宋体" w:hint="eastAsia"/>
          <w:bCs/>
          <w:sz w:val="18"/>
          <w:szCs w:val="18"/>
        </w:rPr>
        <w:t>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672911" w:rsidRDefault="008D37CB">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）投资权益类资产的风险</w:t>
      </w:r>
    </w:p>
    <w:p w:rsidR="00672911" w:rsidRDefault="008D37CB">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）投资股票类资产的风险</w:t>
      </w:r>
    </w:p>
    <w:p w:rsidR="00672911" w:rsidRDefault="008D37CB">
      <w:pPr>
        <w:pStyle w:val="aa"/>
        <w:ind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w:t>
      </w:r>
      <w:r>
        <w:rPr>
          <w:rFonts w:ascii="宋体" w:hAnsi="宋体" w:hint="eastAsia"/>
          <w:bCs/>
          <w:sz w:val="18"/>
          <w:szCs w:val="18"/>
        </w:rPr>
        <w:t>风险；因市场、技术、竞争、管理、财务等导致公司盈利发生变化，其股票价格可能下跌，影响投资者收益；股票定向增发、上市公司优先股等可能的流通和转让限制导致的流动性风险等。</w:t>
      </w:r>
    </w:p>
    <w:p w:rsidR="00672911" w:rsidRDefault="008D37CB">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）投资股权类资产的风险</w:t>
      </w:r>
    </w:p>
    <w:p w:rsidR="00672911" w:rsidRDefault="008D37CB">
      <w:pPr>
        <w:pStyle w:val="aa"/>
        <w:ind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672911" w:rsidRDefault="008D37CB">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）投资商品和金融衍生品类资产的风险</w:t>
      </w:r>
    </w:p>
    <w:p w:rsidR="00672911" w:rsidRDefault="008D37CB">
      <w:pPr>
        <w:ind w:firstLineChars="200" w:firstLine="360"/>
        <w:rPr>
          <w:rFonts w:ascii="宋体" w:hAnsi="宋体"/>
          <w:sz w:val="18"/>
          <w:szCs w:val="18"/>
        </w:rPr>
      </w:pPr>
      <w:r>
        <w:rPr>
          <w:rFonts w:ascii="宋体" w:hAnsi="宋体" w:hint="eastAsia"/>
          <w:bCs/>
          <w:sz w:val="18"/>
          <w:szCs w:val="18"/>
        </w:rPr>
        <w:t>本产品投资商品和金</w:t>
      </w:r>
      <w:r>
        <w:rPr>
          <w:rFonts w:ascii="宋体" w:hAnsi="宋体" w:hint="eastAsia"/>
          <w:bCs/>
          <w:sz w:val="18"/>
          <w:szCs w:val="18"/>
        </w:rPr>
        <w:t>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72911" w:rsidRDefault="008D37CB">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w:t>
      </w:r>
      <w:r>
        <w:rPr>
          <w:rFonts w:ascii="黑体" w:eastAsia="黑体" w:hAnsi="黑体" w:hint="eastAsia"/>
          <w:sz w:val="18"/>
          <w:szCs w:val="18"/>
        </w:rPr>
        <w:t>明投资本产品可能面临的全部风险和可能导致投资者投资本金及收益损失的所有因素。</w:t>
      </w:r>
    </w:p>
    <w:p w:rsidR="00672911" w:rsidRDefault="008D37CB">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72911" w:rsidRDefault="008D37CB">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72911" w:rsidRDefault="008D37CB">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72911" w:rsidRDefault="008D37CB">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72911" w:rsidRDefault="008D37CB">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72911" w:rsidRDefault="008D37CB">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72911" w:rsidRDefault="008D37CB">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cs="仿宋_GB2312" w:hint="eastAsia"/>
          <w:kern w:val="0"/>
          <w:sz w:val="18"/>
          <w:szCs w:val="18"/>
        </w:rPr>
        <w:lastRenderedPageBreak/>
        <w:t>等。</w:t>
      </w:r>
    </w:p>
    <w:p w:rsidR="00672911" w:rsidRDefault="008D37C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72911" w:rsidRDefault="008D37CB">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w:t>
      </w:r>
      <w:r>
        <w:rPr>
          <w:rFonts w:ascii="宋体" w:hAnsi="宋体" w:cs="仿宋_GB2312" w:hint="eastAsia"/>
          <w:bCs/>
          <w:kern w:val="0"/>
          <w:sz w:val="18"/>
          <w:szCs w:val="18"/>
        </w:rPr>
        <w:t>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72911" w:rsidRDefault="008D37C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72911" w:rsidRDefault="008D37CB">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72911" w:rsidRDefault="008D37CB">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72911" w:rsidRDefault="008D37CB">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w:t>
      </w:r>
      <w:r>
        <w:rPr>
          <w:rFonts w:ascii="宋体" w:hAnsi="宋体" w:cs="仿宋_GB2312" w:hint="eastAsia"/>
          <w:kern w:val="0"/>
          <w:sz w:val="18"/>
          <w:szCs w:val="18"/>
        </w:rPr>
        <w:t>的原因导致理财基础资产不能及时变现而造成理财产品不能按时分配，理财期限将相应延长，从而导致本产品部分资金的延期分配。</w:t>
      </w:r>
    </w:p>
    <w:p w:rsidR="00672911" w:rsidRDefault="008D37CB">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72911" w:rsidRDefault="008D37CB">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72911" w:rsidRDefault="008D37CB">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72911" w:rsidRDefault="008D37CB">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72911" w:rsidRDefault="008D37C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672911" w:rsidRDefault="008D37C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72911" w:rsidRDefault="008D37CB">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72911" w:rsidRDefault="008D37CB">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72911" w:rsidRDefault="008D37C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72911" w:rsidRDefault="008D37CB">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72911" w:rsidRDefault="008D37C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72911" w:rsidRDefault="008D37CB">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72911" w:rsidRDefault="008D37C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72911" w:rsidRDefault="008D37CB">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72911" w:rsidRDefault="008D37CB">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72911" w:rsidRDefault="008D37CB">
      <w:pPr>
        <w:pStyle w:val="aa"/>
        <w:ind w:firstLine="360"/>
        <w:rPr>
          <w:rFonts w:ascii="宋体" w:hAnsi="宋体"/>
          <w:bCs/>
          <w:sz w:val="18"/>
          <w:szCs w:val="18"/>
        </w:rPr>
      </w:pPr>
      <w:r>
        <w:rPr>
          <w:rFonts w:ascii="宋体" w:hAnsi="宋体" w:hint="eastAsia"/>
          <w:bCs/>
          <w:sz w:val="18"/>
          <w:szCs w:val="18"/>
        </w:rPr>
        <w:lastRenderedPageBreak/>
        <w:t>理财投资基础资产时涉及对资产估值不准确、及时的，理财产品管理人及产品托管人对理财产品费用计提出现错误，将导致本产品估值差错，可能影响理财产品份额净值。</w:t>
      </w:r>
    </w:p>
    <w:p w:rsidR="00672911" w:rsidRDefault="008D37CB">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72911" w:rsidRDefault="008D37CB">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72911" w:rsidRDefault="008D37C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72911" w:rsidRDefault="008D37C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72911" w:rsidRDefault="008D37CB">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72911" w:rsidRDefault="008D37CB">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72911" w:rsidRDefault="008D37C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72911" w:rsidRDefault="008D37C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672911" w:rsidRDefault="008D37C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72911" w:rsidRDefault="00672911">
      <w:pPr>
        <w:ind w:left="540"/>
        <w:jc w:val="right"/>
        <w:rPr>
          <w:rFonts w:ascii="宋体" w:hAnsi="宋体"/>
          <w:sz w:val="18"/>
          <w:szCs w:val="18"/>
        </w:rPr>
      </w:pPr>
    </w:p>
    <w:p w:rsidR="00672911" w:rsidRDefault="008D37C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672911" w:rsidRDefault="008D37CB">
      <w:pPr>
        <w:wordWrap w:val="0"/>
        <w:ind w:left="540"/>
        <w:jc w:val="right"/>
        <w:rPr>
          <w:rFonts w:ascii="宋体" w:hAnsi="宋体"/>
          <w:sz w:val="18"/>
          <w:szCs w:val="18"/>
        </w:rPr>
      </w:pPr>
      <w:permStart w:id="11" w:edGrp="everyone"/>
      <w:r>
        <w:rPr>
          <w:rFonts w:ascii="宋体" w:hAnsi="宋体" w:hint="eastAsia"/>
          <w:sz w:val="18"/>
          <w:szCs w:val="18"/>
        </w:rPr>
        <w:t>销售机构（【</w:t>
      </w:r>
      <w:r w:rsidRPr="008D37CB">
        <w:rPr>
          <w:rFonts w:ascii="宋体" w:hAnsi="宋体" w:hint="eastAsia"/>
          <w:sz w:val="18"/>
          <w:szCs w:val="18"/>
        </w:rPr>
        <w:t>浙江嵊州农村商业银行股份有限公司</w:t>
      </w:r>
      <w:r>
        <w:rPr>
          <w:rFonts w:ascii="宋体" w:hAnsi="宋体" w:hint="eastAsia"/>
          <w:sz w:val="18"/>
          <w:szCs w:val="18"/>
        </w:rPr>
        <w:t>】）</w:t>
      </w:r>
    </w:p>
    <w:permEnd w:id="11"/>
    <w:p w:rsidR="00672911" w:rsidRDefault="008D37CB">
      <w:pPr>
        <w:widowControl/>
        <w:jc w:val="left"/>
        <w:rPr>
          <w:rFonts w:ascii="宋体" w:hAnsi="宋体"/>
          <w:sz w:val="18"/>
          <w:szCs w:val="18"/>
        </w:rPr>
      </w:pPr>
      <w:r>
        <w:rPr>
          <w:rFonts w:ascii="宋体" w:hAnsi="宋体"/>
          <w:sz w:val="18"/>
          <w:szCs w:val="18"/>
        </w:rPr>
        <w:br w:type="page"/>
      </w:r>
    </w:p>
    <w:p w:rsidR="00672911" w:rsidRDefault="00672911">
      <w:pPr>
        <w:ind w:left="540"/>
        <w:jc w:val="right"/>
        <w:rPr>
          <w:rFonts w:ascii="宋体" w:hAnsi="宋体"/>
          <w:sz w:val="18"/>
          <w:szCs w:val="18"/>
        </w:rPr>
      </w:pPr>
    </w:p>
    <w:p w:rsidR="00672911" w:rsidRDefault="0067291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72911">
        <w:trPr>
          <w:trHeight w:val="627"/>
        </w:trPr>
        <w:tc>
          <w:tcPr>
            <w:tcW w:w="8371" w:type="dxa"/>
          </w:tcPr>
          <w:p w:rsidR="00672911" w:rsidRDefault="008D37C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72911" w:rsidRDefault="008D37C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72911">
        <w:trPr>
          <w:trHeight w:val="6283"/>
        </w:trPr>
        <w:tc>
          <w:tcPr>
            <w:tcW w:w="8371" w:type="dxa"/>
          </w:tcPr>
          <w:p w:rsidR="00672911" w:rsidRDefault="008D37C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72911" w:rsidRDefault="00672911">
            <w:pPr>
              <w:spacing w:line="280" w:lineRule="atLeast"/>
              <w:jc w:val="left"/>
              <w:rPr>
                <w:rFonts w:ascii="宋体" w:hAnsi="宋体" w:cs="Arial"/>
                <w:sz w:val="18"/>
                <w:szCs w:val="18"/>
              </w:rPr>
            </w:pPr>
          </w:p>
          <w:p w:rsidR="00672911" w:rsidRDefault="008D37C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672911" w:rsidRDefault="00672911">
            <w:pPr>
              <w:spacing w:line="280" w:lineRule="atLeast"/>
              <w:jc w:val="left"/>
              <w:rPr>
                <w:rFonts w:ascii="宋体" w:hAnsi="宋体" w:cs="Arial"/>
                <w:kern w:val="0"/>
                <w:sz w:val="18"/>
                <w:szCs w:val="18"/>
              </w:rPr>
            </w:pPr>
          </w:p>
          <w:p w:rsidR="00672911" w:rsidRDefault="008D37C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72911" w:rsidRDefault="00672911">
            <w:pPr>
              <w:spacing w:line="280" w:lineRule="atLeast"/>
              <w:jc w:val="left"/>
              <w:rPr>
                <w:rFonts w:ascii="宋体" w:hAnsi="宋体" w:cs="Arial"/>
                <w:kern w:val="0"/>
                <w:sz w:val="18"/>
                <w:szCs w:val="18"/>
              </w:rPr>
            </w:pPr>
          </w:p>
          <w:p w:rsidR="00672911" w:rsidRDefault="008D37CB">
            <w:pPr>
              <w:spacing w:line="280" w:lineRule="atLeast"/>
              <w:jc w:val="left"/>
              <w:rPr>
                <w:kern w:val="0"/>
                <w:sz w:val="18"/>
                <w:szCs w:val="18"/>
                <w:u w:val="single"/>
              </w:rPr>
            </w:pPr>
            <w:r>
              <w:rPr>
                <w:rFonts w:ascii="宋体" w:hAnsi="宋体" w:cs="Arial" w:hint="eastAsia"/>
                <w:kern w:val="0"/>
                <w:sz w:val="18"/>
                <w:szCs w:val="18"/>
              </w:rPr>
              <w:t>请投资者在此抄录：</w:t>
            </w:r>
          </w:p>
          <w:p w:rsidR="00672911" w:rsidRDefault="00672911">
            <w:pPr>
              <w:spacing w:line="280" w:lineRule="atLeast"/>
              <w:jc w:val="left"/>
              <w:rPr>
                <w:kern w:val="0"/>
                <w:sz w:val="18"/>
                <w:szCs w:val="18"/>
                <w:u w:val="single"/>
              </w:rPr>
            </w:pPr>
          </w:p>
          <w:p w:rsidR="00672911" w:rsidRDefault="008D37C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672911" w:rsidRDefault="00672911">
            <w:pPr>
              <w:spacing w:line="280" w:lineRule="atLeast"/>
              <w:ind w:left="4200" w:firstLineChars="600" w:firstLine="1080"/>
              <w:jc w:val="left"/>
              <w:rPr>
                <w:rFonts w:ascii="宋体" w:hAnsi="宋体" w:cs="Arial"/>
                <w:kern w:val="0"/>
                <w:sz w:val="18"/>
                <w:szCs w:val="18"/>
              </w:rPr>
            </w:pPr>
          </w:p>
          <w:p w:rsidR="00672911" w:rsidRDefault="008D37C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72911" w:rsidRDefault="00672911">
            <w:pPr>
              <w:spacing w:line="280" w:lineRule="atLeast"/>
              <w:ind w:left="4200" w:firstLineChars="600" w:firstLine="1080"/>
              <w:jc w:val="left"/>
              <w:rPr>
                <w:rFonts w:ascii="宋体" w:hAnsi="宋体" w:cs="Arial"/>
                <w:kern w:val="0"/>
                <w:sz w:val="18"/>
                <w:szCs w:val="18"/>
              </w:rPr>
            </w:pPr>
          </w:p>
          <w:p w:rsidR="00672911" w:rsidRDefault="008D37CB">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672911" w:rsidRDefault="00672911">
            <w:pPr>
              <w:spacing w:line="280" w:lineRule="atLeast"/>
              <w:jc w:val="right"/>
              <w:rPr>
                <w:rFonts w:ascii="宋体" w:hAnsi="宋体"/>
                <w:kern w:val="0"/>
                <w:sz w:val="18"/>
                <w:szCs w:val="18"/>
              </w:rPr>
            </w:pPr>
          </w:p>
        </w:tc>
      </w:tr>
    </w:tbl>
    <w:p w:rsidR="00672911" w:rsidRDefault="00672911">
      <w:pPr>
        <w:autoSpaceDE w:val="0"/>
        <w:autoSpaceDN w:val="0"/>
        <w:adjustRightInd w:val="0"/>
        <w:spacing w:line="360" w:lineRule="auto"/>
        <w:ind w:firstLine="420"/>
        <w:jc w:val="left"/>
        <w:rPr>
          <w:rFonts w:ascii="宋体" w:hAnsi="宋体"/>
          <w:sz w:val="24"/>
        </w:rPr>
      </w:pPr>
    </w:p>
    <w:p w:rsidR="00672911" w:rsidRDefault="00672911">
      <w:pPr>
        <w:rPr>
          <w:rFonts w:ascii="宋体" w:hAnsi="宋体" w:cs="Arial"/>
          <w:sz w:val="24"/>
        </w:rPr>
      </w:pPr>
    </w:p>
    <w:p w:rsidR="00672911" w:rsidRDefault="008D37C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72911">
        <w:trPr>
          <w:trHeight w:val="823"/>
        </w:trPr>
        <w:tc>
          <w:tcPr>
            <w:tcW w:w="8413" w:type="dxa"/>
          </w:tcPr>
          <w:p w:rsidR="00672911" w:rsidRDefault="008D37C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72911" w:rsidRDefault="008D37C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672911">
        <w:trPr>
          <w:trHeight w:val="7355"/>
        </w:trPr>
        <w:tc>
          <w:tcPr>
            <w:tcW w:w="8413" w:type="dxa"/>
          </w:tcPr>
          <w:p w:rsidR="00672911" w:rsidRDefault="008D37C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72911" w:rsidRDefault="00672911">
            <w:pPr>
              <w:spacing w:line="280" w:lineRule="atLeast"/>
              <w:ind w:firstLineChars="200" w:firstLine="360"/>
              <w:jc w:val="left"/>
              <w:rPr>
                <w:rFonts w:ascii="宋体" w:hAnsi="宋体" w:cs="Arial"/>
                <w:kern w:val="0"/>
                <w:sz w:val="18"/>
                <w:szCs w:val="18"/>
              </w:rPr>
            </w:pPr>
          </w:p>
          <w:p w:rsidR="00672911" w:rsidRDefault="008D37C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72911" w:rsidRDefault="00672911">
            <w:pPr>
              <w:spacing w:line="280" w:lineRule="atLeast"/>
              <w:ind w:firstLineChars="200" w:firstLine="360"/>
              <w:jc w:val="left"/>
              <w:rPr>
                <w:rFonts w:ascii="宋体" w:hAnsi="宋体" w:cs="Arial"/>
                <w:kern w:val="0"/>
                <w:sz w:val="18"/>
                <w:szCs w:val="18"/>
              </w:rPr>
            </w:pPr>
          </w:p>
          <w:p w:rsidR="00672911" w:rsidRDefault="008D37C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72911" w:rsidRDefault="00672911">
            <w:pPr>
              <w:spacing w:line="280" w:lineRule="atLeast"/>
              <w:jc w:val="left"/>
              <w:rPr>
                <w:rFonts w:ascii="宋体" w:hAnsi="宋体" w:cs="Arial"/>
                <w:kern w:val="0"/>
                <w:sz w:val="18"/>
                <w:szCs w:val="18"/>
              </w:rPr>
            </w:pPr>
          </w:p>
          <w:p w:rsidR="00672911" w:rsidRDefault="008D37C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72911" w:rsidRDefault="00672911">
            <w:pPr>
              <w:spacing w:line="280" w:lineRule="atLeast"/>
              <w:jc w:val="left"/>
              <w:rPr>
                <w:rFonts w:ascii="宋体" w:hAnsi="宋体" w:cs="Arial"/>
                <w:kern w:val="0"/>
                <w:sz w:val="18"/>
                <w:szCs w:val="18"/>
              </w:rPr>
            </w:pPr>
          </w:p>
          <w:p w:rsidR="00672911" w:rsidRDefault="008D37C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672911" w:rsidRDefault="00672911">
            <w:pPr>
              <w:spacing w:line="280" w:lineRule="atLeast"/>
              <w:jc w:val="left"/>
              <w:rPr>
                <w:rFonts w:ascii="宋体" w:hAnsi="宋体" w:cs="Arial"/>
                <w:kern w:val="0"/>
                <w:sz w:val="18"/>
                <w:szCs w:val="18"/>
              </w:rPr>
            </w:pPr>
          </w:p>
          <w:p w:rsidR="00672911" w:rsidRDefault="008D37C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672911" w:rsidRDefault="00672911">
            <w:pPr>
              <w:spacing w:line="280" w:lineRule="atLeast"/>
              <w:ind w:left="4200" w:firstLineChars="600" w:firstLine="1080"/>
              <w:jc w:val="left"/>
              <w:rPr>
                <w:rFonts w:ascii="宋体" w:hAnsi="宋体" w:cs="Arial"/>
                <w:kern w:val="0"/>
                <w:sz w:val="18"/>
                <w:szCs w:val="18"/>
              </w:rPr>
            </w:pPr>
          </w:p>
          <w:p w:rsidR="00672911" w:rsidRDefault="008D37C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72911" w:rsidRDefault="00672911">
            <w:pPr>
              <w:spacing w:line="280" w:lineRule="atLeast"/>
              <w:rPr>
                <w:kern w:val="0"/>
                <w:sz w:val="20"/>
                <w:szCs w:val="20"/>
              </w:rPr>
            </w:pPr>
          </w:p>
          <w:p w:rsidR="00672911" w:rsidRDefault="008D37C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72911" w:rsidRDefault="00672911">
      <w:pPr>
        <w:widowControl/>
        <w:jc w:val="left"/>
        <w:rPr>
          <w:rFonts w:ascii="宋体" w:hAnsi="宋体"/>
          <w:b/>
          <w:sz w:val="28"/>
          <w:szCs w:val="28"/>
        </w:rPr>
      </w:pPr>
    </w:p>
    <w:sectPr w:rsidR="00672911" w:rsidSect="0067291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911" w:rsidRDefault="00672911" w:rsidP="00672911">
      <w:r>
        <w:separator/>
      </w:r>
    </w:p>
  </w:endnote>
  <w:endnote w:type="continuationSeparator" w:id="1">
    <w:p w:rsidR="00672911" w:rsidRDefault="00672911" w:rsidP="006729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72911" w:rsidRDefault="00672911">
        <w:pPr>
          <w:pStyle w:val="a5"/>
          <w:jc w:val="center"/>
        </w:pPr>
        <w:r>
          <w:fldChar w:fldCharType="begin"/>
        </w:r>
        <w:r w:rsidR="008D37CB">
          <w:instrText>PAGE   \* MERGEFORMAT</w:instrText>
        </w:r>
        <w:r>
          <w:fldChar w:fldCharType="separate"/>
        </w:r>
        <w:r w:rsidR="008D37CB" w:rsidRPr="008D37CB">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911" w:rsidRDefault="00672911" w:rsidP="00672911">
      <w:r>
        <w:separator/>
      </w:r>
    </w:p>
  </w:footnote>
  <w:footnote w:type="continuationSeparator" w:id="1">
    <w:p w:rsidR="00672911" w:rsidRDefault="00672911" w:rsidP="006729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911" w:rsidRDefault="008D37C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72911" w:rsidRDefault="008D37C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7291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7CB"/>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93C4710"/>
    <w:rsid w:val="123D1F82"/>
    <w:rsid w:val="18022440"/>
    <w:rsid w:val="1C70668E"/>
    <w:rsid w:val="23024B39"/>
    <w:rsid w:val="28C07E7C"/>
    <w:rsid w:val="2BFD3E4F"/>
    <w:rsid w:val="2C555922"/>
    <w:rsid w:val="36045A6C"/>
    <w:rsid w:val="3A2B63B9"/>
    <w:rsid w:val="46493A41"/>
    <w:rsid w:val="4EEE53D9"/>
    <w:rsid w:val="601969DF"/>
    <w:rsid w:val="659C2FA3"/>
    <w:rsid w:val="771647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91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72911"/>
    <w:pPr>
      <w:jc w:val="left"/>
    </w:pPr>
  </w:style>
  <w:style w:type="paragraph" w:styleId="a4">
    <w:name w:val="Balloon Text"/>
    <w:basedOn w:val="a"/>
    <w:link w:val="Char0"/>
    <w:uiPriority w:val="99"/>
    <w:semiHidden/>
    <w:unhideWhenUsed/>
    <w:qFormat/>
    <w:rsid w:val="00672911"/>
    <w:rPr>
      <w:sz w:val="18"/>
      <w:szCs w:val="18"/>
    </w:rPr>
  </w:style>
  <w:style w:type="paragraph" w:styleId="a5">
    <w:name w:val="footer"/>
    <w:basedOn w:val="a"/>
    <w:link w:val="Char1"/>
    <w:uiPriority w:val="99"/>
    <w:unhideWhenUsed/>
    <w:qFormat/>
    <w:rsid w:val="0067291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729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72911"/>
    <w:rPr>
      <w:b/>
      <w:bCs/>
    </w:rPr>
  </w:style>
  <w:style w:type="table" w:styleId="a8">
    <w:name w:val="Table Grid"/>
    <w:basedOn w:val="a1"/>
    <w:qFormat/>
    <w:rsid w:val="0067291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672911"/>
    <w:rPr>
      <w:sz w:val="21"/>
      <w:szCs w:val="21"/>
    </w:rPr>
  </w:style>
  <w:style w:type="character" w:customStyle="1" w:styleId="Char2">
    <w:name w:val="页眉 Char"/>
    <w:basedOn w:val="a0"/>
    <w:link w:val="a6"/>
    <w:uiPriority w:val="99"/>
    <w:qFormat/>
    <w:rsid w:val="00672911"/>
    <w:rPr>
      <w:sz w:val="18"/>
      <w:szCs w:val="18"/>
    </w:rPr>
  </w:style>
  <w:style w:type="character" w:customStyle="1" w:styleId="Char1">
    <w:name w:val="页脚 Char"/>
    <w:basedOn w:val="a0"/>
    <w:link w:val="a5"/>
    <w:uiPriority w:val="99"/>
    <w:qFormat/>
    <w:rsid w:val="00672911"/>
    <w:rPr>
      <w:sz w:val="18"/>
      <w:szCs w:val="18"/>
    </w:rPr>
  </w:style>
  <w:style w:type="paragraph" w:styleId="aa">
    <w:name w:val="List Paragraph"/>
    <w:basedOn w:val="a"/>
    <w:qFormat/>
    <w:rsid w:val="00672911"/>
    <w:pPr>
      <w:ind w:firstLineChars="200" w:firstLine="420"/>
    </w:pPr>
  </w:style>
  <w:style w:type="character" w:customStyle="1" w:styleId="Char">
    <w:name w:val="批注文字 Char"/>
    <w:basedOn w:val="a0"/>
    <w:link w:val="a3"/>
    <w:uiPriority w:val="99"/>
    <w:qFormat/>
    <w:rsid w:val="00672911"/>
    <w:rPr>
      <w:rFonts w:ascii="Calibri" w:eastAsia="宋体" w:hAnsi="Calibri" w:cs="宋体"/>
    </w:rPr>
  </w:style>
  <w:style w:type="character" w:customStyle="1" w:styleId="Char3">
    <w:name w:val="批注主题 Char"/>
    <w:basedOn w:val="Char"/>
    <w:link w:val="a7"/>
    <w:uiPriority w:val="99"/>
    <w:semiHidden/>
    <w:qFormat/>
    <w:rsid w:val="00672911"/>
    <w:rPr>
      <w:rFonts w:ascii="Calibri" w:eastAsia="宋体" w:hAnsi="Calibri" w:cs="宋体"/>
      <w:b/>
      <w:bCs/>
    </w:rPr>
  </w:style>
  <w:style w:type="character" w:customStyle="1" w:styleId="Char0">
    <w:name w:val="批注框文本 Char"/>
    <w:basedOn w:val="a0"/>
    <w:link w:val="a4"/>
    <w:uiPriority w:val="99"/>
    <w:semiHidden/>
    <w:qFormat/>
    <w:rsid w:val="0067291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5489</Words>
  <Characters>304</Characters>
  <Application>Microsoft Office Word</Application>
  <DocSecurity>8</DocSecurity>
  <Lines>2</Lines>
  <Paragraphs>11</Paragraphs>
  <ScaleCrop>false</ScaleCrop>
  <Company>神州网信技术有限公司</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2024-03-04T01:44:00Z</dcterms:created>
  <dcterms:modified xsi:type="dcterms:W3CDTF">2025-05-27T06:58:00Z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