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eastAsia="zh-CN"/>
        </w:rPr>
        <w:t>北银理财丰收系列京华远见春系列</w:t>
      </w:r>
    </w:p>
    <w:p>
      <w:pPr>
        <w:tabs>
          <w:tab w:val="left" w:pos="915"/>
          <w:tab w:val="center" w:pos="5273"/>
        </w:tabs>
        <w:spacing w:before="50"/>
        <w:jc w:val="center"/>
        <w:rPr>
          <w:rFonts w:hint="eastAsia" w:ascii="黑体" w:eastAsia="黑体"/>
          <w:b/>
          <w:bCs/>
          <w:color w:val="000000"/>
          <w:sz w:val="30"/>
          <w:szCs w:val="30"/>
          <w:highlight w:val="none"/>
          <w:lang w:eastAsia="zh-CN"/>
        </w:rPr>
      </w:pPr>
      <w:r>
        <w:rPr>
          <w:rFonts w:hint="eastAsia" w:ascii="黑体" w:eastAsia="黑体"/>
          <w:b/>
          <w:bCs/>
          <w:color w:val="000000"/>
          <w:sz w:val="30"/>
          <w:szCs w:val="30"/>
          <w:highlight w:val="none"/>
          <w:lang w:val="en-US" w:eastAsia="zh-CN"/>
        </w:rPr>
        <w:t>诚享</w:t>
      </w:r>
      <w:permStart w:id="0" w:edGrp="everyone"/>
      <w:r>
        <w:rPr>
          <w:rFonts w:hint="eastAsia" w:ascii="黑体" w:eastAsia="黑体"/>
          <w:b/>
          <w:bCs/>
          <w:color w:val="000000"/>
          <w:sz w:val="30"/>
          <w:szCs w:val="30"/>
          <w:highlight w:val="none"/>
          <w:lang w:val="en-US" w:eastAsia="zh-CN"/>
        </w:rPr>
        <w:t>7</w:t>
      </w:r>
      <w:permEnd w:id="0"/>
      <w:r>
        <w:rPr>
          <w:rFonts w:hint="eastAsia" w:ascii="黑体" w:eastAsia="黑体"/>
          <w:b/>
          <w:bCs/>
          <w:color w:val="000000"/>
          <w:sz w:val="30"/>
          <w:szCs w:val="30"/>
          <w:highlight w:val="none"/>
          <w:lang w:eastAsia="zh-CN"/>
        </w:rPr>
        <w:t>天持有期</w:t>
      </w:r>
      <w:permStart w:id="1" w:edGrp="everyone"/>
      <w:r>
        <w:rPr>
          <w:rFonts w:hint="eastAsia" w:ascii="黑体" w:eastAsia="黑体"/>
          <w:b/>
          <w:bCs/>
          <w:color w:val="000000"/>
          <w:sz w:val="30"/>
          <w:szCs w:val="30"/>
          <w:highlight w:val="none"/>
          <w:lang w:val="en-US" w:eastAsia="zh-CN"/>
        </w:rPr>
        <w:t>1</w:t>
      </w:r>
      <w:permEnd w:id="1"/>
      <w:r>
        <w:rPr>
          <w:rFonts w:hint="eastAsia" w:ascii="黑体" w:eastAsia="黑体"/>
          <w:b/>
          <w:bCs/>
          <w:color w:val="000000"/>
          <w:sz w:val="30"/>
          <w:szCs w:val="30"/>
          <w:highlight w:val="none"/>
          <w:lang w:eastAsia="zh-CN"/>
        </w:rPr>
        <w:t>号理财产品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3"/>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开放式净值型理财产品、公募理财产品、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w:t>
      </w:r>
      <w:r>
        <w:rPr>
          <w:rFonts w:ascii="楷体_GB2312" w:hAnsi="楷体" w:eastAsia="楷体_GB2312"/>
          <w:sz w:val="24"/>
          <w:highlight w:val="none"/>
        </w:rPr>
        <w:t>固定收益类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ascii="楷体_GB2312" w:hAnsi="宋体" w:eastAsia="楷体_GB2312"/>
          <w:color w:val="000000"/>
          <w:sz w:val="24"/>
        </w:rPr>
        <w:t>北京银行股份有限公司（以下简称“北京银行”）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ascii="楷体_GB2312" w:hAnsi="宋体"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pStyle w:val="3"/>
        <w:ind w:left="0" w:leftChars="0" w:firstLine="480" w:firstLineChars="200"/>
        <w:rPr>
          <w:rFonts w:ascii="楷体_GB2312" w:eastAsia="楷体_GB2312"/>
          <w:color w:val="000000"/>
          <w:sz w:val="24"/>
          <w:szCs w:val="24"/>
          <w:highlight w:val="none"/>
        </w:rPr>
      </w:pPr>
      <w:r>
        <w:rPr>
          <w:rFonts w:hint="eastAsia" w:ascii="楷体_GB2312" w:hAnsi="宋体" w:eastAsia="楷体_GB2312"/>
          <w:color w:val="000000"/>
          <w:sz w:val="24"/>
          <w:highlight w:val="none"/>
        </w:rPr>
        <w:t>1.理财/本理财产品/理财产品/本产品：</w:t>
      </w:r>
      <w:r>
        <w:rPr>
          <w:rFonts w:hint="eastAsia" w:ascii="楷体_GB2312" w:hAnsi="宋体" w:eastAsia="楷体_GB2312"/>
          <w:color w:val="000000"/>
          <w:sz w:val="24"/>
          <w:highlight w:val="none"/>
          <w:lang w:val="en-US" w:eastAsia="zh-CN"/>
        </w:rPr>
        <w:t>指</w:t>
      </w:r>
      <w:r>
        <w:rPr>
          <w:rFonts w:hint="eastAsia" w:ascii="楷体_GB2312" w:hAnsi="宋体" w:eastAsia="楷体_GB2312"/>
          <w:color w:val="000000"/>
          <w:sz w:val="24"/>
          <w:lang w:eastAsia="zh-CN"/>
        </w:rPr>
        <w:t>北银理财丰收系列京华远见春系列诚享</w:t>
      </w:r>
      <w:permStart w:id="2" w:edGrp="everyone"/>
      <w:r>
        <w:rPr>
          <w:rFonts w:hint="eastAsia" w:ascii="楷体_GB2312" w:hAnsi="宋体" w:eastAsia="楷体_GB2312"/>
          <w:color w:val="000000"/>
          <w:sz w:val="24"/>
          <w:lang w:val="en-US" w:eastAsia="zh-CN"/>
        </w:rPr>
        <w:t>7</w:t>
      </w:r>
      <w:permEnd w:id="2"/>
      <w:r>
        <w:rPr>
          <w:rFonts w:hint="eastAsia" w:ascii="楷体_GB2312" w:hAnsi="宋体" w:eastAsia="楷体_GB2312"/>
          <w:color w:val="000000"/>
          <w:sz w:val="24"/>
          <w:lang w:eastAsia="zh-CN"/>
        </w:rPr>
        <w:t>天持有期</w:t>
      </w:r>
      <w:permStart w:id="3" w:edGrp="everyone"/>
      <w:r>
        <w:rPr>
          <w:rFonts w:hint="eastAsia" w:ascii="楷体_GB2312" w:hAnsi="宋体" w:eastAsia="楷体_GB2312"/>
          <w:color w:val="000000"/>
          <w:sz w:val="24"/>
          <w:lang w:val="en-US" w:eastAsia="zh-CN"/>
        </w:rPr>
        <w:t>1</w:t>
      </w:r>
      <w:permEnd w:id="3"/>
      <w:r>
        <w:rPr>
          <w:rFonts w:hint="eastAsia" w:ascii="楷体_GB2312" w:hAnsi="宋体" w:eastAsia="楷体_GB2312"/>
          <w:color w:val="000000"/>
          <w:sz w:val="24"/>
          <w:lang w:eastAsia="zh-CN"/>
        </w:rPr>
        <w:t>号理财产品</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3"/>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.申购：</w:t>
      </w:r>
      <w:r>
        <w:rPr>
          <w:rFonts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eastAsia="楷体_GB2312"/>
          <w:color w:val="000000"/>
          <w:sz w:val="24"/>
          <w:highlight w:val="none"/>
        </w:rPr>
        <w:t>理财产品开放</w:t>
      </w:r>
      <w:r>
        <w:rPr>
          <w:rFonts w:hint="eastAsia" w:eastAsia="楷体_GB2312"/>
          <w:color w:val="000000"/>
          <w:sz w:val="24"/>
          <w:highlight w:val="none"/>
          <w:lang w:val="en-US" w:eastAsia="zh-CN"/>
        </w:rPr>
        <w:t>日</w:t>
      </w:r>
      <w:r>
        <w:rPr>
          <w:rFonts w:eastAsia="楷体_GB2312"/>
          <w:color w:val="000000"/>
          <w:sz w:val="24"/>
          <w:highlight w:val="none"/>
        </w:rPr>
        <w:t>内</w:t>
      </w:r>
      <w:r>
        <w:rPr>
          <w:rFonts w:ascii="楷体_GB2312" w:hAnsi="宋体" w:eastAsia="楷体_GB2312"/>
          <w:color w:val="000000"/>
          <w:sz w:val="24"/>
          <w:highlight w:val="none"/>
        </w:rPr>
        <w:t>申请购买</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p>
    <w:p>
      <w:pPr>
        <w:ind w:firstLine="480" w:firstLineChars="200"/>
        <w:rPr>
          <w:rFonts w:hint="default" w:ascii="楷体_GB2312" w:hAnsi="宋体" w:eastAsia="楷体_GB2312"/>
          <w:color w:val="000000"/>
          <w:sz w:val="24"/>
          <w:highlight w:val="none"/>
          <w:lang w:val="en-US" w:eastAsia="zh-CN"/>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.赎回：</w:t>
      </w:r>
      <w:r>
        <w:rPr>
          <w:rFonts w:ascii="楷体_GB2312" w:hAnsi="宋体" w:eastAsia="楷体_GB2312"/>
          <w:color w:val="000000"/>
          <w:sz w:val="24"/>
          <w:highlight w:val="none"/>
        </w:rPr>
        <w:t>指投资者在</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理财产品开放</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内申请卖出</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理财产品份额的行为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且本理财产品</w:t>
      </w:r>
      <w:r>
        <w:rPr>
          <w:rFonts w:hint="eastAsia" w:ascii="楷体_GB2312" w:hAnsi="宋体" w:eastAsia="楷体_GB2312"/>
          <w:color w:val="000000"/>
          <w:sz w:val="24"/>
          <w:highlight w:val="none"/>
        </w:rPr>
        <w:t>投资者提出赎回申请</w:t>
      </w:r>
      <w:r>
        <w:rPr>
          <w:rFonts w:hint="eastAsia" w:ascii="楷体_GB2312" w:hAnsi="宋体" w:eastAsia="楷体_GB2312"/>
          <w:color w:val="000000"/>
          <w:sz w:val="24"/>
          <w:highlight w:val="none"/>
          <w:lang w:val="en-US" w:eastAsia="zh-CN"/>
        </w:rPr>
        <w:t>应满足</w:t>
      </w:r>
      <w:r>
        <w:rPr>
          <w:rFonts w:hint="eastAsia" w:ascii="楷体_GB2312" w:hAnsi="宋体" w:eastAsia="楷体_GB2312"/>
          <w:color w:val="000000"/>
          <w:sz w:val="24"/>
          <w:highlight w:val="none"/>
        </w:rPr>
        <w:t>每笔认购/申购的产品份额</w:t>
      </w:r>
      <w:r>
        <w:rPr>
          <w:rFonts w:hint="eastAsia" w:ascii="楷体_GB2312" w:hAnsi="宋体" w:eastAsia="楷体_GB2312"/>
          <w:color w:val="000000"/>
          <w:sz w:val="24"/>
          <w:highlight w:val="none"/>
          <w:lang w:val="en-US" w:eastAsia="zh-CN"/>
        </w:rPr>
        <w:t>的最低持有期限要求。</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7个工作日可变现资产：指包括可在交易所、银行间市场正常交易的债券、非金融企业债务融资工具</w:t>
      </w:r>
      <w:r>
        <w:rPr>
          <w:rFonts w:hint="eastAsia" w:ascii="楷体_GB2312" w:hAnsi="宋体" w:eastAsia="楷体_GB2312"/>
          <w:color w:val="000000"/>
          <w:sz w:val="24"/>
          <w:highlight w:val="none"/>
          <w:lang w:val="en-US" w:eastAsia="zh-CN"/>
        </w:rPr>
        <w:t>以及同业存单</w:t>
      </w:r>
      <w:r>
        <w:rPr>
          <w:rFonts w:hint="eastAsia" w:ascii="楷体_GB2312" w:hAnsi="宋体" w:eastAsia="楷体_GB2312"/>
          <w:color w:val="000000"/>
          <w:sz w:val="24"/>
          <w:highlight w:val="none"/>
        </w:rPr>
        <w:t>，7个工作日内到期或可支取的买入返售、银行存款，7个工作日内能够确认收到的各类应收款项等。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理财产品终止日的期间。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开放日</w:t>
      </w:r>
      <w:r>
        <w:rPr>
          <w:rFonts w:hint="eastAsia" w:ascii="楷体_GB2312" w:hAnsi="宋体" w:eastAsia="楷体_GB2312"/>
          <w:color w:val="000000"/>
          <w:sz w:val="24"/>
          <w:highlight w:val="none"/>
        </w:rPr>
        <w:t>/T日</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产品成立日起每个证券交易所交易日（如为节假日则相应顺延至下一交易日），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以该日</w:t>
      </w:r>
      <w:r>
        <w:rPr>
          <w:rFonts w:hint="eastAsia" w:ascii="楷体_GB2312" w:hAnsi="宋体" w:eastAsia="楷体_GB2312"/>
          <w:color w:val="000000"/>
          <w:sz w:val="24"/>
          <w:highlight w:val="none"/>
        </w:rPr>
        <w:t>的产品</w:t>
      </w:r>
      <w:r>
        <w:rPr>
          <w:rFonts w:ascii="楷体_GB2312" w:hAnsi="宋体" w:eastAsia="楷体_GB2312"/>
          <w:color w:val="000000"/>
          <w:sz w:val="24"/>
          <w:highlight w:val="none"/>
        </w:rPr>
        <w:t>单位净值确认</w:t>
      </w:r>
      <w:r>
        <w:rPr>
          <w:rFonts w:hint="eastAsia" w:ascii="楷体_GB2312" w:hAnsi="宋体" w:eastAsia="楷体_GB2312"/>
          <w:color w:val="000000"/>
          <w:sz w:val="24"/>
          <w:highlight w:val="none"/>
        </w:rPr>
        <w:t>投资者</w:t>
      </w:r>
      <w:r>
        <w:rPr>
          <w:rFonts w:ascii="楷体_GB2312" w:hAnsi="宋体" w:eastAsia="楷体_GB2312"/>
          <w:color w:val="000000"/>
          <w:sz w:val="24"/>
          <w:highlight w:val="none"/>
        </w:rPr>
        <w:t>申购</w:t>
      </w:r>
      <w:r>
        <w:rPr>
          <w:rFonts w:hint="eastAsia" w:ascii="楷体_GB2312" w:hAnsi="宋体" w:eastAsia="楷体_GB2312"/>
          <w:color w:val="000000"/>
          <w:sz w:val="24"/>
          <w:highlight w:val="none"/>
          <w:lang w:val="en-US" w:eastAsia="zh-CN"/>
        </w:rPr>
        <w:t>份额或赎回金额</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7</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申购/赎回</w:t>
      </w:r>
      <w:r>
        <w:rPr>
          <w:rFonts w:hint="eastAsia" w:ascii="楷体_GB2312" w:hAnsi="宋体" w:eastAsia="楷体_GB2312"/>
          <w:color w:val="000000"/>
          <w:sz w:val="24"/>
          <w:highlight w:val="none"/>
          <w:u w:val="none"/>
          <w:lang w:val="en-US" w:eastAsia="zh-CN"/>
        </w:rPr>
        <w:t>确认日：投资者提交申购/赎回申请后，产品管理人对</w:t>
      </w:r>
      <w:r>
        <w:rPr>
          <w:rFonts w:hint="eastAsia" w:ascii="楷体_GB2312" w:hAnsi="宋体" w:eastAsia="楷体_GB2312"/>
          <w:color w:val="000000"/>
          <w:sz w:val="24"/>
          <w:highlight w:val="none"/>
        </w:rPr>
        <w:t>满足条件的有效</w:t>
      </w:r>
      <w:r>
        <w:rPr>
          <w:rFonts w:hint="eastAsia" w:ascii="楷体_GB2312" w:hAnsi="宋体" w:eastAsia="楷体_GB2312"/>
          <w:color w:val="000000"/>
          <w:sz w:val="24"/>
          <w:highlight w:val="none"/>
          <w:u w:val="none"/>
          <w:lang w:val="en-US" w:eastAsia="zh-CN"/>
        </w:rPr>
        <w:t>申购/赎回申请进行确认的日期，</w:t>
      </w:r>
      <w:r>
        <w:rPr>
          <w:rFonts w:hint="eastAsia" w:ascii="楷体_GB2312" w:hAnsi="宋体" w:eastAsia="楷体_GB2312"/>
          <w:b w:val="0"/>
          <w:bCs w:val="0"/>
          <w:color w:val="auto"/>
          <w:sz w:val="24"/>
          <w:highlight w:val="none"/>
          <w:lang w:val="en-US" w:eastAsia="zh-CN"/>
        </w:rPr>
        <w:t>详见</w:t>
      </w:r>
      <w:r>
        <w:rPr>
          <w:rFonts w:hint="eastAsia" w:ascii="楷体_GB2312" w:hAnsi="宋体" w:eastAsia="楷体_GB2312"/>
          <w:b w:val="0"/>
          <w:bCs w:val="0"/>
          <w:color w:val="auto"/>
          <w:sz w:val="24"/>
          <w:szCs w:val="24"/>
          <w:highlight w:val="none"/>
          <w:lang w:val="en-US" w:eastAsia="zh-CN"/>
        </w:rPr>
        <w:t>本《</w:t>
      </w:r>
      <w:r>
        <w:rPr>
          <w:rFonts w:hint="eastAsia" w:ascii="楷体_GB2312" w:eastAsia="楷体_GB2312"/>
          <w:b w:val="0"/>
          <w:bCs w:val="0"/>
          <w:color w:val="auto"/>
          <w:sz w:val="24"/>
          <w:highlight w:val="none"/>
          <w:lang w:val="en-US" w:eastAsia="zh-CN"/>
        </w:rPr>
        <w:t>理财产品说明书</w:t>
      </w:r>
      <w:r>
        <w:rPr>
          <w:rFonts w:hint="eastAsia" w:ascii="楷体_GB2312" w:hAnsi="宋体" w:eastAsia="楷体_GB2312"/>
          <w:b w:val="0"/>
          <w:bCs w:val="0"/>
          <w:color w:val="auto"/>
          <w:sz w:val="24"/>
          <w:szCs w:val="24"/>
          <w:highlight w:val="none"/>
          <w:lang w:val="en-US" w:eastAsia="zh-CN"/>
        </w:rPr>
        <w:t>》“</w:t>
      </w:r>
      <w:r>
        <w:rPr>
          <w:rFonts w:hint="eastAsia" w:ascii="楷体_GB2312" w:hAnsi="宋体" w:eastAsia="楷体_GB2312"/>
          <w:b w:val="0"/>
          <w:bCs w:val="0"/>
          <w:color w:val="auto"/>
          <w:sz w:val="24"/>
          <w:highlight w:val="none"/>
        </w:rPr>
        <w:t>六、产品的申购和赎回</w:t>
      </w:r>
      <w:r>
        <w:rPr>
          <w:rFonts w:hint="eastAsia" w:ascii="楷体_GB2312" w:hAnsi="宋体" w:eastAsia="楷体_GB2312"/>
          <w:b w:val="0"/>
          <w:bCs w:val="0"/>
          <w:color w:val="auto"/>
          <w:sz w:val="24"/>
          <w:szCs w:val="24"/>
          <w:highlight w:val="none"/>
          <w:lang w:val="en-US" w:eastAsia="zh-CN"/>
        </w:rPr>
        <w:t>”部分。</w:t>
      </w:r>
    </w:p>
    <w:p>
      <w:pPr>
        <w:ind w:firstLine="480" w:firstLineChars="200"/>
        <w:rPr>
          <w:highlight w:val="none"/>
        </w:rPr>
      </w:pPr>
      <w:r>
        <w:rPr>
          <w:rFonts w:hint="eastAsia" w:ascii="楷体_GB2312" w:hAnsi="宋体" w:eastAsia="楷体_GB2312" w:cs="Times New Roman"/>
          <w:color w:val="000000"/>
          <w:sz w:val="24"/>
          <w:highlight w:val="none"/>
          <w:u w:val="none"/>
          <w:lang w:val="en-US" w:eastAsia="zh-CN"/>
        </w:rPr>
        <w:t>8</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s="Times New Roman"/>
          <w:color w:val="000000"/>
          <w:sz w:val="24"/>
          <w:highlight w:val="none"/>
          <w:u w:val="none"/>
          <w:lang w:val="en-US" w:eastAsia="zh-CN"/>
        </w:rPr>
        <w:t>终止日：发生本《理财产品说明书》“八</w:t>
      </w:r>
      <w:r>
        <w:rPr>
          <w:rFonts w:hint="eastAsia" w:ascii="楷体_GB2312" w:hAnsi="宋体" w:eastAsia="楷体_GB2312"/>
          <w:b w:val="0"/>
          <w:bCs/>
          <w:color w:val="000000"/>
          <w:sz w:val="24"/>
          <w:highlight w:val="none"/>
        </w:rPr>
        <w:t>、产品的终止与清算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w:t>
      </w:r>
      <w:r>
        <w:rPr>
          <w:rFonts w:hint="eastAsia" w:ascii="楷体_GB2312" w:hAnsi="宋体" w:eastAsia="楷体_GB2312"/>
          <w:color w:val="000000"/>
          <w:sz w:val="24"/>
          <w:highlight w:val="none"/>
          <w:lang w:eastAsia="zh-CN"/>
        </w:rPr>
        <w:t>。</w:t>
      </w:r>
    </w:p>
    <w:p>
      <w:pPr>
        <w:ind w:firstLine="480" w:firstLineChars="200"/>
        <w:rPr>
          <w:rFonts w:hint="default" w:ascii="楷体_GB2312" w:hAnsi="宋体" w:eastAsia="楷体_GB2312" w:cs="Times New Roman"/>
          <w:color w:val="auto"/>
          <w:sz w:val="24"/>
          <w:highlight w:val="none"/>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楷体" w:eastAsia="楷体_GB2312"/>
          <w:sz w:val="24"/>
          <w:highlight w:val="none"/>
        </w:rPr>
        <w:t>★</w:t>
      </w: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.最低持有期：指</w:t>
      </w:r>
      <w:r>
        <w:rPr>
          <w:rFonts w:hint="eastAsia" w:ascii="楷体_GB2312" w:hAnsi="宋体" w:eastAsia="楷体_GB2312"/>
          <w:color w:val="000000"/>
          <w:sz w:val="24"/>
          <w:highlight w:val="none"/>
          <w:lang w:val="en-US" w:eastAsia="zh-CN"/>
        </w:rPr>
        <w:t>本理财产品对投资者每笔有效认购/申购的产品份额设置的最低持有期限。投资者可在每笔认购/申购的产品份额确认后于最低持有期结束日（含）及后续每个开放日提出赎回申请。最低持有期结束日如遇非开放日，则顺延至下一开放日。详见本《理财产品说明书》“</w:t>
      </w:r>
      <w:r>
        <w:rPr>
          <w:rFonts w:hint="eastAsia" w:ascii="楷体_GB2312" w:hAnsi="宋体" w:eastAsia="楷体_GB2312"/>
          <w:color w:val="000000"/>
          <w:sz w:val="24"/>
          <w:highlight w:val="none"/>
        </w:rPr>
        <w:t>三、产品概况和基本要素</w:t>
      </w:r>
      <w:r>
        <w:rPr>
          <w:rFonts w:hint="eastAsia" w:ascii="楷体_GB2312" w:hAnsi="宋体" w:eastAsia="楷体_GB2312"/>
          <w:color w:val="000000"/>
          <w:sz w:val="24"/>
          <w:highlight w:val="none"/>
          <w:lang w:val="en-US" w:eastAsia="zh-CN"/>
        </w:rPr>
        <w:t>”部分。</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31"/>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2.元：指人民币元。</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3"/>
        <w:ind w:left="0" w:leftChars="0" w:firstLine="482" w:firstLineChars="200"/>
        <w:rPr>
          <w:rFonts w:ascii="楷体_GB2312" w:eastAsia="楷体_GB2312"/>
          <w:b/>
          <w:color w:val="000000"/>
          <w:sz w:val="24"/>
          <w:szCs w:val="24"/>
        </w:rPr>
      </w:pPr>
      <w:r>
        <w:rPr>
          <w:rFonts w:hint="eastAsia" w:ascii="楷体_GB2312" w:hAnsi="宋体" w:eastAsia="楷体_GB2312"/>
          <w:b/>
          <w:bCs/>
          <w:color w:val="auto"/>
          <w:sz w:val="24"/>
          <w:highlight w:val="none"/>
        </w:rPr>
        <w:t>★</w:t>
      </w:r>
      <w:r>
        <w:rPr>
          <w:rFonts w:hint="eastAsia" w:ascii="楷体_GB2312" w:eastAsia="楷体_GB2312"/>
          <w:b/>
          <w:color w:val="000000"/>
          <w:sz w:val="24"/>
          <w:szCs w:val="24"/>
        </w:rPr>
        <w:t>三、产品概况和基本要素</w:t>
      </w:r>
    </w:p>
    <w:tbl>
      <w:tblPr>
        <w:tblStyle w:val="16"/>
        <w:tblW w:w="9084"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51"/>
        <w:gridCol w:w="66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color w:val="000000"/>
                <w:sz w:val="24"/>
              </w:rPr>
            </w:pPr>
            <w:r>
              <w:rPr>
                <w:rFonts w:hint="eastAsia" w:ascii="楷体_GB2312" w:eastAsia="楷体_GB2312"/>
                <w:bCs/>
                <w:color w:val="000000"/>
                <w:sz w:val="24"/>
              </w:rPr>
              <w:t>产品名称</w:t>
            </w:r>
          </w:p>
        </w:tc>
        <w:tc>
          <w:tcPr>
            <w:tcW w:w="6633" w:type="dxa"/>
            <w:vAlign w:val="center"/>
          </w:tcPr>
          <w:p>
            <w:pPr>
              <w:rPr>
                <w:rFonts w:hint="eastAsia" w:ascii="楷体_GB2312" w:hAnsi="宋体" w:eastAsia="楷体_GB2312"/>
                <w:color w:val="000000"/>
                <w:sz w:val="24"/>
                <w:lang w:eastAsia="zh-CN"/>
              </w:rPr>
            </w:pPr>
            <w:r>
              <w:rPr>
                <w:rFonts w:hint="eastAsia" w:ascii="楷体_GB2312" w:hAnsi="宋体" w:eastAsia="楷体_GB2312"/>
                <w:color w:val="auto"/>
                <w:sz w:val="24"/>
                <w:lang w:eastAsia="zh-CN"/>
              </w:rPr>
              <w:t>北银理财丰收系列京华远见春系列诚享</w:t>
            </w:r>
            <w:permStart w:id="4" w:edGrp="everyone"/>
            <w:r>
              <w:rPr>
                <w:rFonts w:hint="eastAsia" w:ascii="楷体_GB2312" w:hAnsi="宋体" w:eastAsia="楷体_GB2312"/>
                <w:color w:val="auto"/>
                <w:sz w:val="24"/>
                <w:lang w:val="en-US" w:eastAsia="zh-CN"/>
              </w:rPr>
              <w:t>7</w:t>
            </w:r>
            <w:permEnd w:id="4"/>
            <w:r>
              <w:rPr>
                <w:rFonts w:hint="eastAsia" w:ascii="楷体_GB2312" w:hAnsi="宋体" w:eastAsia="楷体_GB2312"/>
                <w:color w:val="auto"/>
                <w:sz w:val="24"/>
                <w:lang w:eastAsia="zh-CN"/>
              </w:rPr>
              <w:t>天持有期</w:t>
            </w:r>
            <w:permStart w:id="5" w:edGrp="everyone"/>
            <w:r>
              <w:rPr>
                <w:rFonts w:hint="eastAsia" w:ascii="楷体_GB2312" w:hAnsi="宋体" w:eastAsia="楷体_GB2312"/>
                <w:color w:val="auto"/>
                <w:sz w:val="24"/>
                <w:lang w:val="en-US" w:eastAsia="zh-CN"/>
              </w:rPr>
              <w:t>1</w:t>
            </w:r>
            <w:permEnd w:id="5"/>
            <w:r>
              <w:rPr>
                <w:rFonts w:hint="eastAsia" w:ascii="楷体_GB2312" w:hAnsi="宋体" w:eastAsia="楷体_GB2312"/>
                <w:color w:val="auto"/>
                <w:sz w:val="24"/>
                <w:lang w:eastAsia="zh-CN"/>
              </w:rPr>
              <w:t>号理财产品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产品销售名称</w:t>
            </w:r>
          </w:p>
        </w:tc>
        <w:tc>
          <w:tcPr>
            <w:tcW w:w="6633" w:type="dxa"/>
            <w:vAlign w:val="top"/>
          </w:tcPr>
          <w:p>
            <w:pPr>
              <w:rPr>
                <w:rFonts w:hint="eastAsia" w:eastAsia="楷体_GB2312"/>
                <w:color w:val="C00000"/>
                <w:lang w:val="en-US" w:eastAsia="zh-CN"/>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w:t>
            </w:r>
            <w:r>
              <w:rPr>
                <w:rFonts w:hint="eastAsia" w:ascii="楷体_GB2312" w:hAnsi="宋体" w:eastAsia="楷体_GB2312"/>
                <w:color w:val="auto"/>
                <w:sz w:val="24"/>
                <w:lang w:eastAsia="zh-CN"/>
              </w:rPr>
              <w:t>丰收系列京华远见春系列诚享7天持有期1号</w:t>
            </w:r>
            <w:r>
              <w:rPr>
                <w:rFonts w:hint="eastAsia" w:ascii="楷体_GB2312" w:hAnsi="宋体" w:eastAsia="楷体_GB2312"/>
                <w:color w:val="auto"/>
                <w:sz w:val="24"/>
                <w:lang w:val="en-US" w:eastAsia="zh-CN"/>
              </w:rPr>
              <w:t>A类</w:t>
            </w:r>
            <w:r>
              <w:rPr>
                <w:rFonts w:hint="eastAsia" w:ascii="楷体_GB2312" w:hAnsi="宋体" w:eastAsia="楷体_GB2312"/>
                <w:color w:val="auto"/>
                <w:sz w:val="24"/>
                <w:lang w:eastAsia="zh-CN"/>
              </w:rPr>
              <w:t>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产品代码</w:t>
            </w:r>
          </w:p>
        </w:tc>
        <w:tc>
          <w:tcPr>
            <w:tcW w:w="6633" w:type="dxa"/>
            <w:vAlign w:val="top"/>
          </w:tcPr>
          <w:p>
            <w:pPr>
              <w:rPr>
                <w:rFonts w:hint="eastAsia" w:ascii="楷体_GB2312" w:hAnsi="宋体" w:eastAsia="楷体_GB2312"/>
                <w:color w:val="C00000"/>
                <w:sz w:val="24"/>
                <w:lang w:eastAsia="zh-CN"/>
              </w:rPr>
            </w:pPr>
            <w:r>
              <w:rPr>
                <w:rFonts w:hint="eastAsia" w:ascii="楷体_GB2312" w:eastAsia="楷体_GB2312" w:cs="Times New Roman"/>
                <w:bCs/>
                <w:color w:val="auto"/>
                <w:sz w:val="24"/>
                <w:highlight w:val="none"/>
                <w:lang w:eastAsia="zh-CN"/>
              </w:rPr>
              <w:t>YJ01250495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auto"/>
                <w:sz w:val="24"/>
              </w:rPr>
            </w:pPr>
            <w:r>
              <w:rPr>
                <w:rFonts w:hint="eastAsia" w:ascii="楷体_GB2312" w:eastAsia="楷体_GB2312"/>
                <w:bCs/>
                <w:color w:val="auto"/>
                <w:sz w:val="24"/>
              </w:rPr>
              <w:t>产品销售代码</w:t>
            </w:r>
          </w:p>
        </w:tc>
        <w:tc>
          <w:tcPr>
            <w:tcW w:w="6633" w:type="dxa"/>
            <w:vAlign w:val="top"/>
          </w:tcPr>
          <w:p>
            <w:pPr>
              <w:rPr>
                <w:rFonts w:hint="eastAsia" w:eastAsia="楷体_GB2312"/>
                <w:color w:val="C00000"/>
                <w:lang w:eastAsia="zh-CN"/>
              </w:rPr>
            </w:pPr>
            <w:r>
              <w:rPr>
                <w:rFonts w:hint="eastAsia" w:ascii="楷体_GB2312" w:hAnsi="宋体" w:eastAsia="楷体_GB2312"/>
                <w:color w:val="auto"/>
                <w:sz w:val="24"/>
                <w:lang w:val="en-US" w:eastAsia="zh-CN"/>
              </w:rPr>
              <w:t>A类</w:t>
            </w:r>
            <w:r>
              <w:rPr>
                <w:rFonts w:hint="eastAsia" w:ascii="楷体_GB2312" w:hAnsi="宋体" w:eastAsia="楷体_GB2312"/>
                <w:color w:val="auto"/>
                <w:sz w:val="24"/>
                <w:highlight w:val="none"/>
              </w:rPr>
              <w:t>份额：</w:t>
            </w:r>
            <w:r>
              <w:rPr>
                <w:rFonts w:hint="eastAsia" w:ascii="楷体_GB2312" w:eastAsia="楷体_GB2312" w:cs="Times New Roman"/>
                <w:bCs/>
                <w:color w:val="auto"/>
                <w:sz w:val="24"/>
                <w:highlight w:val="none"/>
                <w:lang w:eastAsia="zh-CN"/>
              </w:rPr>
              <w:t>YJ01250495</w:t>
            </w:r>
            <w:r>
              <w:rPr>
                <w:rFonts w:hint="eastAsia" w:ascii="楷体_GB2312" w:eastAsia="楷体_GB2312" w:cs="Times New Roman"/>
                <w:bCs/>
                <w:color w:val="auto"/>
                <w:sz w:val="24"/>
                <w:highlight w:val="none"/>
                <w:lang w:val="en-US" w:eastAsia="zh-CN"/>
              </w:rPr>
              <w: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产品登记编码</w:t>
            </w:r>
          </w:p>
        </w:tc>
        <w:tc>
          <w:tcPr>
            <w:tcW w:w="6633" w:type="dxa"/>
            <w:vAlign w:val="top"/>
          </w:tcPr>
          <w:p>
            <w:pPr>
              <w:rPr>
                <w:rFonts w:hint="default" w:ascii="楷体_GB2312" w:hAnsi="宋体" w:eastAsia="楷体_GB2312" w:cs="Times New Roman"/>
                <w:color w:val="000000"/>
                <w:sz w:val="24"/>
                <w:lang w:val="en-US" w:eastAsia="zh-CN"/>
              </w:rPr>
            </w:pPr>
            <w:r>
              <w:rPr>
                <w:rFonts w:hint="eastAsia" w:ascii="楷体_GB2312" w:hAnsi="宋体" w:eastAsia="楷体_GB2312"/>
                <w:color w:val="000000"/>
                <w:sz w:val="24"/>
              </w:rPr>
              <w:t>产品登记编码：Z7008925000252</w:t>
            </w:r>
          </w:p>
          <w:p>
            <w:pPr>
              <w:rPr>
                <w:rFonts w:ascii="楷体_GB2312" w:hAnsi="宋体" w:eastAsia="楷体_GB2312"/>
                <w:color w:val="000000"/>
                <w:sz w:val="24"/>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51" w:type="dxa"/>
            <w:vAlign w:val="center"/>
          </w:tcPr>
          <w:p>
            <w:pPr>
              <w:snapToGrid w:val="0"/>
              <w:rPr>
                <w:rFonts w:ascii="楷体_GB2312" w:eastAsia="楷体_GB2312"/>
                <w:bCs/>
                <w:color w:val="auto"/>
                <w:sz w:val="24"/>
              </w:rPr>
            </w:pPr>
            <w:r>
              <w:rPr>
                <w:rFonts w:hint="eastAsia" w:ascii="楷体_GB2312" w:hAnsi="楷体" w:eastAsia="楷体_GB2312"/>
                <w:color w:val="auto"/>
                <w:sz w:val="24"/>
              </w:rPr>
              <w:t>★</w:t>
            </w:r>
            <w:r>
              <w:rPr>
                <w:rFonts w:hint="eastAsia" w:ascii="楷体_GB2312" w:hAnsi="宋体" w:eastAsia="楷体_GB2312"/>
                <w:color w:val="auto"/>
                <w:sz w:val="24"/>
              </w:rPr>
              <w:t>产品份额类别</w:t>
            </w:r>
          </w:p>
        </w:tc>
        <w:tc>
          <w:tcPr>
            <w:tcW w:w="6633" w:type="dxa"/>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投资及收益币种</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募集方式</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rPr>
              <w:t>开放式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33" w:type="dxa"/>
          </w:tcPr>
          <w:p>
            <w:pPr>
              <w:rPr>
                <w:rFonts w:ascii="楷体_GB2312" w:hAnsi="宋体" w:eastAsia="楷体_GB2312"/>
                <w:color w:val="000000"/>
                <w:sz w:val="24"/>
              </w:rPr>
            </w:pPr>
            <w:r>
              <w:rPr>
                <w:rFonts w:ascii="楷体_GB2312" w:hAnsi="宋体" w:eastAsia="楷体_GB2312"/>
                <w:color w:val="000000"/>
                <w:sz w:val="24"/>
              </w:rPr>
              <w:t>固定收益类、非保本浮动收益型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适合的投资者</w:t>
            </w:r>
          </w:p>
        </w:tc>
        <w:tc>
          <w:tcPr>
            <w:tcW w:w="6633" w:type="dxa"/>
          </w:tcPr>
          <w:p>
            <w:pPr>
              <w:rPr>
                <w:rFonts w:hint="eastAsia" w:ascii="楷体_GB2312" w:hAnsi="宋体" w:eastAsia="楷体_GB2312" w:cs="Times New Roman"/>
                <w:color w:val="auto"/>
                <w:sz w:val="24"/>
                <w:szCs w:val="24"/>
                <w:highlight w:val="none"/>
              </w:rPr>
            </w:pPr>
            <w:r>
              <w:rPr>
                <w:rFonts w:hint="eastAsia" w:ascii="楷体_GB2312" w:hAnsi="宋体" w:eastAsia="楷体_GB2312" w:cs="Times New Roman"/>
                <w:color w:val="auto"/>
                <w:sz w:val="24"/>
                <w:szCs w:val="24"/>
                <w:highlight w:val="none"/>
              </w:rPr>
              <w:t>符合相关法律法规、监管规定要求的自然人、法人和其他组织。自然人</w:t>
            </w:r>
            <w:r>
              <w:rPr>
                <w:rFonts w:hint="eastAsia" w:ascii="楷体_GB2312" w:hAnsi="宋体" w:eastAsia="楷体_GB2312" w:cs="Times New Roman"/>
                <w:color w:val="auto"/>
                <w:sz w:val="24"/>
                <w:szCs w:val="24"/>
                <w:highlight w:val="none"/>
                <w:lang w:val="en-US" w:eastAsia="zh-CN"/>
              </w:rPr>
              <w:t>投资者</w:t>
            </w:r>
            <w:r>
              <w:rPr>
                <w:rFonts w:hint="eastAsia" w:ascii="楷体_GB2312" w:hAnsi="宋体" w:eastAsia="楷体_GB2312" w:cs="Times New Roman"/>
                <w:color w:val="auto"/>
                <w:sz w:val="24"/>
                <w:szCs w:val="24"/>
                <w:highlight w:val="none"/>
              </w:rPr>
              <w:t>经</w:t>
            </w:r>
            <w:r>
              <w:rPr>
                <w:rFonts w:hint="eastAsia" w:ascii="楷体_GB2312" w:hAnsi="宋体" w:eastAsia="楷体_GB2312" w:cs="Times New Roman"/>
                <w:color w:val="auto"/>
                <w:sz w:val="24"/>
                <w:szCs w:val="24"/>
                <w:highlight w:val="none"/>
                <w:lang w:val="en-US" w:eastAsia="zh-CN"/>
              </w:rPr>
              <w:t>代理销售</w:t>
            </w:r>
            <w:r>
              <w:rPr>
                <w:rFonts w:hint="eastAsia" w:ascii="楷体_GB2312" w:hAnsi="宋体" w:eastAsia="楷体_GB2312" w:cs="Times New Roman"/>
                <w:color w:val="auto"/>
                <w:sz w:val="24"/>
                <w:szCs w:val="24"/>
                <w:highlight w:val="none"/>
              </w:rPr>
              <w:t>机构</w:t>
            </w:r>
            <w:r>
              <w:rPr>
                <w:rFonts w:hint="eastAsia" w:ascii="楷体_GB2312" w:hAnsi="宋体" w:eastAsia="楷体_GB2312" w:cs="Times New Roman"/>
                <w:color w:val="auto"/>
                <w:sz w:val="24"/>
                <w:szCs w:val="24"/>
                <w:highlight w:val="none"/>
                <w:lang w:val="en-US" w:eastAsia="zh-CN"/>
              </w:rPr>
              <w:t>评估</w:t>
            </w:r>
            <w:r>
              <w:rPr>
                <w:rFonts w:hint="eastAsia" w:ascii="楷体_GB2312" w:hAnsi="宋体" w:eastAsia="楷体_GB2312" w:cs="Times New Roman"/>
                <w:color w:val="auto"/>
                <w:sz w:val="24"/>
                <w:szCs w:val="24"/>
                <w:highlight w:val="none"/>
              </w:rPr>
              <w:t>的个人投资者风险承受能力等级</w:t>
            </w:r>
            <w:r>
              <w:rPr>
                <w:rFonts w:hint="eastAsia" w:ascii="楷体_GB2312" w:hAnsi="宋体" w:eastAsia="楷体_GB2312" w:cs="Times New Roman"/>
                <w:color w:val="auto"/>
                <w:sz w:val="24"/>
                <w:szCs w:val="24"/>
                <w:highlight w:val="none"/>
                <w:lang w:val="en-US" w:eastAsia="zh-CN"/>
              </w:rPr>
              <w:t>须</w:t>
            </w:r>
            <w:r>
              <w:rPr>
                <w:rFonts w:hint="eastAsia" w:ascii="楷体_GB2312" w:hAnsi="宋体" w:eastAsia="楷体_GB2312" w:cs="Times New Roman"/>
                <w:color w:val="auto"/>
                <w:sz w:val="24"/>
                <w:szCs w:val="24"/>
                <w:highlight w:val="none"/>
              </w:rPr>
              <w:t>不低于本理财产品风险评级</w:t>
            </w:r>
            <w:r>
              <w:rPr>
                <w:rFonts w:hint="eastAsia" w:ascii="楷体_GB2312" w:hAnsi="宋体" w:eastAsia="楷体_GB2312" w:cs="Times New Roman"/>
                <w:color w:val="auto"/>
                <w:sz w:val="24"/>
                <w:szCs w:val="24"/>
                <w:highlight w:val="none"/>
                <w:lang w:val="en-US" w:eastAsia="zh-CN"/>
              </w:rPr>
              <w:t>结果</w:t>
            </w:r>
            <w:r>
              <w:rPr>
                <w:rFonts w:hint="eastAsia" w:ascii="楷体_GB2312" w:hAnsi="宋体" w:eastAsia="楷体_GB2312" w:cs="Times New Roman"/>
                <w:color w:val="auto"/>
                <w:sz w:val="24"/>
                <w:szCs w:val="24"/>
                <w:highlight w:val="none"/>
              </w:rPr>
              <w:t>（</w:t>
            </w:r>
            <w:r>
              <w:rPr>
                <w:rFonts w:hint="eastAsia" w:ascii="楷体_GB2312" w:hAnsi="宋体" w:eastAsia="楷体_GB2312" w:cs="Times New Roman"/>
                <w:color w:val="auto"/>
                <w:sz w:val="24"/>
                <w:szCs w:val="24"/>
                <w:highlight w:val="none"/>
                <w:lang w:eastAsia="zh-CN"/>
              </w:rPr>
              <w:t>本理财产品</w:t>
            </w:r>
            <w:r>
              <w:rPr>
                <w:rFonts w:hint="eastAsia" w:ascii="楷体_GB2312" w:hAnsi="宋体" w:eastAsia="楷体_GB2312" w:cs="Times New Roman"/>
                <w:color w:val="auto"/>
                <w:sz w:val="24"/>
                <w:szCs w:val="24"/>
                <w:highlight w:val="none"/>
              </w:rPr>
              <w:t>通过代销机构销售的，销售客群最终以代销机构要求为准）。</w:t>
            </w:r>
          </w:p>
          <w:p>
            <w:pPr>
              <w:rPr>
                <w:rFonts w:ascii="楷体_GB2312" w:hAnsi="宋体" w:eastAsia="楷体_GB2312"/>
                <w:color w:val="000000"/>
                <w:sz w:val="24"/>
              </w:rPr>
            </w:pPr>
            <w:r>
              <w:rPr>
                <w:rFonts w:hint="eastAsia" w:ascii="楷体_GB2312" w:hAnsi="宋体" w:eastAsia="楷体_GB2312"/>
                <w:color w:val="auto"/>
                <w:sz w:val="24"/>
                <w:highlight w:val="none"/>
              </w:rPr>
              <w:t>★</w:t>
            </w:r>
            <w:r>
              <w:rPr>
                <w:rFonts w:hint="eastAsia" w:ascii="楷体_GB2312" w:hAnsi="宋体" w:eastAsia="楷体_GB2312"/>
                <w:b/>
                <w:color w:val="auto"/>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lang w:val="en-US" w:eastAsia="zh-CN"/>
              </w:rPr>
              <w:t>产品</w:t>
            </w:r>
            <w:r>
              <w:rPr>
                <w:rFonts w:hint="eastAsia" w:ascii="楷体_GB2312" w:eastAsia="楷体_GB2312"/>
                <w:bCs/>
                <w:color w:val="000000"/>
                <w:sz w:val="24"/>
              </w:rPr>
              <w:t>管理人</w:t>
            </w:r>
          </w:p>
        </w:tc>
        <w:tc>
          <w:tcPr>
            <w:tcW w:w="6633" w:type="dxa"/>
          </w:tcPr>
          <w:p>
            <w:pPr>
              <w:rPr>
                <w:rFonts w:ascii="楷体_GB2312" w:hAnsi="宋体" w:eastAsia="楷体_GB2312"/>
                <w:color w:val="000000"/>
                <w:sz w:val="24"/>
              </w:rPr>
            </w:pPr>
            <w:r>
              <w:rPr>
                <w:rFonts w:ascii="楷体_GB2312" w:hAnsi="宋体" w:eastAsia="楷体_GB2312"/>
                <w:color w:val="000000"/>
                <w:sz w:val="24"/>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lang w:val="en-US" w:eastAsia="zh-CN"/>
              </w:rPr>
              <w:t>产品</w:t>
            </w:r>
            <w:r>
              <w:rPr>
                <w:rFonts w:hint="eastAsia" w:ascii="楷体_GB2312" w:eastAsia="楷体_GB2312"/>
                <w:bCs/>
                <w:color w:val="000000"/>
                <w:sz w:val="24"/>
              </w:rPr>
              <w:t>托管人</w:t>
            </w:r>
          </w:p>
        </w:tc>
        <w:tc>
          <w:tcPr>
            <w:tcW w:w="6633" w:type="dxa"/>
          </w:tcPr>
          <w:p>
            <w:pPr>
              <w:rPr>
                <w:rFonts w:ascii="楷体_GB2312" w:hAnsi="宋体" w:eastAsia="楷体_GB2312"/>
                <w:color w:val="000000"/>
                <w:sz w:val="24"/>
              </w:rPr>
            </w:pPr>
            <w:r>
              <w:rPr>
                <w:rFonts w:hint="eastAsia" w:ascii="楷体_GB2312" w:hAnsi="宋体" w:eastAsia="楷体_GB2312"/>
                <w:color w:val="000000"/>
                <w:sz w:val="24"/>
                <w:lang w:val="en-US" w:eastAsia="zh-CN"/>
              </w:rPr>
              <w:t>北京</w:t>
            </w:r>
            <w:r>
              <w:rPr>
                <w:rFonts w:ascii="楷体_GB2312" w:hAnsi="宋体" w:eastAsia="楷体_GB2312"/>
                <w:color w:val="000000"/>
                <w:sz w:val="24"/>
              </w:rPr>
              <w:t>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代销机构</w:t>
            </w:r>
          </w:p>
        </w:tc>
        <w:tc>
          <w:tcPr>
            <w:tcW w:w="6633" w:type="dxa"/>
          </w:tcPr>
          <w:p>
            <w:pPr>
              <w:rPr>
                <w:rFonts w:ascii="楷体_GB2312" w:hAnsi="宋体" w:eastAsia="楷体_GB2312"/>
                <w:color w:val="000000"/>
                <w:sz w:val="24"/>
              </w:rPr>
            </w:pPr>
            <w:r>
              <w:rPr>
                <w:rFonts w:hint="eastAsia" w:ascii="楷体_GB2312" w:hAnsi="楷体" w:eastAsia="楷体_GB2312"/>
                <w:color w:val="auto"/>
                <w:sz w:val="24"/>
                <w:highlight w:val="none"/>
                <w:lang w:val="en-US" w:eastAsia="zh-CN"/>
              </w:rPr>
              <w:t>A类</w:t>
            </w:r>
            <w:r>
              <w:rPr>
                <w:rFonts w:hint="eastAsia" w:ascii="楷体_GB2312" w:hAnsi="楷体" w:eastAsia="楷体_GB2312"/>
                <w:color w:val="auto"/>
                <w:sz w:val="24"/>
                <w:highlight w:val="none"/>
              </w:rPr>
              <w:t>份额</w:t>
            </w:r>
            <w:r>
              <w:rPr>
                <w:rFonts w:hint="eastAsia" w:ascii="楷体_GB2312" w:hAnsi="楷体" w:eastAsia="楷体_GB2312"/>
                <w:color w:val="auto"/>
                <w:sz w:val="24"/>
                <w:highlight w:val="none"/>
                <w:lang w:eastAsia="zh-CN"/>
              </w:rPr>
              <w:t>：</w:t>
            </w:r>
            <w:r>
              <w:rPr>
                <w:rFonts w:hint="eastAsia" w:ascii="楷体_GB2312" w:hAnsi="宋体" w:eastAsia="楷体_GB2312" w:cs="Times New Roman"/>
                <w:color w:val="auto"/>
                <w:sz w:val="24"/>
                <w:lang w:val="en-US" w:eastAsia="zh-CN"/>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33" w:type="dxa"/>
          </w:tcPr>
          <w:p>
            <w:pPr>
              <w:rPr>
                <w:rFonts w:ascii="楷体_GB2312" w:hAnsi="宋体" w:eastAsia="楷体_GB2312"/>
                <w:color w:val="auto"/>
                <w:sz w:val="24"/>
                <w:highlight w:val="none"/>
              </w:rPr>
            </w:pPr>
            <w:r>
              <w:rPr>
                <w:rFonts w:ascii="楷体_GB2312" w:hAnsi="宋体" w:eastAsia="楷体_GB2312"/>
                <w:color w:val="000000"/>
                <w:sz w:val="24"/>
              </w:rPr>
              <w:t>较低风险产品（PR</w:t>
            </w:r>
            <w:r>
              <w:rPr>
                <w:rFonts w:hint="eastAsia" w:ascii="楷体_GB2312" w:hAnsi="宋体" w:eastAsia="楷体_GB2312"/>
                <w:color w:val="000000"/>
                <w:sz w:val="24"/>
                <w:lang w:val="en-US" w:eastAsia="zh-CN"/>
              </w:rPr>
              <w:t>2</w:t>
            </w:r>
            <w:r>
              <w:rPr>
                <w:rFonts w:hint="eastAsia" w:ascii="楷体_GB2312" w:hAnsi="宋体" w:eastAsia="楷体_GB2312"/>
                <w:color w:val="000000"/>
                <w:sz w:val="24"/>
              </w:rPr>
              <w:t>）</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产品规模</w:t>
            </w:r>
          </w:p>
        </w:tc>
        <w:tc>
          <w:tcPr>
            <w:tcW w:w="6633" w:type="dxa"/>
          </w:tcPr>
          <w:p>
            <w:pPr>
              <w:pStyle w:val="31"/>
              <w:jc w:val="both"/>
              <w:rPr>
                <w:rFonts w:ascii="楷体_GB2312" w:hAnsi="Times New Roman" w:eastAsia="楷体_GB2312" w:cs="Times New Roman"/>
                <w:bCs/>
                <w:kern w:val="2"/>
              </w:rPr>
            </w:pPr>
            <w:r>
              <w:rPr>
                <w:rFonts w:hint="eastAsia" w:ascii="楷体_GB2312" w:hAnsi="楷体" w:eastAsia="楷体_GB2312"/>
                <w:color w:val="auto"/>
                <w:highlight w:val="none"/>
              </w:rPr>
              <w:t>★</w:t>
            </w:r>
            <w:r>
              <w:rPr>
                <w:rFonts w:hint="eastAsia" w:ascii="楷体_GB2312" w:hAnsi="Times New Roman" w:eastAsia="楷体_GB2312" w:cs="Times New Roman"/>
                <w:bCs/>
                <w:color w:val="auto"/>
                <w:kern w:val="2"/>
                <w:highlight w:val="none"/>
                <w:lang w:eastAsia="zh-CN"/>
              </w:rPr>
              <w:t>产品管理人</w:t>
            </w:r>
            <w:r>
              <w:rPr>
                <w:rFonts w:hint="eastAsia" w:ascii="楷体_GB2312" w:hAnsi="Times New Roman" w:eastAsia="楷体_GB2312" w:cs="Times New Roman"/>
                <w:bCs/>
                <w:color w:val="auto"/>
                <w:kern w:val="2"/>
                <w:highlight w:val="none"/>
              </w:rPr>
              <w:t>可根据市场和</w:t>
            </w:r>
            <w:r>
              <w:rPr>
                <w:rFonts w:hint="eastAsia" w:ascii="楷体_GB2312" w:hAnsi="Times New Roman" w:eastAsia="楷体_GB2312" w:cs="Times New Roman"/>
                <w:bCs/>
                <w:color w:val="auto"/>
                <w:kern w:val="2"/>
                <w:highlight w:val="none"/>
                <w:lang w:eastAsia="zh-CN"/>
              </w:rPr>
              <w:t>本理财</w:t>
            </w:r>
            <w:r>
              <w:rPr>
                <w:rFonts w:hint="eastAsia" w:ascii="楷体_GB2312" w:hAnsi="Times New Roman" w:eastAsia="楷体_GB2312" w:cs="Times New Roman"/>
                <w:bCs/>
                <w:color w:val="auto"/>
                <w:kern w:val="2"/>
                <w:highlight w:val="none"/>
              </w:rPr>
              <w:t>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销售区域</w:t>
            </w:r>
          </w:p>
        </w:tc>
        <w:tc>
          <w:tcPr>
            <w:tcW w:w="6633"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募集期</w:t>
            </w:r>
          </w:p>
        </w:tc>
        <w:tc>
          <w:tcPr>
            <w:tcW w:w="6633" w:type="dxa"/>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28</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lang w:val="en-US" w:eastAsia="zh-CN"/>
              </w:rPr>
              <w:t>:00至2025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28</w:t>
            </w:r>
            <w:r>
              <w:rPr>
                <w:rFonts w:hint="eastAsia" w:ascii="楷体_GB2312" w:hAnsi="宋体" w:eastAsia="楷体_GB2312"/>
                <w:color w:val="auto"/>
                <w:sz w:val="24"/>
                <w:highlight w:val="none"/>
              </w:rPr>
              <w:t>日</w:t>
            </w:r>
            <w:r>
              <w:rPr>
                <w:rFonts w:hint="default" w:ascii="楷体_GB2312" w:hAnsi="宋体" w:eastAsia="楷体_GB2312"/>
                <w:color w:val="auto"/>
                <w:sz w:val="24"/>
                <w:highlight w:val="none"/>
                <w:lang w:val="en-US" w:eastAsia="zh-CN"/>
              </w:rPr>
              <w:t>17</w:t>
            </w:r>
            <w:r>
              <w:rPr>
                <w:rFonts w:hint="eastAsia" w:ascii="楷体_GB2312" w:hAnsi="宋体" w:eastAsia="楷体_GB2312"/>
                <w:color w:val="auto"/>
                <w:sz w:val="24"/>
                <w:highlight w:val="none"/>
                <w:lang w:val="en-US" w:eastAsia="zh-CN"/>
              </w:rPr>
              <w:t>:</w:t>
            </w:r>
            <w:r>
              <w:rPr>
                <w:rFonts w:hint="default" w:ascii="楷体_GB2312" w:hAnsi="宋体" w:eastAsia="楷体_GB2312"/>
                <w:color w:val="auto"/>
                <w:sz w:val="24"/>
                <w:highlight w:val="none"/>
                <w:lang w:val="en-US" w:eastAsia="zh-CN"/>
              </w:rPr>
              <w:t>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认购</w:t>
            </w:r>
          </w:p>
        </w:tc>
        <w:tc>
          <w:tcPr>
            <w:tcW w:w="6633" w:type="dxa"/>
            <w:vAlign w:val="center"/>
          </w:tcPr>
          <w:p>
            <w:pPr>
              <w:rPr>
                <w:rFonts w:ascii="楷体_GB2312" w:hAnsi="宋体" w:eastAsia="楷体_GB2312"/>
                <w:color w:val="000000"/>
                <w:sz w:val="24"/>
              </w:rPr>
            </w:pPr>
            <w:r>
              <w:rPr>
                <w:rFonts w:hint="eastAsia" w:ascii="楷体_GB2312" w:hAnsi="Times New Roman" w:eastAsia="楷体_GB2312" w:cs="Times New Roman"/>
                <w:bCs/>
                <w:color w:val="auto"/>
                <w:sz w:val="24"/>
                <w:highlight w:val="none"/>
              </w:rPr>
              <w:t>投资者可在募集期</w:t>
            </w:r>
            <w:r>
              <w:rPr>
                <w:rFonts w:hint="eastAsia" w:ascii="楷体_GB2312"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成立日</w:t>
            </w:r>
          </w:p>
        </w:tc>
        <w:tc>
          <w:tcPr>
            <w:tcW w:w="6633" w:type="dxa"/>
            <w:vAlign w:val="center"/>
          </w:tcPr>
          <w:p>
            <w:pPr>
              <w:rPr>
                <w:rFonts w:hint="eastAsia" w:ascii="楷体_GB2312" w:hAnsi="Times New Roman" w:eastAsia="楷体_GB2312" w:cs="Times New Roman"/>
                <w:bCs/>
                <w:color w:val="FF0000"/>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4</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29</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snapToGrid w:val="0"/>
              <w:rPr>
                <w:rFonts w:ascii="楷体_GB2312" w:hAnsi="宋体" w:eastAsia="楷体_GB2312"/>
                <w:color w:val="000000"/>
                <w:sz w:val="24"/>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产品单位面值</w:t>
            </w:r>
          </w:p>
        </w:tc>
        <w:tc>
          <w:tcPr>
            <w:tcW w:w="6633"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投资起点</w:t>
            </w:r>
          </w:p>
        </w:tc>
        <w:tc>
          <w:tcPr>
            <w:tcW w:w="6633" w:type="dxa"/>
            <w:vAlign w:val="center"/>
          </w:tcPr>
          <w:p>
            <w:pPr>
              <w:snapToGrid w:val="0"/>
              <w:rPr>
                <w:rFonts w:hint="eastAsia" w:eastAsia="楷体_GB2312"/>
                <w:lang w:val="en-US" w:eastAsia="zh-CN"/>
              </w:rPr>
            </w:pPr>
            <w:r>
              <w:rPr>
                <w:rFonts w:hint="eastAsia" w:ascii="楷体_GB2312" w:eastAsia="楷体_GB2312"/>
                <w:bCs/>
                <w:color w:val="auto"/>
                <w:sz w:val="24"/>
                <w:highlight w:val="none"/>
                <w:lang w:val="en-US" w:eastAsia="zh-CN"/>
              </w:rPr>
              <w:t>A类</w:t>
            </w:r>
            <w:r>
              <w:rPr>
                <w:rFonts w:hint="eastAsia" w:ascii="楷体_GB2312" w:eastAsia="楷体_GB2312"/>
                <w:bCs/>
                <w:color w:val="auto"/>
                <w:sz w:val="24"/>
                <w:highlight w:val="none"/>
              </w:rPr>
              <w:t>份额：投资起点为</w:t>
            </w:r>
            <w:r>
              <w:rPr>
                <w:rFonts w:hint="eastAsia" w:ascii="楷体_GB2312" w:eastAsia="楷体_GB2312"/>
                <w:bCs/>
                <w:color w:val="auto"/>
                <w:sz w:val="24"/>
                <w:highlight w:val="none"/>
                <w:lang w:val="en-US" w:eastAsia="zh-CN"/>
              </w:rPr>
              <w:t>1.00</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r>
              <w:rPr>
                <w:rFonts w:hint="eastAsia" w:ascii="楷体_GB2312" w:eastAsia="楷体_GB2312"/>
                <w:bCs/>
                <w:color w:val="000000"/>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产品募集规模下限</w:t>
            </w:r>
          </w:p>
        </w:tc>
        <w:tc>
          <w:tcPr>
            <w:tcW w:w="6633" w:type="dxa"/>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51" w:type="dxa"/>
            <w:vAlign w:val="center"/>
          </w:tcPr>
          <w:p>
            <w:pPr>
              <w:snapToGrid w:val="0"/>
              <w:rPr>
                <w:rFonts w:hint="eastAsia" w:ascii="楷体_GB2312" w:hAnsi="Times New Roman" w:eastAsia="楷体_GB2312" w:cs="Times New Roman"/>
                <w:bCs/>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产品募集规模上限</w:t>
            </w:r>
          </w:p>
        </w:tc>
        <w:tc>
          <w:tcPr>
            <w:tcW w:w="6633" w:type="dxa"/>
            <w:vAlign w:val="center"/>
          </w:tcPr>
          <w:p>
            <w:pPr>
              <w:snapToGrid w:val="0"/>
              <w:rPr>
                <w:rFonts w:hint="eastAsia" w:ascii="楷体_GB2312" w:hAnsi="宋体" w:eastAsia="楷体_GB2312" w:cs="Times New Roman"/>
                <w:color w:val="auto"/>
                <w:kern w:val="2"/>
                <w:sz w:val="24"/>
                <w:szCs w:val="24"/>
                <w:highlight w:val="none"/>
                <w:lang w:val="en-US" w:eastAsia="zh-CN" w:bidi="ar-SA"/>
              </w:rPr>
            </w:pPr>
            <w:r>
              <w:rPr>
                <w:rFonts w:hint="eastAsia" w:ascii="楷体_GB2312" w:eastAsia="楷体_GB2312"/>
                <w:bCs/>
                <w:color w:val="auto"/>
                <w:sz w:val="24"/>
                <w:highlight w:val="none"/>
                <w:lang w:val="en-US" w:eastAsia="zh-CN"/>
              </w:rPr>
              <w:t>本理财产品募集规模上限为：500亿元。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51"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开放日（T日）</w:t>
            </w:r>
          </w:p>
        </w:tc>
        <w:tc>
          <w:tcPr>
            <w:tcW w:w="6633" w:type="dxa"/>
            <w:vAlign w:val="center"/>
          </w:tcPr>
          <w:p>
            <w:pPr>
              <w:rPr>
                <w:rFonts w:ascii="楷体_GB2312" w:eastAsia="楷体_GB2312"/>
                <w:bCs/>
                <w:color w:val="000000"/>
                <w:sz w:val="24"/>
                <w:highlight w:val="none"/>
              </w:rPr>
            </w:pPr>
            <w:r>
              <w:rPr>
                <w:rFonts w:hint="default" w:ascii="楷体_GB2312" w:hAnsi="Times New Roman" w:eastAsia="楷体_GB2312" w:cs="Times New Roman"/>
                <w:bCs/>
                <w:color w:val="auto"/>
                <w:sz w:val="24"/>
                <w:highlight w:val="none"/>
              </w:rPr>
              <w:t>自</w:t>
            </w:r>
            <w:r>
              <w:rPr>
                <w:rFonts w:hint="eastAsia" w:ascii="楷体_GB2312" w:hAnsi="Times New Roman" w:eastAsia="楷体_GB2312" w:cs="Times New Roman"/>
                <w:bCs/>
                <w:color w:val="auto"/>
                <w:sz w:val="24"/>
                <w:highlight w:val="none"/>
                <w:lang w:val="en-US" w:eastAsia="zh-CN"/>
              </w:rPr>
              <w:t>本理财</w:t>
            </w:r>
            <w:r>
              <w:rPr>
                <w:rFonts w:hint="default" w:ascii="楷体_GB2312" w:hAnsi="Times New Roman" w:eastAsia="楷体_GB2312" w:cs="Times New Roman"/>
                <w:bCs/>
                <w:color w:val="auto"/>
                <w:sz w:val="24"/>
                <w:highlight w:val="none"/>
              </w:rPr>
              <w:t>产品成立日起每个证券交易所交易日（如</w:t>
            </w:r>
            <w:r>
              <w:rPr>
                <w:rFonts w:hint="eastAsia" w:ascii="楷体_GB2312" w:hAnsi="Times New Roman" w:eastAsia="楷体_GB2312" w:cs="Times New Roman"/>
                <w:bCs/>
                <w:color w:val="auto"/>
                <w:sz w:val="24"/>
                <w:highlight w:val="none"/>
                <w:lang w:val="en-US" w:eastAsia="zh-CN"/>
              </w:rPr>
              <w:t>该日</w:t>
            </w:r>
            <w:r>
              <w:rPr>
                <w:rFonts w:hint="default" w:ascii="楷体_GB2312" w:hAnsi="Times New Roman" w:eastAsia="楷体_GB2312" w:cs="Times New Roman"/>
                <w:bCs/>
                <w:color w:val="auto"/>
                <w:sz w:val="24"/>
                <w:highlight w:val="none"/>
              </w:rPr>
              <w:t>为节假日则相应顺延至下一交易日）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4" w:hRule="atLeast"/>
        </w:trPr>
        <w:tc>
          <w:tcPr>
            <w:tcW w:w="2451" w:type="dxa"/>
            <w:vAlign w:val="center"/>
          </w:tcPr>
          <w:p>
            <w:pPr>
              <w:snapToGrid w:val="0"/>
              <w:rPr>
                <w:rFonts w:ascii="楷体_GB2312" w:eastAsia="楷体_GB2312"/>
                <w:bCs/>
                <w:color w:val="000000"/>
                <w:sz w:val="24"/>
                <w:highlight w:val="none"/>
              </w:rPr>
            </w:pPr>
            <w:r>
              <w:rPr>
                <w:rFonts w:hint="eastAsia" w:ascii="楷体_GB2312" w:hAnsi="宋体" w:eastAsia="楷体_GB2312"/>
                <w:b w:val="0"/>
                <w:bCs w:val="0"/>
                <w:color w:val="auto"/>
                <w:sz w:val="24"/>
                <w:highlight w:val="none"/>
              </w:rPr>
              <w:t>★</w:t>
            </w:r>
            <w:r>
              <w:rPr>
                <w:rFonts w:hint="eastAsia" w:ascii="楷体_GB2312" w:hAnsi="宋体" w:eastAsia="楷体_GB2312"/>
                <w:color w:val="000000"/>
                <w:sz w:val="24"/>
                <w:highlight w:val="none"/>
              </w:rPr>
              <w:t>最低持有期</w:t>
            </w:r>
          </w:p>
        </w:tc>
        <w:tc>
          <w:tcPr>
            <w:tcW w:w="6633" w:type="dxa"/>
            <w:vAlign w:val="center"/>
          </w:tcPr>
          <w:p>
            <w:pPr>
              <w:rPr>
                <w:rFonts w:hint="eastAsia" w:ascii="楷体_GB2312" w:hAnsi="宋体" w:eastAsia="楷体_GB2312"/>
                <w:b/>
                <w:bCs/>
                <w:color w:val="000000"/>
                <w:sz w:val="24"/>
                <w:highlight w:val="none"/>
              </w:rPr>
            </w:pPr>
            <w:r>
              <w:rPr>
                <w:rFonts w:hint="eastAsia" w:ascii="楷体_GB2312" w:hAnsi="宋体" w:eastAsia="楷体_GB2312"/>
                <w:b/>
                <w:bCs/>
                <w:color w:val="000000"/>
                <w:sz w:val="24"/>
                <w:highlight w:val="none"/>
              </w:rPr>
              <w:t>最低持有期</w:t>
            </w:r>
            <w:r>
              <w:rPr>
                <w:rFonts w:hint="eastAsia" w:ascii="楷体_GB2312" w:hAnsi="宋体" w:eastAsia="楷体_GB2312"/>
                <w:b/>
                <w:bCs/>
                <w:color w:val="000000"/>
                <w:sz w:val="24"/>
                <w:highlight w:val="none"/>
                <w:lang w:val="en-US" w:eastAsia="zh-CN"/>
              </w:rPr>
              <w:t>：指投资者每笔认购/申购的产品份额</w:t>
            </w:r>
            <w:r>
              <w:rPr>
                <w:rFonts w:hint="eastAsia" w:ascii="楷体_GB2312" w:hAnsi="宋体" w:eastAsia="楷体_GB2312"/>
                <w:b/>
                <w:bCs/>
                <w:color w:val="000000"/>
                <w:sz w:val="24"/>
                <w:highlight w:val="none"/>
              </w:rPr>
              <w:t>自认购/申购确认日（含）起</w:t>
            </w:r>
            <w:r>
              <w:rPr>
                <w:rFonts w:hint="eastAsia" w:ascii="楷体_GB2312" w:hAnsi="宋体" w:eastAsia="楷体_GB2312"/>
                <w:b/>
                <w:bCs/>
                <w:color w:val="000000"/>
                <w:sz w:val="24"/>
                <w:highlight w:val="none"/>
                <w:lang w:eastAsia="zh-CN"/>
              </w:rPr>
              <w:t>，</w:t>
            </w:r>
            <w:r>
              <w:rPr>
                <w:rFonts w:hint="eastAsia" w:ascii="楷体_GB2312" w:hAnsi="宋体" w:eastAsia="楷体_GB2312"/>
                <w:b/>
                <w:bCs/>
                <w:color w:val="000000"/>
                <w:sz w:val="24"/>
                <w:highlight w:val="none"/>
                <w:lang w:val="en-US" w:eastAsia="zh-CN"/>
              </w:rPr>
              <w:t>最低需持有7</w:t>
            </w:r>
            <w:r>
              <w:rPr>
                <w:rFonts w:hint="eastAsia" w:ascii="楷体_GB2312" w:hAnsi="宋体" w:eastAsia="楷体_GB2312"/>
                <w:b/>
                <w:bCs/>
                <w:color w:val="000000"/>
                <w:sz w:val="24"/>
                <w:highlight w:val="none"/>
              </w:rPr>
              <w:t>个自然日。</w:t>
            </w:r>
          </w:p>
          <w:p>
            <w:pPr>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投资者可在每笔认购/申购的产品份额确认后于最低持有期结束日（含）及后续每个开放日提出赎回申请。最低持有期结束日如遇非开放日，则顺延至下一开放日，投资者最低持有期限实际上可能长于7个自然日。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申购与赎回</w:t>
            </w:r>
          </w:p>
        </w:tc>
        <w:tc>
          <w:tcPr>
            <w:tcW w:w="6633" w:type="dxa"/>
            <w:vAlign w:val="center"/>
          </w:tcPr>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1.</w:t>
            </w:r>
            <w:r>
              <w:rPr>
                <w:rFonts w:hint="eastAsia" w:ascii="楷体_GB2312" w:hAnsi="Times New Roman" w:eastAsia="楷体_GB2312" w:cs="Times New Roman"/>
                <w:bCs/>
                <w:color w:val="auto"/>
                <w:sz w:val="24"/>
                <w:highlight w:val="none"/>
              </w:rPr>
              <w:t>申购和赎回的受理：</w:t>
            </w:r>
          </w:p>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auto"/>
                <w:sz w:val="24"/>
                <w:highlight w:val="none"/>
              </w:rPr>
              <w:t>投资者可在本理财产品开放日内提出申购申请；投资者可在每笔认购/申购的产品份额确认后于最低持有期结束日（含）及后续每个开放日提出赎回申请。最低持有期结束日如遇非开放日，则顺延至下一开放日。</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lang w:eastAsia="zh-Hans"/>
              </w:rPr>
              <w:t>公告暂停开放的日期除外。</w:t>
            </w:r>
          </w:p>
          <w:p>
            <w:pPr>
              <w:numPr>
                <w:ilvl w:val="0"/>
                <w:numId w:val="0"/>
              </w:num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eastAsia="zh-CN"/>
              </w:rPr>
              <w:t>开放日</w:t>
            </w:r>
            <w:r>
              <w:rPr>
                <w:rFonts w:hint="eastAsia" w:ascii="楷体_GB2312" w:hAnsi="宋体" w:eastAsia="楷体_GB2312"/>
                <w:color w:val="auto"/>
                <w:sz w:val="24"/>
                <w:highlight w:val="none"/>
              </w:rPr>
              <w:t>内</w:t>
            </w:r>
            <w:r>
              <w:rPr>
                <w:rFonts w:hint="eastAsia" w:ascii="楷体_GB2312" w:hAnsi="Times New Roman" w:eastAsia="楷体_GB2312" w:cs="Times New Roman"/>
                <w:bCs/>
                <w:color w:val="auto"/>
                <w:sz w:val="24"/>
                <w:highlight w:val="none"/>
              </w:rPr>
              <w:t>提出申购申请后，投资资金将实时冻结，并于申购确认日扣划。</w:t>
            </w:r>
            <w:r>
              <w:rPr>
                <w:rFonts w:hint="eastAsia" w:ascii="楷体_GB2312" w:hAnsi="Times New Roman" w:eastAsia="楷体_GB2312" w:cs="Times New Roman"/>
                <w:b/>
                <w:bCs w:val="0"/>
                <w:color w:val="auto"/>
                <w:sz w:val="24"/>
                <w:highlight w:val="none"/>
              </w:rPr>
              <w:t>资金冻结期间将按照代销机构公布的人民币活期存款利率计算活期存款利息，该利息不作为申购资金扣收。</w:t>
            </w:r>
          </w:p>
          <w:p>
            <w:pPr>
              <w:numPr>
                <w:ilvl w:val="0"/>
                <w:numId w:val="0"/>
              </w:numPr>
              <w:rPr>
                <w:rFonts w:hint="eastAsia" w:ascii="楷体_GB2312" w:hAnsi="Times New Roman" w:eastAsia="楷体_GB2312" w:cs="Times New Roman"/>
                <w:b/>
                <w:bCs w:val="0"/>
                <w:color w:val="000000"/>
                <w:sz w:val="24"/>
                <w:highlight w:val="none"/>
              </w:rPr>
            </w:pPr>
            <w:r>
              <w:rPr>
                <w:rFonts w:hint="eastAsia" w:ascii="楷体_GB2312" w:hAnsi="Times New Roman" w:eastAsia="楷体_GB2312" w:cs="Times New Roman"/>
                <w:b/>
                <w:bCs w:val="0"/>
                <w:color w:val="000000"/>
                <w:sz w:val="24"/>
                <w:highlight w:val="none"/>
              </w:rPr>
              <w:t>2.申购和赎回的确认：投资者在开放日</w:t>
            </w:r>
            <w:r>
              <w:rPr>
                <w:rFonts w:hint="eastAsia" w:ascii="楷体_GB2312" w:eastAsia="楷体_GB2312" w:cs="Times New Roman"/>
                <w:b/>
                <w:bCs w:val="0"/>
                <w:color w:val="000000"/>
                <w:sz w:val="24"/>
                <w:highlight w:val="none"/>
                <w:lang w:val="en-US" w:eastAsia="zh-CN"/>
              </w:rPr>
              <w:t>17:00</w:t>
            </w:r>
            <w:r>
              <w:rPr>
                <w:rFonts w:hint="eastAsia" w:ascii="楷体_GB2312" w:hAnsi="Times New Roman" w:eastAsia="楷体_GB2312" w:cs="Times New Roman"/>
                <w:b/>
                <w:bCs w:val="0"/>
                <w:color w:val="000000"/>
                <w:sz w:val="24"/>
                <w:highlight w:val="none"/>
              </w:rPr>
              <w:t>（不含）之前提出的申购或赎回申请，产品管理人在开放日的下一个交易日（T+1日）对满足条件的有效申购或赎回申请予以确认；投资者在开放日</w:t>
            </w:r>
            <w:r>
              <w:rPr>
                <w:rFonts w:hint="eastAsia" w:ascii="楷体_GB2312" w:eastAsia="楷体_GB2312" w:cs="Times New Roman"/>
                <w:b/>
                <w:bCs w:val="0"/>
                <w:color w:val="000000"/>
                <w:sz w:val="24"/>
                <w:highlight w:val="none"/>
                <w:lang w:val="en-US" w:eastAsia="zh-CN"/>
              </w:rPr>
              <w:t>17:00</w:t>
            </w:r>
            <w:r>
              <w:rPr>
                <w:rFonts w:hint="eastAsia" w:ascii="楷体_GB2312" w:hAnsi="Times New Roman" w:eastAsia="楷体_GB2312" w:cs="Times New Roman"/>
                <w:b/>
                <w:bCs w:val="0"/>
                <w:color w:val="000000"/>
                <w:sz w:val="24"/>
                <w:highlight w:val="none"/>
              </w:rPr>
              <w:t>（含）之后或非开放日提出的申购或赎回申请，产品管理人将在投资者提出申购或赎回申请之后的产品最近一个开放日的下一个交易日（T+</w:t>
            </w:r>
            <w:r>
              <w:rPr>
                <w:rFonts w:hint="eastAsia" w:ascii="楷体_GB2312" w:eastAsia="楷体_GB2312" w:cs="Times New Roman"/>
                <w:b/>
                <w:bCs w:val="0"/>
                <w:color w:val="000000"/>
                <w:sz w:val="24"/>
                <w:highlight w:val="none"/>
                <w:lang w:val="en-US" w:eastAsia="zh-CN"/>
              </w:rPr>
              <w:t>2</w:t>
            </w:r>
            <w:r>
              <w:rPr>
                <w:rFonts w:hint="eastAsia" w:ascii="楷体_GB2312" w:hAnsi="Times New Roman" w:eastAsia="楷体_GB2312" w:cs="Times New Roman"/>
                <w:b/>
                <w:bCs w:val="0"/>
                <w:color w:val="000000"/>
                <w:sz w:val="24"/>
                <w:highlight w:val="none"/>
              </w:rPr>
              <w:t>日）对满足条件的有效申购或赎回申请予以确认。产品管理人确认投资者申购申请的，投资者自申购确认日起持有本理财产品份额；产品管理人确认投资者赎回申请的，投资者自赎回确认日起不再持有本理财产品份额，赎回资金原则上将于赎回确认日当日内</w:t>
            </w:r>
            <w:r>
              <w:rPr>
                <w:rFonts w:hint="eastAsia" w:ascii="楷体_GB2312" w:hAnsi="Times New Roman" w:eastAsia="楷体_GB2312" w:cs="Times New Roman"/>
                <w:b/>
                <w:bCs w:val="0"/>
                <w:color w:val="000000"/>
                <w:sz w:val="24"/>
                <w:highlight w:val="none"/>
                <w:lang w:val="en-US" w:eastAsia="zh-CN"/>
              </w:rPr>
              <w:t>划转至代销机构清算账户</w:t>
            </w:r>
            <w:r>
              <w:rPr>
                <w:rFonts w:hint="eastAsia" w:ascii="楷体_GB2312" w:hAnsi="Times New Roman" w:eastAsia="楷体_GB2312" w:cs="Times New Roman"/>
                <w:b/>
                <w:bCs w:val="0"/>
                <w:color w:val="000000"/>
                <w:sz w:val="24"/>
                <w:highlight w:val="none"/>
              </w:rPr>
              <w:t>，</w:t>
            </w:r>
            <w:r>
              <w:rPr>
                <w:rFonts w:hint="eastAsia" w:ascii="楷体_GB2312" w:hAnsi="Times New Roman" w:eastAsia="楷体_GB2312" w:cs="Times New Roman"/>
                <w:b/>
                <w:bCs w:val="0"/>
                <w:color w:val="000000"/>
                <w:sz w:val="24"/>
                <w:highlight w:val="none"/>
                <w:lang w:val="en-US" w:eastAsia="zh-CN"/>
              </w:rPr>
              <w:t>投资者赎回资金的</w:t>
            </w:r>
            <w:r>
              <w:rPr>
                <w:rFonts w:hint="eastAsia" w:ascii="楷体_GB2312" w:hAnsi="Times New Roman" w:eastAsia="楷体_GB2312" w:cs="Times New Roman"/>
                <w:b/>
                <w:bCs w:val="0"/>
                <w:color w:val="000000"/>
                <w:sz w:val="24"/>
                <w:highlight w:val="none"/>
              </w:rPr>
              <w:t>具体到账时间以代销机构</w:t>
            </w:r>
            <w:r>
              <w:rPr>
                <w:rFonts w:hint="eastAsia" w:ascii="楷体_GB2312" w:hAnsi="Times New Roman" w:eastAsia="楷体_GB2312" w:cs="Times New Roman"/>
                <w:b/>
                <w:bCs w:val="0"/>
                <w:color w:val="000000"/>
                <w:sz w:val="24"/>
                <w:highlight w:val="none"/>
                <w:lang w:val="en-US" w:eastAsia="zh-CN"/>
              </w:rPr>
              <w:t>划付规则</w:t>
            </w:r>
            <w:r>
              <w:rPr>
                <w:rFonts w:hint="eastAsia" w:ascii="楷体_GB2312" w:hAnsi="Times New Roman" w:eastAsia="楷体_GB2312" w:cs="Times New Roman"/>
                <w:b/>
                <w:bCs w:val="0"/>
                <w:color w:val="000000"/>
                <w:sz w:val="24"/>
                <w:highlight w:val="none"/>
              </w:rPr>
              <w:t>为准。</w:t>
            </w:r>
          </w:p>
          <w:p>
            <w:pPr>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3.</w:t>
            </w:r>
            <w:r>
              <w:rPr>
                <w:rFonts w:hint="eastAsia" w:ascii="楷体_GB2312" w:hAnsi="Times New Roman" w:eastAsia="楷体_GB2312" w:cs="Times New Roman"/>
                <w:bCs/>
                <w:color w:val="auto"/>
                <w:sz w:val="24"/>
                <w:highlight w:val="none"/>
              </w:rPr>
              <w:t>申购/赎回价格：</w:t>
            </w:r>
            <w:r>
              <w:rPr>
                <w:rFonts w:hint="eastAsia" w:ascii="楷体_GB2312" w:hAnsi="Times New Roman" w:eastAsia="楷体_GB2312" w:cs="Times New Roman"/>
                <w:bCs/>
                <w:color w:val="auto"/>
                <w:sz w:val="24"/>
                <w:highlight w:val="none"/>
                <w:lang w:val="en-US" w:eastAsia="zh-CN"/>
              </w:rPr>
              <w:t>本理财</w:t>
            </w:r>
            <w:r>
              <w:rPr>
                <w:rFonts w:hint="eastAsia" w:ascii="楷体_GB2312" w:hAnsi="Times New Roman" w:eastAsia="楷体_GB2312" w:cs="Times New Roman"/>
                <w:bCs/>
                <w:color w:val="auto"/>
                <w:sz w:val="24"/>
                <w:highlight w:val="none"/>
              </w:rPr>
              <w:t>产品开放日的产品单位净值。</w:t>
            </w:r>
          </w:p>
          <w:p>
            <w:pPr>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lang w:val="en-US" w:eastAsia="zh-CN"/>
              </w:rPr>
              <w:t>4.</w:t>
            </w:r>
            <w:r>
              <w:rPr>
                <w:rFonts w:hint="eastAsia" w:ascii="楷体_GB2312" w:hAnsi="Times New Roman" w:eastAsia="楷体_GB2312" w:cs="Times New Roman"/>
                <w:bCs/>
                <w:color w:val="auto"/>
                <w:sz w:val="24"/>
                <w:highlight w:val="none"/>
              </w:rPr>
              <w:t>巨额赎回：在</w:t>
            </w:r>
            <w:r>
              <w:rPr>
                <w:rFonts w:hint="eastAsia" w:ascii="楷体_GB2312" w:hAnsi="Times New Roman" w:eastAsia="楷体_GB2312" w:cs="Times New Roman"/>
                <w:bCs/>
                <w:color w:val="auto"/>
                <w:sz w:val="24"/>
                <w:highlight w:val="none"/>
                <w:lang w:val="en-US" w:eastAsia="zh-CN"/>
              </w:rPr>
              <w:t>本理财</w:t>
            </w:r>
            <w:r>
              <w:rPr>
                <w:rFonts w:hint="eastAsia" w:ascii="楷体_GB2312" w:hAnsi="Times New Roman" w:eastAsia="楷体_GB2312" w:cs="Times New Roman"/>
                <w:bCs/>
                <w:color w:val="auto"/>
                <w:sz w:val="24"/>
                <w:highlight w:val="none"/>
              </w:rPr>
              <w:t>产品的单个开放日，净赎回申请（即产品赎回有效申请份额总数扣除产品申购有效申请份额总数后的差额）超过</w:t>
            </w:r>
            <w:r>
              <w:rPr>
                <w:rFonts w:hint="eastAsia" w:ascii="楷体_GB2312" w:hAnsi="Times New Roman" w:eastAsia="楷体_GB2312" w:cs="Times New Roman"/>
                <w:bCs/>
                <w:color w:val="auto"/>
                <w:sz w:val="24"/>
                <w:highlight w:val="none"/>
                <w:lang w:val="en-US" w:eastAsia="zh-CN"/>
              </w:rPr>
              <w:t>前</w:t>
            </w:r>
            <w:r>
              <w:rPr>
                <w:rFonts w:hint="eastAsia" w:ascii="楷体_GB2312" w:hAnsi="Times New Roman" w:eastAsia="楷体_GB2312" w:cs="Times New Roman"/>
                <w:bCs/>
                <w:color w:val="auto"/>
                <w:sz w:val="24"/>
                <w:highlight w:val="none"/>
              </w:rPr>
              <w:t>一日</w:t>
            </w:r>
            <w:r>
              <w:rPr>
                <w:rFonts w:hint="eastAsia" w:ascii="楷体_GB2312" w:hAnsi="Times New Roman" w:eastAsia="楷体_GB2312" w:cs="Times New Roman"/>
                <w:bCs/>
                <w:color w:val="auto"/>
                <w:sz w:val="24"/>
                <w:highlight w:val="none"/>
                <w:lang w:val="en-US" w:eastAsia="zh-CN"/>
              </w:rPr>
              <w:t>终本理财</w:t>
            </w:r>
            <w:r>
              <w:rPr>
                <w:rFonts w:hint="eastAsia" w:ascii="楷体_GB2312" w:hAnsi="Times New Roman" w:eastAsia="楷体_GB2312" w:cs="Times New Roman"/>
                <w:bCs/>
                <w:color w:val="auto"/>
                <w:sz w:val="24"/>
                <w:highlight w:val="none"/>
              </w:rPr>
              <w:t>产品总份额的10％时，即为巨额赎回。</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★申购</w:t>
            </w:r>
            <w:r>
              <w:rPr>
                <w:rFonts w:hint="eastAsia" w:ascii="楷体_GB2312" w:hAnsi="宋体" w:eastAsia="楷体_GB2312"/>
                <w:b/>
                <w:bCs/>
                <w:color w:val="auto"/>
                <w:sz w:val="24"/>
                <w:highlight w:val="none"/>
                <w:lang w:val="en-US" w:eastAsia="zh-CN"/>
              </w:rPr>
              <w:t>与</w:t>
            </w:r>
            <w:r>
              <w:rPr>
                <w:rFonts w:hint="eastAsia" w:ascii="楷体_GB2312" w:hAnsi="宋体" w:eastAsia="楷体_GB2312"/>
                <w:b/>
                <w:bCs/>
                <w:color w:val="auto"/>
                <w:sz w:val="24"/>
                <w:highlight w:val="none"/>
              </w:rPr>
              <w:t>赎回</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六、产品的申购和赎回</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业绩比较基准</w:t>
            </w:r>
          </w:p>
        </w:tc>
        <w:tc>
          <w:tcPr>
            <w:tcW w:w="6633" w:type="dxa"/>
            <w:vAlign w:val="center"/>
          </w:tcPr>
          <w:p>
            <w:pPr>
              <w:rPr>
                <w:rFonts w:hint="eastAsia" w:ascii="楷体_GB2312" w:hAnsi="宋体" w:eastAsia="楷体_GB2312" w:cs="Times New Roman"/>
                <w:color w:val="000000"/>
                <w:sz w:val="24"/>
                <w:lang w:val="en-US" w:eastAsia="zh-CN"/>
              </w:rPr>
            </w:pPr>
            <w:r>
              <w:rPr>
                <w:rFonts w:hint="eastAsia" w:ascii="楷体_GB2312" w:hAnsi="宋体" w:eastAsia="楷体_GB2312"/>
                <w:color w:val="000000"/>
                <w:sz w:val="24"/>
                <w:highlight w:val="none"/>
              </w:rPr>
              <w:t>本理财产品业绩比较基准为</w:t>
            </w:r>
            <w:r>
              <w:rPr>
                <w:rFonts w:hint="eastAsia" w:ascii="楷体_GB2312" w:eastAsia="楷体_GB2312"/>
                <w:color w:val="000000"/>
                <w:sz w:val="24"/>
                <w:highlight w:val="none"/>
                <w:lang w:val="en-US" w:eastAsia="zh-CN"/>
              </w:rPr>
              <w:t>A</w:t>
            </w:r>
            <w:r>
              <w:rPr>
                <w:rFonts w:hint="eastAsia" w:ascii="楷体_GB2312" w:eastAsia="楷体_GB2312"/>
                <w:color w:val="000000"/>
                <w:sz w:val="24"/>
                <w:highlight w:val="none"/>
                <w:lang w:eastAsia="zh-CN"/>
              </w:rPr>
              <w:t>类</w:t>
            </w:r>
            <w:r>
              <w:rPr>
                <w:rFonts w:ascii="楷体_GB2312" w:eastAsia="楷体_GB2312"/>
                <w:color w:val="000000"/>
                <w:sz w:val="24"/>
                <w:highlight w:val="none"/>
              </w:rPr>
              <w:t>份额：</w:t>
            </w:r>
            <w:r>
              <w:rPr>
                <w:rFonts w:hint="eastAsia" w:ascii="楷体_GB2312" w:eastAsia="楷体_GB2312"/>
                <w:color w:val="000000"/>
                <w:sz w:val="24"/>
                <w:highlight w:val="none"/>
                <w:lang w:val="en-US" w:eastAsia="zh-CN"/>
              </w:rPr>
              <w:t>1</w:t>
            </w: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80</w:t>
            </w: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2.70</w:t>
            </w:r>
            <w:r>
              <w:rPr>
                <w:rFonts w:hint="eastAsia" w:ascii="楷体_GB2312" w:eastAsia="楷体_GB2312"/>
                <w:color w:val="000000"/>
                <w:sz w:val="24"/>
                <w:highlight w:val="none"/>
              </w:rPr>
              <w:t>%</w:t>
            </w:r>
            <w:r>
              <w:rPr>
                <w:rFonts w:hint="eastAsia" w:ascii="楷体_GB2312" w:hAnsi="宋体" w:eastAsia="楷体_GB2312" w:cs="Times New Roman"/>
                <w:color w:val="000000"/>
                <w:sz w:val="24"/>
                <w:lang w:val="en-US" w:eastAsia="zh-CN"/>
              </w:rPr>
              <w:t>。</w:t>
            </w:r>
          </w:p>
          <w:p>
            <w:pPr>
              <w:rPr>
                <w:rFonts w:hint="eastAsia" w:ascii="楷体_GB2312" w:hAnsi="宋体" w:eastAsia="楷体_GB2312" w:cs="Times New Roman"/>
                <w:color w:val="000000"/>
                <w:sz w:val="24"/>
                <w:highlight w:val="none"/>
                <w:lang w:val="en-US" w:eastAsia="zh-CN"/>
              </w:rPr>
            </w:pPr>
            <w:r>
              <w:rPr>
                <w:rFonts w:hint="eastAsia" w:ascii="楷体_GB2312" w:hAnsi="宋体" w:eastAsia="楷体_GB2312" w:cs="Times New Roman"/>
                <w:color w:val="000000"/>
                <w:sz w:val="24"/>
                <w:lang w:val="en-US" w:eastAsia="zh-CN"/>
              </w:rPr>
              <w:t>本理财产品业绩比较基准是产品管理人在本《理财产品说明书》约定的投资范围内，根据产品投资策略、市场环境、各类资产的投</w:t>
            </w:r>
            <w:r>
              <w:rPr>
                <w:rFonts w:hint="eastAsia" w:ascii="楷体_GB2312" w:hAnsi="宋体" w:eastAsia="楷体_GB2312" w:cs="Times New Roman"/>
                <w:color w:val="000000"/>
                <w:sz w:val="24"/>
                <w:highlight w:val="none"/>
                <w:lang w:val="en-US" w:eastAsia="zh-CN"/>
              </w:rPr>
              <w:t>资比例，并同时参考发行时已知的【</w:t>
            </w:r>
            <w:r>
              <w:rPr>
                <w:rFonts w:hint="eastAsia" w:ascii="楷体_GB2312" w:hAnsi="宋体" w:eastAsia="楷体_GB2312"/>
                <w:color w:val="auto"/>
                <w:sz w:val="24"/>
                <w:highlight w:val="none"/>
              </w:rPr>
              <w:t>同业存单、信用债和存款等资产仓位不低于</w:t>
            </w:r>
            <w:r>
              <w:rPr>
                <w:rFonts w:ascii="楷体_GB2312" w:hAnsi="宋体" w:eastAsia="楷体_GB2312"/>
                <w:color w:val="auto"/>
                <w:sz w:val="24"/>
                <w:highlight w:val="none"/>
              </w:rPr>
              <w:t>8</w:t>
            </w:r>
            <w:r>
              <w:rPr>
                <w:rFonts w:hint="default" w:ascii="楷体_GB2312" w:hAnsi="宋体" w:eastAsia="楷体_GB2312"/>
                <w:color w:val="auto"/>
                <w:sz w:val="24"/>
                <w:highlight w:val="none"/>
                <w:lang w:val="en-US"/>
              </w:rPr>
              <w:t>5</w:t>
            </w:r>
            <w:r>
              <w:rPr>
                <w:rFonts w:hint="eastAsia" w:ascii="楷体_GB2312" w:hAnsi="宋体" w:eastAsia="楷体_GB2312"/>
                <w:color w:val="auto"/>
                <w:sz w:val="24"/>
                <w:highlight w:val="none"/>
              </w:rPr>
              <w:t>%为例</w:t>
            </w:r>
            <w:r>
              <w:rPr>
                <w:rFonts w:hint="eastAsia" w:ascii="楷体_GB2312" w:hAnsi="宋体" w:eastAsia="楷体_GB2312"/>
                <w:color w:val="auto"/>
                <w:sz w:val="24"/>
                <w:highlight w:val="none"/>
                <w:lang w:val="en-US" w:eastAsia="zh-CN"/>
              </w:rPr>
              <w:t>及</w:t>
            </w:r>
            <w:r>
              <w:rPr>
                <w:rFonts w:hint="eastAsia" w:ascii="楷体_GB2312" w:hAnsi="宋体" w:eastAsia="楷体_GB2312"/>
                <w:color w:val="auto"/>
                <w:sz w:val="24"/>
                <w:highlight w:val="none"/>
              </w:rPr>
              <w:t>中债-综合财富指数收益率、产品综合费率</w:t>
            </w:r>
            <w:r>
              <w:rPr>
                <w:rFonts w:hint="eastAsia" w:ascii="楷体_GB2312" w:hAnsi="宋体" w:eastAsia="楷体_GB2312" w:cs="Times New Roman"/>
                <w:color w:val="000000"/>
                <w:sz w:val="24"/>
                <w:highlight w:val="none"/>
                <w:lang w:val="en-US" w:eastAsia="zh-CN"/>
              </w:rPr>
              <w:t>】等因素综合测算而得出。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rPr>
                <w:rFonts w:ascii="楷体_GB2312" w:hAnsi="宋体" w:eastAsia="楷体_GB2312"/>
                <w:color w:val="000000"/>
                <w:sz w:val="24"/>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醒目披露调整信息和原因外，还应按照信息披露相关要求及时履行向理财产品持有人的告知义务</w:t>
            </w:r>
            <w:r>
              <w:rPr>
                <w:rFonts w:hint="eastAsia" w:ascii="楷体_GB2312" w:hAnsi="宋体" w:eastAsia="楷体_GB2312"/>
                <w:color w:val="000000"/>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33" w:type="dxa"/>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管理人将根据收益</w:t>
            </w:r>
            <w:r>
              <w:rPr>
                <w:rFonts w:hint="eastAsia" w:ascii="楷体_GB2312" w:hAnsi="宋体" w:eastAsia="楷体_GB2312"/>
                <w:color w:val="000000"/>
                <w:sz w:val="24"/>
                <w:highlight w:val="none"/>
              </w:rPr>
              <w:t>分配</w:t>
            </w:r>
            <w:r>
              <w:rPr>
                <w:rFonts w:ascii="楷体_GB2312" w:hAnsi="宋体" w:eastAsia="楷体_GB2312"/>
                <w:color w:val="000000"/>
                <w:sz w:val="24"/>
                <w:highlight w:val="none"/>
              </w:rPr>
              <w:t>原则进行不定期分配</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收益分配方式</w:t>
            </w:r>
            <w:r>
              <w:rPr>
                <w:rFonts w:hint="eastAsia" w:ascii="楷体_GB2312" w:hAnsi="宋体" w:eastAsia="楷体_GB2312"/>
                <w:color w:val="000000"/>
                <w:sz w:val="24"/>
                <w:highlight w:val="none"/>
                <w:lang w:val="en-US" w:eastAsia="zh-CN"/>
              </w:rPr>
              <w:t>仅</w:t>
            </w:r>
            <w:r>
              <w:rPr>
                <w:rFonts w:hint="eastAsia" w:ascii="楷体_GB2312" w:hAnsi="宋体" w:eastAsia="楷体_GB2312"/>
                <w:color w:val="000000"/>
                <w:sz w:val="24"/>
                <w:highlight w:val="none"/>
              </w:rPr>
              <w:t>为现金分红。</w:t>
            </w:r>
            <w:r>
              <w:rPr>
                <w:rFonts w:hint="eastAsia" w:ascii="楷体_GB2312" w:hAnsi="宋体" w:eastAsia="楷体_GB2312"/>
                <w:color w:val="000000"/>
                <w:sz w:val="24"/>
                <w:highlight w:val="none"/>
                <w:lang w:val="en-US" w:eastAsia="zh-CN"/>
              </w:rPr>
              <w:t>分红原则</w:t>
            </w:r>
            <w:r>
              <w:rPr>
                <w:rFonts w:hint="eastAsia" w:ascii="楷体_GB2312" w:hAnsi="宋体" w:eastAsia="楷体_GB2312"/>
                <w:color w:val="000000"/>
                <w:sz w:val="24"/>
                <w:highlight w:val="none"/>
                <w:lang w:eastAsia="zh-Hans"/>
              </w:rPr>
              <w:t>详见</w:t>
            </w:r>
            <w:r>
              <w:rPr>
                <w:rFonts w:hint="eastAsia" w:ascii="楷体_GB2312" w:hAnsi="宋体" w:eastAsia="楷体_GB2312"/>
                <w:bCs w:val="0"/>
                <w:color w:val="000000"/>
                <w:sz w:val="24"/>
                <w:szCs w:val="24"/>
                <w:highlight w:val="none"/>
                <w:lang w:val="en-US" w:eastAsia="zh-CN"/>
              </w:rPr>
              <w:t>本《</w:t>
            </w:r>
            <w:r>
              <w:rPr>
                <w:rFonts w:hint="eastAsia" w:ascii="楷体_GB2312" w:eastAsia="楷体_GB2312"/>
                <w:color w:val="000000"/>
                <w:sz w:val="24"/>
                <w:highlight w:val="none"/>
                <w:lang w:val="en-US" w:eastAsia="zh-CN"/>
              </w:rPr>
              <w:t>理财产品说明书</w:t>
            </w:r>
            <w:r>
              <w:rPr>
                <w:rFonts w:hint="eastAsia" w:ascii="楷体_GB2312" w:hAnsi="宋体" w:eastAsia="楷体_GB2312"/>
                <w:bCs w:val="0"/>
                <w:color w:val="000000"/>
                <w:sz w:val="24"/>
                <w:szCs w:val="24"/>
                <w:highlight w:val="none"/>
                <w:lang w:val="en-US" w:eastAsia="zh-CN"/>
              </w:rPr>
              <w:t>》</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lang w:val="en-US" w:eastAsia="zh-CN"/>
              </w:rPr>
              <w:t>七</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rPr>
              <w:t>产品的收益分配</w:t>
            </w:r>
            <w:r>
              <w:rPr>
                <w:rFonts w:hint="eastAsia" w:ascii="楷体_GB2312" w:hAnsi="宋体" w:eastAsia="楷体_GB2312"/>
                <w:color w:val="000000"/>
                <w:sz w:val="24"/>
                <w:highlight w:val="none"/>
                <w:lang w:eastAsia="zh-Hans"/>
              </w:rPr>
              <w:t>”</w:t>
            </w:r>
            <w:r>
              <w:rPr>
                <w:rFonts w:hint="eastAsia" w:ascii="楷体_GB2312" w:hAnsi="宋体" w:eastAsia="楷体_GB2312"/>
                <w:color w:val="000000"/>
                <w:sz w:val="24"/>
                <w:highlight w:val="none"/>
                <w:lang w:val="en-US" w:eastAsia="zh-CN"/>
              </w:rPr>
              <w:t>中（二）收益分配原则和</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r>
              <w:rPr>
                <w:rFonts w:hint="eastAsia" w:ascii="楷体_GB2312" w:hAnsi="宋体" w:eastAsia="楷体_GB2312"/>
                <w:color w:val="000000"/>
                <w:sz w:val="24"/>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51" w:type="dxa"/>
            <w:vAlign w:val="center"/>
          </w:tcPr>
          <w:p>
            <w:pPr>
              <w:rPr>
                <w:rFonts w:ascii="楷体_GB2312" w:hAnsi="宋体" w:eastAsia="楷体_GB2312"/>
                <w:color w:val="000000"/>
                <w:sz w:val="24"/>
              </w:rPr>
            </w:pPr>
            <w:r>
              <w:rPr>
                <w:rFonts w:hint="eastAsia" w:ascii="楷体_GB2312" w:hAnsi="宋体" w:eastAsia="楷体_GB2312"/>
                <w:b w:val="0"/>
                <w:bCs w:val="0"/>
                <w:color w:val="auto"/>
                <w:sz w:val="24"/>
                <w:highlight w:val="none"/>
              </w:rPr>
              <w:t>★</w:t>
            </w:r>
            <w:r>
              <w:rPr>
                <w:rFonts w:hint="eastAsia" w:ascii="楷体_GB2312" w:hAnsi="宋体" w:eastAsia="楷体_GB2312"/>
                <w:color w:val="000000"/>
                <w:sz w:val="24"/>
              </w:rPr>
              <w:t>产品费用</w:t>
            </w:r>
          </w:p>
        </w:tc>
        <w:tc>
          <w:tcPr>
            <w:tcW w:w="6633" w:type="dxa"/>
            <w:vAlign w:val="center"/>
          </w:tcPr>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A类</w:t>
            </w:r>
            <w:r>
              <w:rPr>
                <w:rFonts w:hint="eastAsia" w:ascii="楷体_GB2312" w:hAnsi="宋体" w:eastAsia="楷体_GB2312"/>
                <w:color w:val="auto"/>
                <w:sz w:val="24"/>
                <w:highlight w:val="none"/>
              </w:rPr>
              <w:t>份额：</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0.16</w:t>
            </w:r>
            <w:r>
              <w:rPr>
                <w:rFonts w:hint="eastAsia" w:ascii="楷体_GB2312" w:hAnsi="宋体" w:eastAsia="楷体_GB2312"/>
                <w:color w:val="auto"/>
                <w:sz w:val="24"/>
                <w:highlight w:val="none"/>
              </w:rPr>
              <w:t>%/年</w:t>
            </w:r>
          </w:p>
          <w:p>
            <w:pPr>
              <w:pStyle w:val="42"/>
              <w:numPr>
                <w:ilvl w:val="-1"/>
                <w:numId w:val="0"/>
              </w:numPr>
              <w:ind w:left="0" w:firstLine="0" w:firstLineChars="0"/>
              <w:rPr>
                <w:rFonts w:ascii="楷体_GB2312" w:hAnsi="宋体" w:eastAsia="楷体_GB2312"/>
                <w:color w:val="000000"/>
                <w:sz w:val="24"/>
                <w:highlight w:val="none"/>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w:t>
            </w:r>
            <w:r>
              <w:rPr>
                <w:rFonts w:hint="eastAsia" w:ascii="楷体_GB2312" w:hAnsi="宋体" w:eastAsia="楷体_GB2312"/>
                <w:b w:val="0"/>
                <w:bCs w:val="0"/>
                <w:color w:val="000000"/>
                <w:sz w:val="24"/>
                <w:highlight w:val="none"/>
              </w:rPr>
              <w:t>/年</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5</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000000"/>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九、产品的费用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4"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净值及投资报告披露</w:t>
            </w:r>
          </w:p>
        </w:tc>
        <w:tc>
          <w:tcPr>
            <w:tcW w:w="6633" w:type="dxa"/>
            <w:vAlign w:val="center"/>
          </w:tcPr>
          <w:p>
            <w:pPr>
              <w:pStyle w:val="2"/>
              <w:numPr>
                <w:ilvl w:val="0"/>
                <w:numId w:val="0"/>
              </w:numPr>
              <w:ind w:left="0" w:leftChars="0" w:firstLine="0"/>
              <w:rPr>
                <w:color w:val="auto"/>
                <w:highlight w:val="none"/>
              </w:rPr>
            </w:pPr>
            <w:r>
              <w:rPr>
                <w:rFonts w:hint="eastAsia"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每个</w:t>
            </w:r>
            <w:r>
              <w:rPr>
                <w:rFonts w:hint="eastAsia" w:ascii="楷体_GB2312" w:hAnsi="宋体" w:eastAsia="楷体_GB2312"/>
                <w:color w:val="auto"/>
                <w:sz w:val="24"/>
                <w:highlight w:val="none"/>
              </w:rPr>
              <w:t>开放日</w:t>
            </w:r>
            <w:r>
              <w:rPr>
                <w:rFonts w:hint="eastAsia" w:ascii="楷体_GB2312" w:hAnsi="宋体" w:eastAsia="楷体_GB2312"/>
                <w:color w:val="auto"/>
                <w:sz w:val="24"/>
                <w:highlight w:val="none"/>
                <w:lang w:val="en-US" w:eastAsia="zh-CN"/>
              </w:rPr>
              <w:t>结束</w:t>
            </w:r>
            <w:r>
              <w:rPr>
                <w:rFonts w:hint="eastAsia" w:ascii="楷体_GB2312" w:hAnsi="宋体" w:eastAsia="楷体_GB2312"/>
                <w:color w:val="auto"/>
                <w:sz w:val="24"/>
                <w:highlight w:val="none"/>
              </w:rPr>
              <w:t>后2个工作日内披露开放日的产品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净值和产品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累计净值、</w:t>
            </w:r>
            <w:r>
              <w:rPr>
                <w:rFonts w:hint="eastAsia" w:ascii="楷体_GB2312" w:hAnsi="宋体" w:eastAsia="楷体_GB2312"/>
                <w:color w:val="auto"/>
                <w:sz w:val="24"/>
                <w:highlight w:val="none"/>
                <w:lang w:val="en-US" w:eastAsia="zh-CN"/>
              </w:rPr>
              <w:t>申购价格、赎回价格；</w:t>
            </w:r>
            <w:r>
              <w:rPr>
                <w:rFonts w:hint="eastAsia" w:ascii="楷体_GB2312" w:hAnsi="宋体" w:eastAsia="楷体_GB2312"/>
                <w:color w:val="auto"/>
                <w:sz w:val="24"/>
                <w:highlight w:val="none"/>
              </w:rPr>
              <w:t>在定期报告中披露</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理财产品在季度、半年和年度最后一个市场交易日的</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净值、</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lang w:val="en-US" w:eastAsia="zh-CN"/>
              </w:rPr>
              <w:t>份额</w:t>
            </w:r>
            <w:r>
              <w:rPr>
                <w:rFonts w:hint="eastAsia" w:ascii="楷体_GB2312" w:hAnsi="宋体" w:eastAsia="楷体_GB2312"/>
                <w:color w:val="auto"/>
                <w:sz w:val="24"/>
                <w:highlight w:val="none"/>
              </w:rPr>
              <w:t>累计净值和</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资产净值。</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2.每个季度结束之日起15个工作日内、上半年结束之日起60</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个工作日内、每年结束之日起90个工作日内</w:t>
            </w:r>
            <w:r>
              <w:rPr>
                <w:rFonts w:ascii="楷体_GB2312" w:hAnsi="宋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编制完成</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向投资者披露。</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理财产品成立不足90</w:t>
            </w:r>
            <w:r>
              <w:rPr>
                <w:rFonts w:hint="eastAsia" w:ascii="楷体_GB2312" w:hAnsi="宋体" w:eastAsia="楷体_GB2312"/>
                <w:color w:val="auto"/>
                <w:sz w:val="24"/>
                <w:highlight w:val="none"/>
                <w:lang w:val="en-US" w:eastAsia="zh-CN"/>
              </w:rPr>
              <w:t>个工作</w:t>
            </w:r>
            <w:r>
              <w:rPr>
                <w:rFonts w:hint="eastAsia" w:ascii="楷体_GB2312" w:hAnsi="宋体" w:eastAsia="楷体_GB2312"/>
                <w:color w:val="auto"/>
                <w:sz w:val="24"/>
                <w:highlight w:val="none"/>
              </w:rPr>
              <w:t>日或者剩余存续期不超过90</w:t>
            </w:r>
            <w:r>
              <w:rPr>
                <w:rFonts w:hint="eastAsia" w:ascii="楷体_GB2312" w:hAnsi="宋体" w:eastAsia="楷体_GB2312"/>
                <w:color w:val="auto"/>
                <w:sz w:val="24"/>
                <w:highlight w:val="none"/>
                <w:lang w:val="en-US" w:eastAsia="zh-CN"/>
              </w:rPr>
              <w:t>个工作</w:t>
            </w:r>
            <w:r>
              <w:rPr>
                <w:rFonts w:hint="eastAsia" w:ascii="楷体_GB2312" w:hAnsi="宋体" w:eastAsia="楷体_GB2312"/>
                <w:color w:val="auto"/>
                <w:sz w:val="24"/>
                <w:highlight w:val="none"/>
              </w:rPr>
              <w:t>日的，</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可以不编制</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理财产品当期的季度、半年和年度报告。</w:t>
            </w:r>
          </w:p>
          <w:p>
            <w:pPr>
              <w:numPr>
                <w:ilvl w:val="0"/>
                <w:numId w:val="0"/>
              </w:numPr>
              <w:ind w:firstLine="0" w:firstLineChars="0"/>
              <w:rPr>
                <w:rFonts w:hint="eastAsia"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3.</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保留对</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信息披露频率变更的权利。</w:t>
            </w:r>
          </w:p>
          <w:p>
            <w:pPr>
              <w:rPr>
                <w:rFonts w:ascii="楷体_GB2312" w:hAnsi="宋体" w:eastAsia="楷体_GB2312"/>
                <w:color w:val="000000"/>
                <w:sz w:val="24"/>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十一、产品的信息披露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51" w:type="dxa"/>
            <w:vAlign w:val="center"/>
          </w:tcPr>
          <w:p>
            <w:pPr>
              <w:snapToGrid w:val="0"/>
              <w:rPr>
                <w:rFonts w:ascii="楷体_GB2312" w:eastAsia="楷体_GB2312"/>
                <w:bCs/>
                <w:color w:val="000000"/>
                <w:sz w:val="24"/>
              </w:rPr>
            </w:pPr>
            <w:r>
              <w:rPr>
                <w:rFonts w:hint="eastAsia" w:ascii="楷体_GB2312" w:eastAsia="楷体_GB2312"/>
                <w:bCs/>
                <w:color w:val="000000"/>
                <w:sz w:val="24"/>
              </w:rPr>
              <w:t>税款</w:t>
            </w:r>
          </w:p>
        </w:tc>
        <w:tc>
          <w:tcPr>
            <w:tcW w:w="6633" w:type="dxa"/>
            <w:vAlign w:val="center"/>
          </w:tcPr>
          <w:p>
            <w:pPr>
              <w:rPr>
                <w:rFonts w:ascii="楷体_GB2312" w:hAnsi="宋体" w:eastAsia="楷体_GB2312"/>
                <w:color w:val="000000"/>
                <w:sz w:val="24"/>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四、产品的投资运作</w:t>
      </w:r>
    </w:p>
    <w:p>
      <w:pPr>
        <w:ind w:firstLine="480" w:firstLineChars="200"/>
        <w:rPr>
          <w:rFonts w:ascii="楷体_GB2312" w:hAnsi="宋体" w:eastAsia="楷体_GB2312"/>
          <w:color w:val="000000"/>
          <w:sz w:val="24"/>
        </w:rPr>
      </w:pPr>
      <w:r>
        <w:rPr>
          <w:rFonts w:ascii="楷体_GB2312" w:hAnsi="宋体" w:eastAsia="楷体_GB2312"/>
          <w:color w:val="000000"/>
          <w:sz w:val="24"/>
        </w:rPr>
        <w:t>（一）投资范围</w:t>
      </w:r>
    </w:p>
    <w:p>
      <w:pPr>
        <w:adjustRightInd/>
        <w:snapToGrid/>
        <w:ind w:firstLine="480" w:firstLineChars="200"/>
        <w:rPr>
          <w:rFonts w:hint="eastAsia" w:ascii="楷体_GB2312" w:hAnsi="宋体" w:eastAsia="楷体_GB2312"/>
          <w:color w:val="000000"/>
          <w:sz w:val="24"/>
          <w:szCs w:val="24"/>
          <w:highlight w:val="none"/>
        </w:rPr>
      </w:pPr>
      <w:r>
        <w:rPr>
          <w:rFonts w:hint="eastAsia" w:ascii="楷体_GB2312" w:hAnsi="宋体" w:eastAsia="楷体_GB2312" w:cs="Times New Roman"/>
          <w:color w:val="000000"/>
          <w:sz w:val="24"/>
          <w:szCs w:val="24"/>
          <w:highlight w:val="none"/>
        </w:rPr>
        <w:t>本</w:t>
      </w:r>
      <w:r>
        <w:rPr>
          <w:rFonts w:hint="eastAsia" w:ascii="楷体_GB2312" w:hAnsi="宋体" w:eastAsia="楷体_GB2312" w:cs="Times New Roman"/>
          <w:color w:val="000000"/>
          <w:sz w:val="24"/>
          <w:szCs w:val="24"/>
          <w:highlight w:val="none"/>
          <w:lang w:val="en-US" w:eastAsia="zh-CN"/>
        </w:rPr>
        <w:t>理财</w:t>
      </w:r>
      <w:r>
        <w:rPr>
          <w:rFonts w:hint="eastAsia" w:ascii="楷体_GB2312" w:hAnsi="宋体" w:eastAsia="楷体_GB2312" w:cs="Times New Roman"/>
          <w:color w:val="000000"/>
          <w:sz w:val="24"/>
          <w:szCs w:val="24"/>
          <w:highlight w:val="none"/>
        </w:rPr>
        <w:t>产品</w:t>
      </w:r>
      <w:r>
        <w:rPr>
          <w:rFonts w:hint="eastAsia" w:ascii="楷体_GB2312" w:hAnsi="宋体" w:eastAsia="楷体_GB2312" w:cs="Times New Roman"/>
          <w:color w:val="000000"/>
          <w:sz w:val="24"/>
          <w:szCs w:val="24"/>
          <w:highlight w:val="none"/>
          <w:lang w:val="en-US" w:eastAsia="zh-CN"/>
        </w:rPr>
        <w:t>可</w:t>
      </w:r>
      <w:r>
        <w:rPr>
          <w:rFonts w:hint="eastAsia" w:ascii="楷体_GB2312" w:hAnsi="宋体" w:eastAsia="楷体_GB2312" w:cs="Times New Roman"/>
          <w:color w:val="000000"/>
          <w:sz w:val="24"/>
          <w:szCs w:val="24"/>
          <w:highlight w:val="none"/>
        </w:rPr>
        <w:t>投资于境内外市场发行的固定收益类</w:t>
      </w:r>
      <w:r>
        <w:rPr>
          <w:rFonts w:hint="eastAsia" w:ascii="楷体_GB2312" w:hAnsi="宋体" w:eastAsia="楷体_GB2312" w:cs="Times New Roman"/>
          <w:color w:val="000000"/>
          <w:sz w:val="24"/>
          <w:szCs w:val="24"/>
          <w:highlight w:val="none"/>
          <w:lang w:val="en-US" w:eastAsia="zh-CN"/>
        </w:rPr>
        <w:t>资产</w:t>
      </w:r>
      <w:r>
        <w:rPr>
          <w:rFonts w:hint="eastAsia" w:ascii="楷体_GB2312" w:hAnsi="宋体" w:eastAsia="楷体_GB2312" w:cs="Times New Roman"/>
          <w:color w:val="000000"/>
          <w:sz w:val="24"/>
          <w:szCs w:val="24"/>
          <w:highlight w:val="none"/>
        </w:rPr>
        <w:t>、权益类</w:t>
      </w:r>
      <w:r>
        <w:rPr>
          <w:rFonts w:hint="eastAsia" w:ascii="楷体_GB2312" w:hAnsi="宋体" w:eastAsia="楷体_GB2312" w:cs="Times New Roman"/>
          <w:color w:val="000000"/>
          <w:sz w:val="24"/>
          <w:szCs w:val="24"/>
          <w:highlight w:val="none"/>
          <w:lang w:val="en-US" w:eastAsia="zh-CN"/>
        </w:rPr>
        <w:t>资产和</w:t>
      </w:r>
      <w:r>
        <w:rPr>
          <w:rFonts w:hint="eastAsia" w:ascii="楷体_GB2312" w:hAnsi="宋体" w:eastAsia="楷体_GB2312" w:cs="Times New Roman"/>
          <w:color w:val="000000"/>
          <w:sz w:val="24"/>
          <w:szCs w:val="24"/>
          <w:highlight w:val="none"/>
        </w:rPr>
        <w:t>商品及金融衍生品类资产</w:t>
      </w:r>
      <w:r>
        <w:rPr>
          <w:rFonts w:hint="eastAsia" w:ascii="楷体_GB2312" w:hAnsi="宋体" w:eastAsia="楷体_GB2312" w:cs="Times New Roman"/>
          <w:color w:val="000000"/>
          <w:sz w:val="24"/>
          <w:szCs w:val="24"/>
          <w:highlight w:val="none"/>
          <w:lang w:val="en-US" w:eastAsia="zh-CN"/>
        </w:rPr>
        <w:t>等</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val="en-US" w:eastAsia="zh-CN"/>
        </w:rPr>
        <w:t>具体包括</w:t>
      </w:r>
      <w:r>
        <w:rPr>
          <w:rFonts w:hint="eastAsia" w:ascii="楷体_GB2312" w:hAnsi="宋体" w:eastAsia="楷体_GB2312"/>
          <w:color w:val="000000"/>
          <w:sz w:val="24"/>
          <w:szCs w:val="24"/>
          <w:highlight w:val="none"/>
        </w:rPr>
        <w:t>：</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bCs w:val="0"/>
          <w:color w:val="000000"/>
          <w:sz w:val="24"/>
          <w:szCs w:val="24"/>
          <w:highlight w:val="none"/>
        </w:rPr>
        <w:t>固定收益类资产，包括但不限于银行存款、同业存款、大额存单、资金拆借、债券回购等货币市场工具；国债、政策性金融债、金融债、地方政府债、政府支持机构债券、短期融资券、超短期融资券、中期票据（包括永续中票）、企业债、公司债（包含可续期公司债）、同业存单、非公开定向债务融资工具、资产支持证券、次级债（包括二级资本债）</w:t>
      </w:r>
      <w:r>
        <w:rPr>
          <w:rFonts w:hint="eastAsia" w:ascii="楷体_GB2312" w:hAnsi="宋体" w:eastAsia="楷体_GB2312" w:cs="Times New Roman"/>
          <w:bCs w:val="0"/>
          <w:color w:val="000000"/>
          <w:sz w:val="24"/>
          <w:szCs w:val="24"/>
          <w:highlight w:val="none"/>
          <w:lang w:val="en-US" w:eastAsia="zh-CN"/>
        </w:rPr>
        <w:t>等银行间市场、</w:t>
      </w:r>
      <w:r>
        <w:rPr>
          <w:rFonts w:hint="eastAsia" w:ascii="楷体_GB2312" w:hAnsi="宋体" w:eastAsia="楷体_GB2312" w:cs="Times New Roman"/>
          <w:bCs w:val="0"/>
          <w:color w:val="000000"/>
          <w:sz w:val="24"/>
          <w:szCs w:val="24"/>
          <w:highlight w:val="none"/>
        </w:rPr>
        <w:t>证券交易所市场及经国务院同意设立的其他交易市场的债券及债务融资工具</w:t>
      </w:r>
      <w:r>
        <w:rPr>
          <w:rFonts w:hint="eastAsia" w:ascii="楷体_GB2312" w:hAnsi="宋体" w:eastAsia="楷体_GB2312" w:cs="Times New Roman"/>
          <w:color w:val="000000"/>
          <w:sz w:val="24"/>
          <w:highlight w:val="none"/>
        </w:rPr>
        <w:t>；</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bCs w:val="0"/>
          <w:color w:val="000000"/>
          <w:sz w:val="24"/>
          <w:szCs w:val="24"/>
          <w:highlight w:val="none"/>
          <w:lang w:val="en-US" w:eastAsia="zh-CN"/>
        </w:rPr>
        <w:t>权益</w:t>
      </w:r>
      <w:r>
        <w:rPr>
          <w:rFonts w:hint="eastAsia" w:ascii="楷体_GB2312" w:hAnsi="宋体" w:eastAsia="楷体_GB2312" w:cs="Times New Roman"/>
          <w:bCs w:val="0"/>
          <w:color w:val="000000"/>
          <w:sz w:val="24"/>
          <w:szCs w:val="24"/>
          <w:highlight w:val="none"/>
        </w:rPr>
        <w:t>类资产，</w:t>
      </w:r>
      <w:r>
        <w:rPr>
          <w:rFonts w:hint="eastAsia" w:ascii="楷体_GB2312" w:hAnsi="宋体" w:eastAsia="楷体_GB2312" w:cs="Times New Roman"/>
          <w:bCs w:val="0"/>
          <w:color w:val="000000"/>
          <w:sz w:val="24"/>
          <w:szCs w:val="24"/>
          <w:highlight w:val="none"/>
          <w:lang w:val="en-US" w:eastAsia="zh-CN"/>
        </w:rPr>
        <w:t>仅限于境内外发行的优先股</w:t>
      </w:r>
      <w:r>
        <w:rPr>
          <w:rFonts w:hint="eastAsia" w:ascii="楷体_GB2312" w:hAnsi="宋体" w:eastAsia="楷体_GB2312" w:cs="Times New Roman"/>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s="Times New Roman"/>
          <w:bCs w:val="0"/>
          <w:color w:val="000000"/>
          <w:sz w:val="24"/>
          <w:szCs w:val="24"/>
          <w:highlight w:val="none"/>
        </w:rPr>
        <w:t>商品及金融衍生品类资产，包括但不限于期货、期权、远期、互换、风险缓释工具等</w:t>
      </w:r>
      <w:r>
        <w:rPr>
          <w:rFonts w:hint="eastAsia" w:ascii="楷体_GB2312" w:hAnsi="宋体" w:eastAsia="楷体_GB2312"/>
          <w:color w:val="000000"/>
          <w:sz w:val="24"/>
          <w:szCs w:val="24"/>
          <w:highlight w:val="none"/>
        </w:rPr>
        <w:t>。</w:t>
      </w:r>
    </w:p>
    <w:p>
      <w:pPr>
        <w:adjustRightInd/>
        <w:snapToGrid/>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产品可投资于以上述资产为投资对象的公募证券投资基金及其他资产管理产品。</w:t>
      </w:r>
    </w:p>
    <w:p>
      <w:pPr>
        <w:ind w:firstLine="480" w:firstLineChars="200"/>
        <w:rPr>
          <w:rFonts w:hint="eastAsia" w:ascii="楷体_GB2312" w:hAnsi="楷体" w:eastAsia="楷体_GB2312" w:cs="Times New Roman"/>
          <w:sz w:val="24"/>
        </w:rPr>
      </w:pPr>
      <w:r>
        <w:rPr>
          <w:rFonts w:hint="eastAsia" w:ascii="楷体_GB2312" w:hAnsi="楷体" w:eastAsia="楷体_GB2312" w:cs="Times New Roman"/>
          <w:sz w:val="24"/>
        </w:rPr>
        <w:t>北银理财作为本理财产品的产品管理人，负责在投资范围内对本理财产品的投资进行动态配置，保留对投资目标变更的权利，若发生变更将及时进行信息披露。</w:t>
      </w:r>
    </w:p>
    <w:p>
      <w:pPr>
        <w:numPr>
          <w:ilvl w:val="-1"/>
          <w:numId w:val="0"/>
        </w:numPr>
        <w:ind w:firstLine="480" w:firstLineChars="200"/>
        <w:rPr>
          <w:rFonts w:hint="eastAsia" w:ascii="楷体_GB2312" w:hAnsi="楷体" w:eastAsia="楷体_GB2312" w:cs="Times New Roman"/>
          <w:sz w:val="24"/>
        </w:rPr>
      </w:pPr>
      <w:r>
        <w:rPr>
          <w:rFonts w:hint="eastAsia" w:ascii="楷体_GB2312" w:hAnsi="楷体" w:eastAsia="楷体_GB2312" w:cs="Times New Roman"/>
          <w:sz w:val="24"/>
        </w:rPr>
        <w:t>（二）投资比例</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1.</w:t>
      </w:r>
      <w:r>
        <w:rPr>
          <w:rFonts w:hint="eastAsia" w:ascii="楷体_GB2312" w:hAnsi="宋体" w:eastAsia="楷体_GB2312" w:cs="Times New Roman"/>
          <w:bCs w:val="0"/>
          <w:color w:val="000000"/>
          <w:sz w:val="24"/>
          <w:szCs w:val="24"/>
          <w:highlight w:val="none"/>
        </w:rPr>
        <w:t>直接或间接投资</w:t>
      </w:r>
      <w:r>
        <w:rPr>
          <w:rFonts w:hint="eastAsia" w:ascii="楷体_GB2312" w:hAnsi="宋体" w:eastAsia="楷体_GB2312" w:cs="Times New Roman"/>
          <w:bCs w:val="0"/>
          <w:color w:val="000000"/>
          <w:sz w:val="24"/>
          <w:szCs w:val="24"/>
          <w:highlight w:val="none"/>
          <w:lang w:val="en-US" w:eastAsia="zh-CN"/>
        </w:rPr>
        <w:t>于</w:t>
      </w:r>
      <w:r>
        <w:rPr>
          <w:rFonts w:hint="eastAsia" w:ascii="楷体_GB2312" w:hAnsi="宋体" w:eastAsia="楷体_GB2312" w:cs="Times New Roman"/>
          <w:bCs w:val="0"/>
          <w:color w:val="000000"/>
          <w:sz w:val="24"/>
          <w:szCs w:val="24"/>
          <w:highlight w:val="none"/>
        </w:rPr>
        <w:t>固定收益类资产的比例为</w:t>
      </w:r>
      <w:r>
        <w:rPr>
          <w:rFonts w:hint="eastAsia" w:ascii="楷体_GB2312" w:hAnsi="宋体" w:eastAsia="楷体_GB2312" w:cs="Times New Roman"/>
          <w:bCs w:val="0"/>
          <w:color w:val="000000"/>
          <w:sz w:val="24"/>
          <w:szCs w:val="24"/>
          <w:highlight w:val="none"/>
          <w:lang w:val="en-US" w:eastAsia="zh-CN"/>
        </w:rPr>
        <w:t>85</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val="en-US" w:eastAsia="zh-CN"/>
        </w:rPr>
        <w:t>100</w:t>
      </w:r>
      <w:r>
        <w:rPr>
          <w:rFonts w:hint="eastAsia" w:ascii="楷体_GB2312" w:hAnsi="宋体" w:eastAsia="楷体_GB2312" w:cs="Times New Roman"/>
          <w:bCs w:val="0"/>
          <w:color w:val="000000"/>
          <w:sz w:val="24"/>
          <w:szCs w:val="24"/>
          <w:highlight w:val="none"/>
        </w:rPr>
        <w:t>%。</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2.</w:t>
      </w:r>
      <w:r>
        <w:rPr>
          <w:rFonts w:hint="eastAsia" w:ascii="楷体_GB2312" w:hAnsi="宋体" w:eastAsia="楷体_GB2312" w:cs="Times New Roman"/>
          <w:bCs w:val="0"/>
          <w:color w:val="000000"/>
          <w:sz w:val="24"/>
          <w:szCs w:val="24"/>
          <w:highlight w:val="none"/>
        </w:rPr>
        <w:t>直接或间接投资于权益类资产</w:t>
      </w:r>
      <w:r>
        <w:rPr>
          <w:rFonts w:hint="eastAsia" w:ascii="楷体_GB2312" w:hAnsi="宋体" w:eastAsia="楷体_GB2312" w:cs="Times New Roman"/>
          <w:bCs w:val="0"/>
          <w:color w:val="000000"/>
          <w:sz w:val="24"/>
          <w:szCs w:val="24"/>
          <w:highlight w:val="none"/>
          <w:lang w:val="en-US" w:eastAsia="zh-CN"/>
        </w:rPr>
        <w:t>的</w:t>
      </w:r>
      <w:r>
        <w:rPr>
          <w:rFonts w:hint="eastAsia" w:ascii="楷体_GB2312" w:hAnsi="宋体" w:eastAsia="楷体_GB2312" w:cs="Times New Roman"/>
          <w:bCs w:val="0"/>
          <w:color w:val="000000"/>
          <w:sz w:val="24"/>
          <w:szCs w:val="24"/>
          <w:highlight w:val="none"/>
        </w:rPr>
        <w:t>比例为</w:t>
      </w:r>
      <w:r>
        <w:rPr>
          <w:rFonts w:hint="eastAsia" w:ascii="楷体_GB2312" w:hAnsi="宋体" w:eastAsia="楷体_GB2312" w:cs="Times New Roman"/>
          <w:bCs w:val="0"/>
          <w:color w:val="000000"/>
          <w:sz w:val="24"/>
          <w:szCs w:val="24"/>
          <w:highlight w:val="none"/>
          <w:lang w:val="en-US" w:eastAsia="zh-CN"/>
        </w:rPr>
        <w:t>0</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val="en-US" w:eastAsia="zh-CN"/>
        </w:rPr>
        <w:t>15</w:t>
      </w:r>
      <w:r>
        <w:rPr>
          <w:rFonts w:hint="eastAsia" w:ascii="楷体_GB2312" w:hAnsi="宋体" w:eastAsia="楷体_GB2312" w:cs="Times New Roman"/>
          <w:bCs w:val="0"/>
          <w:color w:val="000000"/>
          <w:sz w:val="24"/>
          <w:szCs w:val="24"/>
          <w:highlight w:val="none"/>
        </w:rPr>
        <w:t>%</w:t>
      </w:r>
      <w:r>
        <w:rPr>
          <w:rFonts w:hint="eastAsia" w:ascii="楷体_GB2312" w:hAnsi="宋体" w:eastAsia="楷体_GB2312" w:cs="Times New Roman"/>
          <w:bCs w:val="0"/>
          <w:color w:val="000000"/>
          <w:sz w:val="24"/>
          <w:szCs w:val="24"/>
          <w:highlight w:val="none"/>
          <w:lang w:eastAsia="zh-CN"/>
        </w:rPr>
        <w:t>，</w:t>
      </w:r>
      <w:r>
        <w:rPr>
          <w:rFonts w:hint="eastAsia" w:ascii="楷体_GB2312" w:hAnsi="宋体" w:eastAsia="楷体_GB2312" w:cs="Times New Roman"/>
          <w:bCs w:val="0"/>
          <w:color w:val="000000"/>
          <w:sz w:val="24"/>
          <w:szCs w:val="24"/>
          <w:highlight w:val="none"/>
          <w:lang w:val="en-US" w:eastAsia="zh-CN"/>
        </w:rPr>
        <w:t>且仅能投资于境内外发行的优先股</w:t>
      </w:r>
      <w:r>
        <w:rPr>
          <w:rFonts w:hint="eastAsia" w:ascii="楷体_GB2312" w:hAnsi="宋体" w:eastAsia="楷体_GB2312" w:cs="Times New Roman"/>
          <w:bCs w:val="0"/>
          <w:color w:val="000000"/>
          <w:sz w:val="24"/>
          <w:szCs w:val="24"/>
          <w:highlight w:val="none"/>
        </w:rPr>
        <w:t>。</w:t>
      </w:r>
    </w:p>
    <w:p>
      <w:pPr>
        <w:pStyle w:val="2"/>
        <w:ind w:left="0" w:leftChars="0" w:firstLine="480" w:firstLineChars="200"/>
        <w:rPr>
          <w:rFonts w:hint="eastAsia" w:ascii="楷体_GB2312" w:hAnsi="宋体" w:eastAsia="楷体_GB2312" w:cs="Times New Roman"/>
          <w:bCs w:val="0"/>
          <w:color w:val="000000"/>
          <w:sz w:val="24"/>
          <w:szCs w:val="24"/>
          <w:highlight w:val="none"/>
        </w:rPr>
      </w:pPr>
      <w:r>
        <w:rPr>
          <w:rFonts w:hint="eastAsia" w:ascii="楷体_GB2312" w:hAnsi="宋体" w:eastAsia="楷体_GB2312" w:cs="Times New Roman"/>
          <w:bCs w:val="0"/>
          <w:color w:val="000000"/>
          <w:sz w:val="24"/>
          <w:szCs w:val="24"/>
          <w:highlight w:val="none"/>
          <w:lang w:val="en-US" w:eastAsia="zh-CN"/>
        </w:rPr>
        <w:t>3.</w:t>
      </w:r>
      <w:r>
        <w:rPr>
          <w:rFonts w:hint="eastAsia" w:ascii="楷体_GB2312" w:hAnsi="宋体" w:eastAsia="楷体_GB2312" w:cs="Times New Roman"/>
          <w:color w:val="000000"/>
          <w:sz w:val="24"/>
          <w:szCs w:val="24"/>
          <w:highlight w:val="none"/>
        </w:rPr>
        <w:t>直接或间接投资</w:t>
      </w:r>
      <w:r>
        <w:rPr>
          <w:rFonts w:hint="eastAsia" w:ascii="楷体_GB2312" w:hAnsi="宋体" w:eastAsia="楷体_GB2312" w:cs="Times New Roman"/>
          <w:color w:val="000000"/>
          <w:sz w:val="24"/>
          <w:szCs w:val="24"/>
          <w:highlight w:val="none"/>
          <w:lang w:eastAsia="zh-CN"/>
        </w:rPr>
        <w:t>于</w:t>
      </w:r>
      <w:r>
        <w:rPr>
          <w:rFonts w:hint="eastAsia" w:ascii="楷体_GB2312" w:hAnsi="宋体" w:eastAsia="楷体_GB2312" w:cs="Times New Roman"/>
          <w:color w:val="000000"/>
          <w:sz w:val="24"/>
          <w:szCs w:val="24"/>
          <w:highlight w:val="none"/>
          <w:lang w:val="en-US" w:eastAsia="zh-CN"/>
        </w:rPr>
        <w:t>商品及</w:t>
      </w:r>
      <w:r>
        <w:rPr>
          <w:rFonts w:hint="eastAsia" w:ascii="楷体_GB2312" w:hAnsi="宋体" w:eastAsia="楷体_GB2312" w:cs="Times New Roman"/>
          <w:color w:val="000000"/>
          <w:sz w:val="24"/>
          <w:szCs w:val="24"/>
          <w:highlight w:val="none"/>
        </w:rPr>
        <w:t>金融衍生品类资产的比例为</w:t>
      </w:r>
      <w:r>
        <w:rPr>
          <w:rFonts w:hint="eastAsia" w:ascii="楷体_GB2312" w:hAnsi="宋体" w:eastAsia="楷体_GB2312" w:cs="Times New Roman"/>
          <w:color w:val="000000"/>
          <w:sz w:val="24"/>
          <w:szCs w:val="24"/>
          <w:highlight w:val="none"/>
          <w:lang w:val="en-US" w:eastAsia="zh-CN"/>
        </w:rPr>
        <w:t>0</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val="en-US" w:eastAsia="zh-CN"/>
        </w:rPr>
        <w:t>15</w:t>
      </w:r>
      <w:r>
        <w:rPr>
          <w:rFonts w:hint="eastAsia" w:ascii="楷体_GB2312" w:hAnsi="宋体" w:eastAsia="楷体_GB2312" w:cs="Times New Roman"/>
          <w:color w:val="000000"/>
          <w:sz w:val="24"/>
          <w:szCs w:val="24"/>
          <w:highlight w:val="none"/>
        </w:rPr>
        <w:t>%</w:t>
      </w:r>
      <w:r>
        <w:rPr>
          <w:rFonts w:hint="eastAsia" w:ascii="楷体_GB2312" w:hAnsi="宋体" w:eastAsia="楷体_GB2312" w:cs="Times New Roman"/>
          <w:color w:val="000000"/>
          <w:sz w:val="24"/>
          <w:szCs w:val="24"/>
          <w:highlight w:val="none"/>
          <w:lang w:eastAsia="zh-CN"/>
        </w:rPr>
        <w:t>，</w:t>
      </w:r>
      <w:r>
        <w:rPr>
          <w:rFonts w:hint="eastAsia" w:ascii="楷体_GB2312" w:hAnsi="宋体" w:eastAsia="楷体_GB2312" w:cs="Times New Roman"/>
          <w:color w:val="000000"/>
          <w:sz w:val="24"/>
          <w:szCs w:val="24"/>
          <w:highlight w:val="none"/>
          <w:lang w:val="en-US" w:eastAsia="zh-CN"/>
        </w:rPr>
        <w:t>且</w:t>
      </w:r>
      <w:r>
        <w:rPr>
          <w:rFonts w:hint="eastAsia" w:ascii="楷体_GB2312" w:hAnsi="宋体" w:eastAsia="楷体_GB2312" w:cs="Times New Roman"/>
          <w:color w:val="000000"/>
          <w:sz w:val="24"/>
          <w:szCs w:val="24"/>
          <w:highlight w:val="none"/>
        </w:rPr>
        <w:t>只能从事套期保值类衍生产品交易</w:t>
      </w:r>
      <w:r>
        <w:rPr>
          <w:rFonts w:hint="eastAsia" w:ascii="楷体_GB2312" w:hAnsi="宋体" w:eastAsia="楷体_GB2312" w:cs="Times New Roman"/>
          <w:color w:val="000000"/>
          <w:sz w:val="24"/>
          <w:szCs w:val="24"/>
          <w:highlight w:val="none"/>
          <w:lang w:eastAsia="zh-CN"/>
        </w:rPr>
        <w:t>。</w:t>
      </w:r>
    </w:p>
    <w:p>
      <w:pPr>
        <w:ind w:firstLine="480" w:firstLineChars="200"/>
        <w:rPr>
          <w:rFonts w:hint="eastAsia" w:ascii="楷体_GB2312" w:hAnsi="宋体" w:eastAsia="楷体_GB2312"/>
          <w:color w:val="000000"/>
          <w:sz w:val="24"/>
        </w:rPr>
      </w:pPr>
      <w:r>
        <w:rPr>
          <w:rFonts w:hint="eastAsia" w:ascii="楷体_GB2312" w:hAnsi="楷体" w:eastAsia="楷体_GB2312"/>
          <w:sz w:val="24"/>
        </w:rPr>
        <w:t>★</w:t>
      </w:r>
      <w:r>
        <w:rPr>
          <w:rFonts w:hint="eastAsia" w:ascii="楷体_GB2312" w:hAnsi="宋体" w:eastAsia="楷体_GB2312"/>
          <w:color w:val="000000"/>
          <w:sz w:val="24"/>
        </w:rPr>
        <w:t>特别提示：</w:t>
      </w:r>
    </w:p>
    <w:p>
      <w:pPr>
        <w:numPr>
          <w:ilvl w:val="-1"/>
          <w:numId w:val="0"/>
        </w:numPr>
        <w:ind w:firstLine="480" w:firstLineChars="200"/>
        <w:rPr>
          <w:rFonts w:hint="eastAsia" w:ascii="楷体_GB2312" w:hAnsi="楷体" w:eastAsia="楷体_GB2312" w:cs="Times New Roman"/>
          <w:sz w:val="24"/>
        </w:rPr>
      </w:pPr>
      <w:r>
        <w:rPr>
          <w:rFonts w:hint="eastAsia" w:ascii="楷体_GB2312" w:hAnsi="宋体" w:eastAsia="楷体_GB2312"/>
          <w:color w:val="000000"/>
          <w:sz w:val="24"/>
          <w:lang w:val="en-US" w:eastAsia="zh-CN"/>
        </w:rPr>
        <w:t>1.</w:t>
      </w:r>
      <w:r>
        <w:rPr>
          <w:rFonts w:hint="eastAsia" w:ascii="楷体_GB2312" w:hAnsi="楷体" w:eastAsia="楷体_GB2312" w:cs="Times New Roman"/>
          <w:sz w:val="24"/>
        </w:rPr>
        <w:t>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numPr>
          <w:ilvl w:val="-1"/>
          <w:numId w:val="0"/>
        </w:numPr>
        <w:ind w:firstLine="480" w:firstLineChars="200"/>
        <w:rPr>
          <w:rFonts w:hint="eastAsia" w:ascii="楷体_GB2312" w:hAnsi="楷体" w:eastAsia="楷体_GB2312"/>
          <w:sz w:val="24"/>
        </w:rPr>
      </w:pPr>
      <w:r>
        <w:rPr>
          <w:rFonts w:hint="eastAsia" w:ascii="楷体_GB2312" w:hAnsi="楷体" w:eastAsia="楷体_GB2312" w:cs="Times New Roman"/>
          <w:sz w:val="24"/>
          <w:lang w:val="en-US" w:eastAsia="zh-CN"/>
        </w:rPr>
        <w:t>2.</w:t>
      </w:r>
      <w:r>
        <w:rPr>
          <w:rFonts w:hint="eastAsia" w:ascii="楷体_GB2312" w:hAnsi="楷体" w:eastAsia="楷体_GB2312" w:cs="Times New Roman"/>
          <w:sz w:val="24"/>
        </w:rPr>
        <w:t>在本理财产品存续期内，金融市场发生重大变化导致前述投资比例暂时超出浮动区间且可能对本理财产品收益产生重大影响的，产品管理人将根据本理财产品销售文件约定向投资者进行信息披露；</w:t>
      </w:r>
    </w:p>
    <w:p>
      <w:pPr>
        <w:numPr>
          <w:ilvl w:val="-1"/>
          <w:numId w:val="0"/>
        </w:numPr>
        <w:ind w:firstLine="480" w:firstLineChars="200"/>
        <w:rPr>
          <w:rFonts w:ascii="楷体_GB2312" w:hAnsi="宋体" w:eastAsia="楷体_GB2312"/>
          <w:color w:val="000000"/>
          <w:sz w:val="24"/>
        </w:rPr>
      </w:pPr>
      <w:r>
        <w:rPr>
          <w:rFonts w:hint="eastAsia" w:ascii="楷体_GB2312" w:hAnsi="楷体" w:eastAsia="楷体_GB2312" w:cs="Times New Roman"/>
          <w:sz w:val="24"/>
          <w:lang w:val="en-US" w:eastAsia="zh-CN"/>
        </w:rPr>
        <w:t>3.</w:t>
      </w:r>
      <w:r>
        <w:rPr>
          <w:rFonts w:hint="eastAsia" w:ascii="楷体_GB2312" w:hAnsi="楷体" w:eastAsia="楷体_GB2312" w:cs="Times New Roman"/>
          <w:sz w:val="24"/>
        </w:rPr>
        <w:t>本理财产品将会在产品成立日之后的</w:t>
      </w:r>
      <w:r>
        <w:rPr>
          <w:rFonts w:hint="eastAsia" w:ascii="楷体_GB2312" w:hAnsi="楷体" w:eastAsia="楷体_GB2312" w:cs="Times New Roman"/>
          <w:sz w:val="24"/>
          <w:lang w:val="en-US" w:eastAsia="zh-CN"/>
        </w:rPr>
        <w:t>5个交易日内使资产配置比例符合上述规定</w:t>
      </w:r>
      <w:r>
        <w:rPr>
          <w:rFonts w:hint="eastAsia" w:ascii="楷体_GB2312" w:hAnsi="楷体" w:eastAsia="楷体_GB2312" w:cs="Times New Roman"/>
          <w:sz w:val="24"/>
        </w:rPr>
        <w:t>。</w:t>
      </w:r>
    </w:p>
    <w:p>
      <w:pPr>
        <w:ind w:firstLine="480" w:firstLineChars="200"/>
        <w:rPr>
          <w:rFonts w:ascii="楷体_GB2312" w:hAnsi="宋体" w:eastAsia="楷体_GB2312"/>
          <w:color w:val="000000"/>
          <w:sz w:val="24"/>
        </w:rPr>
      </w:pPr>
      <w:r>
        <w:rPr>
          <w:rFonts w:ascii="楷体_GB2312" w:hAnsi="宋体" w:eastAsia="楷体_GB2312"/>
          <w:color w:val="000000"/>
          <w:sz w:val="24"/>
        </w:rPr>
        <w:t>（</w:t>
      </w:r>
      <w:r>
        <w:rPr>
          <w:rFonts w:hint="eastAsia" w:ascii="楷体_GB2312" w:hAnsi="宋体" w:eastAsia="楷体_GB2312"/>
          <w:color w:val="000000"/>
          <w:sz w:val="24"/>
        </w:rPr>
        <w:t>三</w:t>
      </w:r>
      <w:r>
        <w:rPr>
          <w:rFonts w:ascii="楷体_GB2312" w:hAnsi="宋体" w:eastAsia="楷体_GB2312"/>
          <w:color w:val="000000"/>
          <w:sz w:val="24"/>
        </w:rPr>
        <w:t>）投资策略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本理财产品在综合分析国家宏观经济形势、财政以及货币政策的基础上，采用“配置为主、交易增强”的投资策略，产品运作期间，视资金成本情况，适度采用杠杆策略，以获取超额收益。</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1.</w:t>
      </w:r>
      <w:r>
        <w:rPr>
          <w:rFonts w:hint="eastAsia" w:ascii="楷体_GB2312" w:hAnsi="宋体" w:eastAsia="楷体_GB2312" w:cs="Times New Roman"/>
          <w:color w:val="000000"/>
          <w:sz w:val="24"/>
        </w:rPr>
        <w:t>资产配置策略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从宏观环境、政策因素、资金供求因素、证券市场基本面等角度进行综合分析，判断各类资产的市场趋势和预期风险收益，在严格控制风险的前提下，确定投资组合在债券、基金、现金、衍生工具等资产类别的投资比例，并根据宏观经济形势和市场时机的变化适时进行动态调整。</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2.</w:t>
      </w:r>
      <w:r>
        <w:rPr>
          <w:rFonts w:hint="eastAsia" w:ascii="楷体_GB2312" w:hAnsi="宋体" w:eastAsia="楷体_GB2312" w:cs="Times New Roman"/>
          <w:color w:val="000000"/>
          <w:sz w:val="24"/>
        </w:rPr>
        <w:t>信用投资策略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根据</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管理人的内部信用评级标准，辅以外部信用评级，研究债权资产发行主体的信用状况，平衡风险与收益选择信用风险适当的主体和券种作为投资对象。</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3.</w:t>
      </w:r>
      <w:r>
        <w:rPr>
          <w:rFonts w:hint="eastAsia" w:ascii="楷体_GB2312" w:hAnsi="宋体" w:eastAsia="楷体_GB2312" w:cs="Times New Roman"/>
          <w:color w:val="000000"/>
          <w:sz w:val="24"/>
        </w:rPr>
        <w:t>久期配置策略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本理财产品将基于对市场利率变化趋势的预判，分析债券市场的反映，并据此对债券组合的久期进行调整，从而获取利率下行导致债券价格上升带来的收益，并缓解利率上行导致债券价格下降的风险。</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杠杆配置策略</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管理人根据对未来资金成本预测，通过融入短期资金，适度运用杠杆策略增厚组合收益，从而获得杠杆放大收益；</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管理人将根据市场利率水平以及对利率期限结构的预期等，对杠杆比例适时进行调整，尽可能平滑投资组合的净值波动。</w:t>
      </w:r>
    </w:p>
    <w:p>
      <w:pPr>
        <w:ind w:firstLine="480" w:firstLineChars="200"/>
        <w:rPr>
          <w:rFonts w:hint="eastAsia"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5.衍生品对冲策略</w:t>
      </w:r>
    </w:p>
    <w:p>
      <w:pPr>
        <w:ind w:firstLine="480" w:firstLineChars="200"/>
        <w:rPr>
          <w:rFonts w:hint="default"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产品管理人根据对未来市场利率走势的判断，择机使用一定仓位的衍生品对冲，以期降低组合的久期暴露从而减少净值波动。</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（四）投资限制</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1.本理财产品投资于单只证券或者单只公募证券投资基金的市值不得超过本理财产品净资产的10%。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本理财产品</w:t>
      </w:r>
      <w:r>
        <w:rPr>
          <w:rFonts w:hint="eastAsia" w:ascii="楷体_GB2312" w:hAnsi="宋体" w:eastAsia="楷体_GB2312"/>
          <w:color w:val="000000"/>
          <w:sz w:val="24"/>
        </w:rPr>
        <w:t>的杠杆水平不得超过</w:t>
      </w:r>
      <w:r>
        <w:rPr>
          <w:rFonts w:hint="eastAsia" w:ascii="楷体_GB2312" w:hAnsi="宋体" w:eastAsia="楷体_GB2312" w:cs="Times New Roman"/>
          <w:color w:val="000000"/>
          <w:sz w:val="24"/>
        </w:rPr>
        <w:t>140%。</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lang w:val="en-US" w:eastAsia="zh-CN"/>
        </w:rPr>
        <w:t>5.本理财产品持有</w:t>
      </w:r>
      <w:r>
        <w:rPr>
          <w:rFonts w:hint="eastAsia" w:ascii="楷体_GB2312" w:hAnsi="宋体" w:eastAsia="楷体_GB2312" w:cs="Times New Roman"/>
          <w:color w:val="000000"/>
          <w:sz w:val="24"/>
        </w:rPr>
        <w:t>现金或者到期日在一年以内的国债、中央银行票据和政策性金融债券</w:t>
      </w:r>
      <w:r>
        <w:rPr>
          <w:rFonts w:hint="eastAsia" w:ascii="楷体_GB2312" w:hAnsi="宋体" w:eastAsia="楷体_GB2312" w:cs="Times New Roman"/>
          <w:color w:val="000000"/>
          <w:sz w:val="24"/>
          <w:lang w:val="en-US" w:eastAsia="zh-CN"/>
        </w:rPr>
        <w:t>的比例不低于本</w:t>
      </w:r>
      <w:r>
        <w:rPr>
          <w:rFonts w:hint="eastAsia" w:ascii="楷体_GB2312" w:hAnsi="宋体" w:eastAsia="楷体_GB2312" w:cs="Times New Roman"/>
          <w:color w:val="000000"/>
          <w:sz w:val="24"/>
        </w:rPr>
        <w:t>理财产品资产净值</w:t>
      </w:r>
      <w:r>
        <w:rPr>
          <w:rFonts w:hint="eastAsia" w:ascii="楷体_GB2312" w:hAnsi="宋体" w:eastAsia="楷体_GB2312" w:cs="Times New Roman"/>
          <w:color w:val="000000"/>
          <w:sz w:val="24"/>
          <w:lang w:val="en-US" w:eastAsia="zh-CN"/>
        </w:rPr>
        <w:t>的</w:t>
      </w:r>
      <w:r>
        <w:rPr>
          <w:rFonts w:hint="eastAsia" w:ascii="楷体_GB2312" w:hAnsi="宋体" w:eastAsia="楷体_GB2312" w:cs="Times New Roman"/>
          <w:color w:val="000000"/>
          <w:sz w:val="24"/>
        </w:rPr>
        <w:t>5%</w:t>
      </w:r>
      <w:r>
        <w:rPr>
          <w:rFonts w:hint="eastAsia" w:ascii="楷体_GB2312" w:hAnsi="宋体" w:eastAsia="楷体_GB2312" w:cs="Times New Roman"/>
          <w:color w:val="000000"/>
          <w:sz w:val="24"/>
          <w:lang w:eastAsia="zh-CN"/>
        </w:rPr>
        <w:t>。</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6.本</w:t>
      </w:r>
      <w:r>
        <w:rPr>
          <w:rFonts w:hint="eastAsia" w:ascii="楷体_GB2312" w:hAnsi="宋体" w:eastAsia="楷体_GB2312" w:cs="Times New Roman"/>
          <w:color w:val="000000"/>
          <w:sz w:val="24"/>
        </w:rPr>
        <w:t>理财产品直接投资于流动性受限资产的市值在开放日不得超过</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理财产品资产净值的15%。</w:t>
      </w:r>
    </w:p>
    <w:p>
      <w:pPr>
        <w:ind w:firstLine="480" w:firstLineChars="200"/>
        <w:rPr>
          <w:rFonts w:hint="default"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7.</w:t>
      </w:r>
      <w:r>
        <w:rPr>
          <w:rFonts w:hint="eastAsia" w:ascii="楷体_GB2312" w:hAnsi="宋体" w:eastAsia="楷体_GB2312" w:cs="Times New Roman"/>
          <w:color w:val="000000"/>
          <w:sz w:val="24"/>
        </w:rPr>
        <w:t>在开放日前一工作日内，</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理财产品7个工作日可变现资产的可变现价值应当不低于</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理财产品资产净值的10%。</w:t>
      </w:r>
    </w:p>
    <w:p>
      <w:pPr>
        <w:ind w:firstLine="480" w:firstLineChars="200"/>
        <w:rPr>
          <w:rFonts w:hint="eastAsia" w:ascii="楷体_GB2312" w:hAnsi="宋体" w:eastAsia="楷体_GB2312" w:cs="Times New Roman"/>
          <w:color w:val="000000"/>
          <w:sz w:val="24"/>
          <w:lang w:val="en-US" w:eastAsia="zh-CN"/>
        </w:rPr>
      </w:pPr>
      <w:r>
        <w:rPr>
          <w:rFonts w:hint="eastAsia" w:ascii="楷体_GB2312" w:hAnsi="宋体" w:eastAsia="楷体_GB2312" w:cs="Times New Roman"/>
          <w:color w:val="000000"/>
          <w:sz w:val="24"/>
          <w:lang w:val="en-US" w:eastAsia="zh-CN"/>
        </w:rPr>
        <w:t>8.本理财产品投资于</w:t>
      </w:r>
      <w:r>
        <w:rPr>
          <w:rFonts w:hint="eastAsia" w:ascii="楷体_GB2312" w:hAnsi="宋体" w:eastAsia="楷体_GB2312" w:cs="Times New Roman"/>
          <w:color w:val="000000"/>
          <w:sz w:val="24"/>
        </w:rPr>
        <w:t>不存在活跃交易市场并且需要采用估值技术确定公允价值的资产</w:t>
      </w:r>
      <w:r>
        <w:rPr>
          <w:rFonts w:hint="eastAsia" w:ascii="楷体_GB2312" w:hAnsi="宋体" w:eastAsia="楷体_GB2312" w:cs="Times New Roman"/>
          <w:color w:val="000000"/>
          <w:sz w:val="24"/>
          <w:lang w:val="en-US" w:eastAsia="zh-CN"/>
        </w:rPr>
        <w:t>的比例应低于本理财产品净资产的50%。</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lang w:val="en-US" w:eastAsia="zh-CN"/>
        </w:rPr>
        <w:t>9.</w:t>
      </w:r>
      <w:bookmarkStart w:id="1" w:name="_Hlk146066476"/>
      <w:r>
        <w:rPr>
          <w:rFonts w:hint="eastAsia" w:ascii="楷体_GB2312" w:hAnsi="宋体" w:eastAsia="楷体_GB2312" w:cs="Times New Roman"/>
          <w:color w:val="000000"/>
          <w:sz w:val="24"/>
        </w:rPr>
        <w:t>法律法规及国家金融监督管理总局规定的其他投资限制。</w:t>
      </w:r>
      <w:bookmarkEnd w:id="1"/>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★特别提示：</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1.</w:t>
      </w:r>
      <w:r>
        <w:rPr>
          <w:rFonts w:hint="eastAsia" w:ascii="楷体_GB2312" w:hAnsi="宋体" w:eastAsia="楷体_GB2312" w:cs="Times New Roman"/>
          <w:color w:val="000000"/>
          <w:sz w:val="24"/>
        </w:rPr>
        <w:t>非因产品管理人主观因素导致本理财产品突破前述第1、2、3点比例限制的，本理财产品的产品管理人将在所投资的流动性受限资产可出售、可转让或者恢复交易之日起10个交易日内调整至符合上述投资限制。</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2.因证券市场波动、上市公司股票停牌、理财产品规模变动等因素导致</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理财产品不符合第</w:t>
      </w:r>
      <w:r>
        <w:rPr>
          <w:rFonts w:hint="eastAsia" w:ascii="楷体_GB2312" w:hAnsi="宋体" w:eastAsia="楷体_GB2312" w:cs="Times New Roman"/>
          <w:color w:val="000000"/>
          <w:sz w:val="24"/>
          <w:lang w:val="en-US" w:eastAsia="zh-CN"/>
        </w:rPr>
        <w:t>6</w:t>
      </w:r>
      <w:r>
        <w:rPr>
          <w:rFonts w:hint="eastAsia" w:ascii="楷体_GB2312" w:hAnsi="宋体" w:eastAsia="楷体_GB2312" w:cs="Times New Roman"/>
          <w:color w:val="000000"/>
          <w:sz w:val="24"/>
        </w:rPr>
        <w:t>点比例限制的，产品管理人不得主动新增投资流动性受限资产。</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3.</w:t>
      </w:r>
      <w:r>
        <w:rPr>
          <w:rFonts w:hint="eastAsia" w:ascii="楷体_GB2312" w:hAnsi="宋体" w:eastAsia="楷体_GB2312" w:cs="Times New Roman"/>
          <w:color w:val="000000"/>
          <w:sz w:val="24"/>
        </w:rPr>
        <w:t>非因产品管理人主观因素导致本理财产品突破前述第</w:t>
      </w:r>
      <w:r>
        <w:rPr>
          <w:rFonts w:hint="eastAsia" w:ascii="楷体_GB2312" w:hAnsi="宋体" w:eastAsia="楷体_GB2312" w:cs="Times New Roman"/>
          <w:color w:val="000000"/>
          <w:sz w:val="24"/>
          <w:lang w:val="en-US" w:eastAsia="zh-CN"/>
        </w:rPr>
        <w:t>8</w:t>
      </w:r>
      <w:r>
        <w:rPr>
          <w:rFonts w:hint="eastAsia" w:ascii="楷体_GB2312" w:hAnsi="宋体" w:eastAsia="楷体_GB2312" w:cs="Times New Roman"/>
          <w:color w:val="000000"/>
          <w:sz w:val="24"/>
        </w:rPr>
        <w:t>点比例限制的</w:t>
      </w:r>
      <w:r>
        <w:rPr>
          <w:rFonts w:hint="eastAsia" w:ascii="楷体_GB2312" w:hAnsi="宋体" w:eastAsia="楷体_GB2312" w:cs="Times New Roman"/>
          <w:color w:val="000000"/>
          <w:sz w:val="24"/>
          <w:lang w:eastAsia="zh-CN"/>
        </w:rPr>
        <w:t>，</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理财产品不得新增投资不存在活跃交易市场并且需要采用估值技术确定公允价值的资产。</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lang w:val="en-US" w:eastAsia="zh-CN"/>
        </w:rPr>
        <w:t>4.</w:t>
      </w:r>
      <w:r>
        <w:rPr>
          <w:rFonts w:hint="eastAsia" w:ascii="楷体_GB2312" w:hAnsi="宋体" w:eastAsia="楷体_GB2312" w:cs="Times New Roman"/>
          <w:color w:val="000000"/>
          <w:sz w:val="24"/>
        </w:rPr>
        <w:t>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（五）投资目标</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ascii="楷体_GB2312" w:hAnsi="宋体" w:eastAsia="楷体_GB2312"/>
          <w:color w:val="000000"/>
          <w:sz w:val="24"/>
        </w:rPr>
      </w:pPr>
      <w:r>
        <w:rPr>
          <w:rFonts w:ascii="楷体_GB2312" w:hAnsi="宋体" w:eastAsia="楷体_GB2312"/>
          <w:color w:val="000000"/>
          <w:sz w:val="24"/>
        </w:rPr>
        <w:t>以投资价值分析为基础，宏观与微观、定性与定量相结合，进行主动式管理，在追求理财投资资产稳定增值的基础上，为投资者获得较高的收益。</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2"/>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本理财产品投资于</w:t>
      </w:r>
      <w:r>
        <w:rPr>
          <w:rFonts w:hint="eastAsia" w:ascii="楷体_GB2312" w:hAnsi="宋体" w:eastAsia="楷体_GB2312"/>
          <w:color w:val="000000"/>
          <w:sz w:val="24"/>
          <w:highlight w:val="none"/>
          <w:lang w:val="en-US" w:eastAsia="zh-CN"/>
        </w:rPr>
        <w:t>境内外市场发行的</w:t>
      </w:r>
      <w:r>
        <w:rPr>
          <w:rFonts w:hint="eastAsia" w:ascii="楷体_GB2312" w:hAnsi="宋体" w:eastAsia="楷体_GB2312"/>
          <w:color w:val="000000"/>
          <w:sz w:val="24"/>
          <w:highlight w:val="none"/>
          <w:lang w:eastAsia="zh-CN"/>
        </w:rPr>
        <w:t>固定收益类资产、</w:t>
      </w:r>
      <w:r>
        <w:rPr>
          <w:rFonts w:hint="eastAsia" w:ascii="楷体_GB2312" w:hAnsi="宋体" w:eastAsia="楷体_GB2312"/>
          <w:color w:val="000000"/>
          <w:sz w:val="24"/>
          <w:highlight w:val="none"/>
          <w:lang w:val="en-US" w:eastAsia="zh-CN"/>
        </w:rPr>
        <w:t>权益类资产</w:t>
      </w:r>
      <w:r>
        <w:rPr>
          <w:rFonts w:hint="eastAsia" w:ascii="楷体_GB2312" w:hAnsi="宋体" w:eastAsia="楷体_GB2312"/>
          <w:color w:val="000000"/>
          <w:sz w:val="24"/>
          <w:highlight w:val="none"/>
          <w:lang w:eastAsia="zh-CN"/>
        </w:rPr>
        <w:t>和商品及金融衍生品类资产，面临的主要风险为市场风险、流动性风险、信用风险、衍生风险和其他风险。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1.市场风险分析及市场风险控制措施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（1）本理财产品投资结构根据投资决策委员会的相关决策执行，定期召开资产配置会议，调整投资策略，调整债券组合久期，控制市场风险。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2.流动性风险分析及流动性风险控制措施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风险分析：流动性风险是指理财产品无法通过变现资产等途径以合理成本及时获得充足资金，用于满足该理财产品的投资者赎回需求、履行其他支付义务的风险。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（1）严格执行资管新规和流动性新规的要求，本理财产品的产品管理人将定期评估投资组合的流动性风险水平，使得流动性资产配置比例保持在适当水平下，综合匹配投资收益和产品期限设置。</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为防范和应对本理财产品发生流动性风险事件，产品管理人可启用下列措施：①设定单一投资者持有金额上限；②巨额赎回情形下产品管理人有权采取全额赎回、部分赎回等措施；③拒绝或暂停申购；④拒绝或暂停赎回；⑤延期办理赎回申请；⑥延缓支付赎回款项；⑦收取短期赎回费；⑧暂停理财产品估值；⑨国家金融监督管理总局规定的其他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3.信用风险分析及信用风险控制措施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（1）产品管理人建立投前、投中、投后信用风险管理体系，严格遵照“三道防线”相关要求开展信用债投后管理各项工作，通过下列措施严控信用风险：</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①定期宏观基本面的跟踪分析：监控基本面关键指标、各行业基本面指标以及债券细分敞口溢价走势，研判个券信用风险，在此基础上形成产品债券投资备选库。</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（2）发生信用风险的债券通过折价卖出或破产清算回收部分本金。</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4.衍生风险分析及衍生风险控制措施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风险分析：本理财产品所投资的衍生金融工具可能面临市场风险、基差风险、流动性风险、政策风险和交易对手不能履约等风险，在最不利的情况下，可能会损失投资该衍生品对应的部分甚至全部本金。</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风险控制措施：持续跟踪并分析潜在的市场、流动性、交易对手等风险，设计相匹配的风险管理策略，合理控制衍生风险敞口。建立监测与报告机制，评估风险管理效果，持续优化投资策略。</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5.其他风险分析及风险控制措施</w:t>
      </w:r>
    </w:p>
    <w:p>
      <w:pPr>
        <w:pStyle w:val="2"/>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风险分析：本理财产品的其他风险主要包括操作风险、管理风险以及可能面临的一些特殊风险。</w:t>
      </w:r>
    </w:p>
    <w:p>
      <w:pPr>
        <w:pStyle w:val="2"/>
        <w:ind w:left="0" w:leftChars="0" w:firstLine="480" w:firstLineChars="200"/>
        <w:rPr>
          <w:rFonts w:ascii="楷体_GB2312" w:hAnsi="宋体" w:eastAsia="楷体_GB2312"/>
          <w:color w:val="000000"/>
          <w:sz w:val="24"/>
        </w:rPr>
      </w:pPr>
      <w:r>
        <w:rPr>
          <w:rFonts w:hint="eastAsia" w:ascii="楷体_GB2312" w:hAnsi="宋体" w:eastAsia="楷体_GB2312"/>
          <w:color w:val="000000"/>
          <w:sz w:val="24"/>
          <w:highlight w:val="none"/>
          <w:lang w:eastAsia="zh-CN"/>
        </w:rPr>
        <w:t>风险控制措施：对本理财产品面临的其他风险，由北银理财相关部门进行识别、测量、分析、监控、报告和管理工作，设定投资风险管理要求、风险策略、 风险管理指标、风险限额等，并追踪执行情况。</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五、产品的</w:t>
      </w:r>
      <w:r>
        <w:rPr>
          <w:rFonts w:hint="eastAsia" w:ascii="楷体_GB2312" w:hAnsi="宋体" w:eastAsia="楷体_GB2312"/>
          <w:b/>
          <w:color w:val="000000"/>
          <w:sz w:val="24"/>
          <w:highlight w:val="none"/>
          <w:lang w:val="en-US" w:eastAsia="zh-CN"/>
        </w:rPr>
        <w:t>募集</w:t>
      </w:r>
      <w:r>
        <w:rPr>
          <w:rFonts w:hint="eastAsia" w:ascii="楷体_GB2312" w:hAnsi="宋体" w:eastAsia="楷体_GB2312"/>
          <w:b/>
          <w:color w:val="000000"/>
          <w:sz w:val="24"/>
          <w:highlight w:val="none"/>
        </w:rPr>
        <w:t>和</w:t>
      </w:r>
      <w:r>
        <w:rPr>
          <w:rFonts w:hint="eastAsia" w:ascii="楷体_GB2312" w:hAnsi="宋体" w:eastAsia="楷体_GB2312"/>
          <w:b/>
          <w:color w:val="000000"/>
          <w:sz w:val="24"/>
          <w:highlight w:val="none"/>
          <w:lang w:val="en-US" w:eastAsia="zh-CN"/>
        </w:rPr>
        <w:t>认购</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（一）投资者在指定向北银理财申请购买本理财产品销售文件项下的理财产品时应已经在代销机构开立活期存款账户。</w:t>
      </w:r>
    </w:p>
    <w:p>
      <w:pPr>
        <w:ind w:firstLine="480" w:firstLineChars="200"/>
        <w:rPr>
          <w:highlight w:val="none"/>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投资者应指定其开立在代销机构的相关账户作为清算账户。该账户用于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和投资者之间根据本理财产品销售文件办理的投资金额与清算分配金额等款项收付。投资者同意，代销机构制作的该账户收款、付款记录是证明该账户项下款项收付的有效凭证。</w:t>
      </w:r>
    </w:p>
    <w:p>
      <w:pPr>
        <w:snapToGrid/>
        <w:ind w:firstLine="480" w:firstLineChars="200"/>
        <w:rPr>
          <w:rFonts w:hint="eastAsia" w:ascii="楷体_GB2312" w:hAnsi="宋体" w:eastAsia="楷体_GB2312"/>
          <w:color w:val="000000"/>
          <w:sz w:val="24"/>
          <w:lang w:val="en-US" w:eastAsia="zh-CN"/>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认购金额要求：投资者购买本理财产品</w:t>
      </w:r>
      <w:r>
        <w:rPr>
          <w:rFonts w:hint="eastAsia" w:ascii="楷体_GB2312" w:hAnsi="宋体" w:eastAsia="楷体_GB2312"/>
          <w:color w:val="auto"/>
          <w:sz w:val="24"/>
          <w:highlight w:val="none"/>
          <w:lang w:val="en-US" w:eastAsia="zh-CN"/>
        </w:rPr>
        <w:t>A</w:t>
      </w:r>
      <w:r>
        <w:rPr>
          <w:rFonts w:hint="eastAsia" w:ascii="楷体_GB2312" w:hAnsi="宋体" w:eastAsia="楷体_GB2312"/>
          <w:color w:val="000000"/>
          <w:sz w:val="24"/>
          <w:highlight w:val="none"/>
        </w:rPr>
        <w:t>类份额的投资起点为人民币</w:t>
      </w:r>
      <w:r>
        <w:rPr>
          <w:rFonts w:hint="eastAsia"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rPr>
        <w:t>元</w:t>
      </w:r>
      <w:r>
        <w:rPr>
          <w:rFonts w:hint="eastAsia" w:ascii="楷体_GB2312" w:hAnsi="宋体" w:eastAsia="楷体_GB2312"/>
          <w:color w:val="000000"/>
          <w:sz w:val="24"/>
          <w:highlight w:val="none"/>
        </w:rPr>
        <w:t>，并以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r>
        <w:rPr>
          <w:rFonts w:hint="eastAsia" w:ascii="楷体_GB2312" w:eastAsia="楷体_GB2312"/>
          <w:bCs/>
          <w:color w:val="000000"/>
          <w:sz w:val="24"/>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）认购份额的计算：认购份额=认购金额/产品单位面值，</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日的</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单位面值为1</w:t>
      </w:r>
      <w:r>
        <w:rPr>
          <w:rFonts w:hint="default" w:ascii="楷体_GB2312" w:hAnsi="宋体" w:eastAsia="楷体_GB2312"/>
          <w:color w:val="000000"/>
          <w:sz w:val="24"/>
          <w:highlight w:val="none"/>
          <w:lang w:val="en-US"/>
        </w:rPr>
        <w:t>.00</w:t>
      </w:r>
      <w:r>
        <w:rPr>
          <w:rFonts w:hint="eastAsia" w:ascii="楷体_GB2312" w:hAnsi="宋体" w:eastAsia="楷体_GB2312"/>
          <w:color w:val="000000"/>
          <w:sz w:val="24"/>
          <w:highlight w:val="none"/>
          <w:lang w:val="en-US" w:eastAsia="zh-CN"/>
        </w:rPr>
        <w:t>元</w:t>
      </w:r>
      <w:r>
        <w:rPr>
          <w:rFonts w:hint="eastAsia" w:ascii="楷体_GB2312" w:hAnsi="宋体" w:eastAsia="楷体_GB2312"/>
          <w:color w:val="000000"/>
          <w:sz w:val="24"/>
          <w:highlight w:val="none"/>
        </w:rPr>
        <w:t>，</w:t>
      </w:r>
      <w:r>
        <w:rPr>
          <w:rFonts w:hint="eastAsia" w:ascii="楷体_GB2312" w:hAnsi="仿宋" w:eastAsia="楷体_GB2312"/>
          <w:color w:val="000000"/>
          <w:sz w:val="24"/>
          <w:highlight w:val="none"/>
        </w:rPr>
        <w:t>认购份额以四舍五入的方法保留到小数点后两位。</w:t>
      </w:r>
      <w:r>
        <w:rPr>
          <w:rFonts w:hint="eastAsia" w:ascii="楷体_GB2312" w:hAnsi="宋体" w:eastAsia="楷体_GB2312"/>
          <w:color w:val="000000"/>
          <w:sz w:val="24"/>
          <w:highlight w:val="none"/>
        </w:rPr>
        <w:t>实际认购份额以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确认的份额为准。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认购费用：</w:t>
      </w: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产品暂不收取认购费</w:t>
      </w:r>
      <w:r>
        <w:rPr>
          <w:rFonts w:hint="eastAsia" w:ascii="楷体_GB2312" w:hAnsi="Arial" w:eastAsia="楷体_GB2312"/>
          <w:color w:val="000000"/>
          <w:sz w:val="24"/>
          <w:highlight w:val="none"/>
          <w:lang w:val="en-US" w:eastAsia="zh-CN"/>
        </w:rPr>
        <w:t>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rPr>
        <w:t>）受理时间和确认时间：投资者可在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产品募集期</w:t>
      </w:r>
      <w:r>
        <w:rPr>
          <w:rFonts w:hint="eastAsia" w:ascii="楷体_GB2312" w:hAnsi="宋体" w:eastAsia="楷体_GB2312"/>
          <w:color w:val="000000"/>
          <w:sz w:val="24"/>
          <w:highlight w:val="none"/>
          <w:lang w:val="en-US" w:eastAsia="zh-CN"/>
        </w:rPr>
        <w:t>规定时间</w:t>
      </w:r>
      <w:r>
        <w:rPr>
          <w:rFonts w:hint="eastAsia" w:ascii="楷体_GB2312" w:hAnsi="宋体" w:eastAsia="楷体_GB2312"/>
          <w:color w:val="000000"/>
          <w:sz w:val="24"/>
          <w:highlight w:val="none"/>
        </w:rPr>
        <w:t>内购买本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产品，投资者认购资金将被实时冻结，并于</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产品成立日由代销机构划款，</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产品成立日确认产品份额。</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七</w:t>
      </w:r>
      <w:r>
        <w:rPr>
          <w:rFonts w:hint="eastAsia" w:ascii="楷体_GB2312" w:hAnsi="宋体" w:eastAsia="楷体_GB2312"/>
          <w:color w:val="000000"/>
          <w:sz w:val="24"/>
          <w:highlight w:val="none"/>
        </w:rPr>
        <w:t>）募集期的利息计算：募集期内，认购资金在投资者交存至投资者清算账户后，扣划之前按代销机构公布的人民币活期存款利率计算利息，该利息不作为认购资金扣收。</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）受理渠道：投资者可通过代销机构各营业网点、代销机构手机银行等电子渠道办理理财账户的开户手续，可通过代销机构各营业网点、代销机构手机银行等电子渠道办理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理财产品的购买手续</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具体</w:t>
      </w:r>
      <w:r>
        <w:rPr>
          <w:rFonts w:hint="eastAsia" w:ascii="楷体_GB2312" w:hAnsi="宋体" w:eastAsia="楷体_GB2312"/>
          <w:color w:val="000000"/>
          <w:sz w:val="24"/>
          <w:highlight w:val="none"/>
        </w:rPr>
        <w:t>以代销机构要求为准</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九</w:t>
      </w:r>
      <w:r>
        <w:rPr>
          <w:rFonts w:hint="eastAsia" w:ascii="楷体_GB2312" w:hAnsi="宋体" w:eastAsia="楷体_GB2312"/>
          <w:color w:val="000000"/>
          <w:sz w:val="24"/>
          <w:highlight w:val="none"/>
        </w:rPr>
        <w:t>）购买撤销：投资者可在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理财产品募集期最后一日的</w:t>
      </w:r>
      <w:r>
        <w:rPr>
          <w:rFonts w:hint="eastAsia" w:ascii="楷体_GB2312" w:hAnsi="宋体" w:eastAsia="楷体_GB2312"/>
          <w:color w:val="000000"/>
          <w:sz w:val="24"/>
          <w:highlight w:val="none"/>
          <w:lang w:val="en-US" w:eastAsia="zh-CN"/>
        </w:rPr>
        <w:t>17:00</w:t>
      </w:r>
      <w:r>
        <w:rPr>
          <w:rFonts w:hint="eastAsia" w:ascii="楷体_GB2312" w:hAnsi="宋体" w:eastAsia="楷体_GB2312"/>
          <w:color w:val="000000"/>
          <w:sz w:val="24"/>
          <w:highlight w:val="none"/>
        </w:rPr>
        <w:t>前撤销认购交易，撤销后的资金原则上将于</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highlight w:val="none"/>
        </w:rPr>
        <w:t>个工作日内到账，具体到账时间以代销机构提示为准。</w:t>
      </w:r>
      <w:r>
        <w:rPr>
          <w:rFonts w:hint="eastAsia" w:ascii="楷体_GB2312" w:hAnsi="宋体" w:eastAsia="楷体_GB2312"/>
          <w:b/>
          <w:bCs/>
          <w:color w:val="000000"/>
          <w:sz w:val="24"/>
          <w:highlight w:val="none"/>
          <w:u w:val="single"/>
          <w:lang w:val="en-US" w:eastAsia="zh-CN"/>
        </w:rPr>
        <w:t>本</w:t>
      </w:r>
      <w:r>
        <w:rPr>
          <w:rFonts w:hint="eastAsia" w:ascii="楷体_GB2312" w:hAnsi="宋体" w:eastAsia="楷体_GB2312"/>
          <w:b/>
          <w:bCs/>
          <w:color w:val="000000"/>
          <w:sz w:val="24"/>
          <w:highlight w:val="none"/>
          <w:u w:val="single"/>
        </w:rPr>
        <w:t>理财产品募集期结束后，投资者不能撤销购买</w:t>
      </w:r>
      <w:r>
        <w:rPr>
          <w:rFonts w:hint="eastAsia" w:ascii="楷体_GB2312" w:hAnsi="宋体" w:eastAsia="楷体_GB2312"/>
          <w:b/>
          <w:bCs/>
          <w:color w:val="000000"/>
          <w:sz w:val="24"/>
          <w:highlight w:val="none"/>
          <w:u w:val="single"/>
          <w:lang w:eastAsia="zh-CN"/>
        </w:rPr>
        <w:t>本理财产品</w:t>
      </w:r>
      <w:r>
        <w:rPr>
          <w:rFonts w:hint="eastAsia" w:ascii="楷体_GB2312" w:hAnsi="宋体" w:eastAsia="楷体_GB2312"/>
          <w:b/>
          <w:bCs/>
          <w:color w:val="000000"/>
          <w:sz w:val="24"/>
          <w:highlight w:val="none"/>
          <w:u w:val="singl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十</w:t>
      </w:r>
      <w:r>
        <w:rPr>
          <w:rFonts w:hint="eastAsia" w:ascii="楷体_GB2312" w:hAnsi="宋体" w:eastAsia="楷体_GB2312"/>
          <w:color w:val="000000"/>
          <w:sz w:val="24"/>
          <w:highlight w:val="none"/>
        </w:rPr>
        <w:t>）产品成立：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产品成立日起的</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highlight w:val="none"/>
        </w:rPr>
        <w:t>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六、产品的申购和赎回</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（一）申购/赎回规则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rPr>
        <w:t>1.本理财产品采用金额申购、份额赎回的原则，即申购以金额申请，赎回以份</w:t>
      </w:r>
      <w:r>
        <w:rPr>
          <w:rFonts w:hint="eastAsia" w:ascii="楷体_GB2312" w:hAnsi="宋体" w:eastAsia="楷体_GB2312"/>
          <w:color w:val="000000"/>
          <w:sz w:val="24"/>
          <w:highlight w:val="none"/>
        </w:rPr>
        <w:t>额申请。</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b w:val="0"/>
          <w:bCs w:val="0"/>
          <w:color w:val="000000"/>
          <w:sz w:val="24"/>
          <w:highlight w:val="none"/>
        </w:rPr>
        <w:t>投资者可在本理财产品开放日内提出</w:t>
      </w:r>
      <w:r>
        <w:rPr>
          <w:rFonts w:hint="eastAsia" w:ascii="楷体_GB2312" w:hAnsi="宋体" w:eastAsia="楷体_GB2312"/>
          <w:b w:val="0"/>
          <w:bCs w:val="0"/>
          <w:color w:val="000000"/>
          <w:sz w:val="24"/>
          <w:highlight w:val="none"/>
          <w:lang w:val="en-US" w:eastAsia="zh-CN"/>
        </w:rPr>
        <w:t>申购</w:t>
      </w:r>
      <w:r>
        <w:rPr>
          <w:rFonts w:hint="eastAsia" w:ascii="楷体_GB2312" w:hAnsi="宋体" w:eastAsia="楷体_GB2312"/>
          <w:b w:val="0"/>
          <w:bCs w:val="0"/>
          <w:color w:val="000000"/>
          <w:sz w:val="24"/>
          <w:highlight w:val="none"/>
        </w:rPr>
        <w:t>申请</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lang w:val="en-US" w:eastAsia="zh-CN"/>
        </w:rPr>
        <w:t>投资者可在每笔认购/申购的产品份额确认后于最低持有期结束日（含）及后续每个开放日提出赎回申请。最低持有期结束日如遇非开放日，则顺延至下一开放日。</w:t>
      </w:r>
      <w:r>
        <w:rPr>
          <w:rFonts w:hint="eastAsia" w:ascii="楷体_GB2312" w:hAnsi="宋体" w:eastAsia="楷体_GB2312"/>
          <w:b w:val="0"/>
          <w:bCs w:val="0"/>
          <w:color w:val="000000"/>
          <w:sz w:val="24"/>
          <w:highlight w:val="none"/>
        </w:rPr>
        <w:t>产品管理人公告暂停开放的日期除外。</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highlight w:val="none"/>
        </w:rPr>
        <w:t>投资者在</w:t>
      </w:r>
      <w:r>
        <w:rPr>
          <w:rFonts w:hint="eastAsia" w:ascii="楷体_GB2312" w:hAnsi="宋体" w:eastAsia="楷体_GB2312"/>
          <w:color w:val="000000"/>
          <w:sz w:val="24"/>
        </w:rPr>
        <w:t>开放日内提出的申购/赎回申请，在开放日17：00之前可以撤销，具体是否可撤销以代销机构提示为准。撤销后的申购资金将于</w:t>
      </w:r>
      <w:r>
        <w:rPr>
          <w:rFonts w:hint="eastAsia" w:ascii="楷体_GB2312" w:hAnsi="宋体" w:eastAsia="楷体_GB2312"/>
          <w:color w:val="auto"/>
          <w:sz w:val="24"/>
          <w:highlight w:val="none"/>
          <w:lang w:val="en-US" w:eastAsia="zh-CN"/>
        </w:rPr>
        <w:t>2</w:t>
      </w:r>
      <w:r>
        <w:rPr>
          <w:rFonts w:hint="eastAsia" w:ascii="楷体_GB2312" w:hAnsi="宋体" w:eastAsia="楷体_GB2312"/>
          <w:color w:val="000000"/>
          <w:sz w:val="24"/>
        </w:rPr>
        <w:t>个工作日内到账，具体到账时间以代销机构提示为准。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投资者在开放日内提出的申购/赎回申请，在开放日17：00之后不能撤销。</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3.投资者申购、赎回本理财产品时，采用“未知价原则”，即本理财产品申购申请和赎回申请提交时，适用的产品单位净值都是未知的。</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（二）申购/赎回的数额限制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rPr>
        <w:t>1.申购金额要求：</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A</w:t>
      </w:r>
      <w:r>
        <w:rPr>
          <w:rFonts w:hint="eastAsia" w:ascii="楷体_GB2312" w:hAnsi="宋体" w:eastAsia="楷体_GB2312"/>
          <w:color w:val="000000"/>
          <w:sz w:val="24"/>
          <w:highlight w:val="none"/>
        </w:rPr>
        <w:t>类份额申购起点金额为</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元，并以</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元为单位递增。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rPr>
        <w:t>2.赎回份额要求：</w:t>
      </w:r>
      <w:r>
        <w:rPr>
          <w:rFonts w:hint="eastAsia" w:ascii="楷体_GB2312" w:hAnsi="宋体" w:eastAsia="楷体_GB2312"/>
          <w:color w:val="000000"/>
          <w:sz w:val="24"/>
          <w:highlight w:val="none"/>
        </w:rPr>
        <w:t>投资者可以选择全部赎回或部分赎回本理财产品，本理财产品</w:t>
      </w:r>
      <w:r>
        <w:rPr>
          <w:rFonts w:hint="eastAsia" w:ascii="楷体_GB2312" w:hAnsi="宋体" w:eastAsia="楷体_GB2312"/>
          <w:color w:val="000000"/>
          <w:sz w:val="24"/>
          <w:highlight w:val="none"/>
          <w:lang w:val="en-US" w:eastAsia="zh-CN"/>
        </w:rPr>
        <w:t>A</w:t>
      </w:r>
      <w:r>
        <w:rPr>
          <w:rFonts w:ascii="楷体_GB2312" w:hAnsi="宋体" w:eastAsia="楷体_GB2312"/>
          <w:color w:val="000000"/>
          <w:sz w:val="24"/>
          <w:highlight w:val="none"/>
        </w:rPr>
        <w:t>类</w:t>
      </w:r>
      <w:r>
        <w:rPr>
          <w:rFonts w:hint="eastAsia" w:ascii="楷体_GB2312" w:hAnsi="宋体" w:eastAsia="楷体_GB2312"/>
          <w:color w:val="000000"/>
          <w:sz w:val="24"/>
          <w:highlight w:val="none"/>
        </w:rPr>
        <w:t>份额最低赎回份额为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份，投资者最低持有份额为</w:t>
      </w:r>
      <w:r>
        <w:rPr>
          <w:rFonts w:hint="eastAsia" w:ascii="楷体_GB2312" w:hAnsi="宋体" w:eastAsia="楷体_GB2312"/>
          <w:color w:val="000000"/>
          <w:sz w:val="24"/>
          <w:highlight w:val="none"/>
          <w:lang w:val="en-US" w:eastAsia="zh-CN"/>
        </w:rPr>
        <w:t>0.01</w:t>
      </w:r>
      <w:r>
        <w:rPr>
          <w:rFonts w:hint="eastAsia" w:ascii="楷体_GB2312" w:hAnsi="宋体" w:eastAsia="楷体_GB2312"/>
          <w:color w:val="000000"/>
          <w:sz w:val="24"/>
          <w:highlight w:val="none"/>
        </w:rPr>
        <w:t>份。若投资者申请部分赎回后，其持有的剩余产品份额少于</w:t>
      </w:r>
      <w:r>
        <w:rPr>
          <w:rFonts w:hint="eastAsia" w:ascii="楷体_GB2312" w:hAnsi="宋体" w:eastAsia="楷体_GB2312"/>
          <w:color w:val="000000"/>
          <w:sz w:val="24"/>
          <w:highlight w:val="none"/>
          <w:lang w:val="en-US" w:eastAsia="zh-CN"/>
        </w:rPr>
        <w:t>最低持有</w:t>
      </w:r>
      <w:r>
        <w:rPr>
          <w:rFonts w:hint="eastAsia" w:ascii="楷体_GB2312" w:hAnsi="宋体" w:eastAsia="楷体_GB2312"/>
          <w:color w:val="000000"/>
          <w:sz w:val="24"/>
          <w:highlight w:val="none"/>
        </w:rPr>
        <w:t>份</w:t>
      </w:r>
      <w:r>
        <w:rPr>
          <w:rFonts w:hint="eastAsia" w:ascii="楷体_GB2312" w:hAnsi="宋体" w:eastAsia="楷体_GB2312"/>
          <w:color w:val="000000"/>
          <w:sz w:val="24"/>
          <w:highlight w:val="none"/>
          <w:lang w:eastAsia="zh-CN"/>
        </w:rPr>
        <w:t>额</w:t>
      </w:r>
      <w:r>
        <w:rPr>
          <w:rFonts w:hint="eastAsia" w:ascii="楷体_GB2312" w:hAnsi="宋体" w:eastAsia="楷体_GB2312"/>
          <w:color w:val="000000"/>
          <w:sz w:val="24"/>
          <w:highlight w:val="none"/>
        </w:rPr>
        <w:t>，投资者应申请全额赎回</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理财产品，否则该部分赎回申请将不被受理。</w:t>
      </w:r>
    </w:p>
    <w:p>
      <w:pPr>
        <w:ind w:firstLine="480" w:firstLineChars="200"/>
        <w:rPr>
          <w:rFonts w:ascii="楷体_GB2312" w:hAnsi="仿宋" w:eastAsia="楷体_GB2312"/>
          <w:color w:val="000000"/>
          <w:sz w:val="24"/>
          <w:highlight w:val="none"/>
        </w:rPr>
      </w:pPr>
      <w:r>
        <w:rPr>
          <w:rFonts w:ascii="楷体_GB2312" w:hAnsi="宋体" w:eastAsia="楷体_GB2312"/>
          <w:color w:val="000000"/>
          <w:sz w:val="24"/>
          <w:highlight w:val="none"/>
        </w:rPr>
        <w:t>3</w:t>
      </w:r>
      <w:r>
        <w:rPr>
          <w:rFonts w:hint="eastAsia" w:ascii="楷体_GB2312" w:hAnsi="宋体" w:eastAsia="楷体_GB2312"/>
          <w:color w:val="000000"/>
          <w:sz w:val="24"/>
          <w:highlight w:val="none"/>
        </w:rPr>
        <w:t>.对于可能</w:t>
      </w:r>
      <w:r>
        <w:rPr>
          <w:rFonts w:hint="eastAsia" w:ascii="楷体_GB2312" w:hAnsi="仿宋" w:eastAsia="楷体_GB2312"/>
          <w:color w:val="000000"/>
          <w:sz w:val="24"/>
          <w:highlight w:val="none"/>
        </w:rPr>
        <w:t>导致</w:t>
      </w:r>
      <w:r>
        <w:rPr>
          <w:rFonts w:hint="eastAsia" w:ascii="楷体_GB2312" w:hAnsi="宋体" w:eastAsia="楷体_GB2312"/>
          <w:color w:val="000000"/>
          <w:sz w:val="24"/>
          <w:highlight w:val="none"/>
        </w:rPr>
        <w:t>单一投资者持有份额超过本理财产品总份额的50%</w:t>
      </w:r>
      <w:r>
        <w:rPr>
          <w:rFonts w:hint="eastAsia" w:ascii="楷体_GB2312" w:hAnsi="宋体" w:eastAsia="楷体_GB2312"/>
          <w:color w:val="000000"/>
          <w:sz w:val="24"/>
          <w:highlight w:val="none"/>
          <w:lang w:val="en-US" w:eastAsia="zh-CN"/>
        </w:rPr>
        <w:t>的</w:t>
      </w:r>
      <w:r>
        <w:rPr>
          <w:rFonts w:hint="eastAsia" w:ascii="楷体_GB2312" w:hAnsi="仿宋" w:eastAsia="楷体_GB2312"/>
          <w:color w:val="000000"/>
          <w:sz w:val="24"/>
          <w:highlight w:val="none"/>
        </w:rPr>
        <w:t>申购申请，</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管理人有权拒绝接受或部分接受，确保单一投资者持有份额不超过</w:t>
      </w:r>
      <w:r>
        <w:rPr>
          <w:rFonts w:hint="eastAsia" w:ascii="楷体_GB2312" w:hAnsi="宋体" w:eastAsia="楷体_GB2312"/>
          <w:color w:val="000000"/>
          <w:sz w:val="24"/>
          <w:highlight w:val="none"/>
        </w:rPr>
        <w:t>本理财产品总份额的50%</w:t>
      </w:r>
      <w:r>
        <w:rPr>
          <w:rFonts w:hint="eastAsia" w:ascii="楷体_GB2312" w:hAnsi="仿宋" w:eastAsia="楷体_GB2312"/>
          <w:color w:val="000000"/>
          <w:sz w:val="24"/>
          <w:highlight w:val="none"/>
        </w:rPr>
        <w:t>。</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仿宋" w:eastAsia="楷体_GB2312"/>
          <w:color w:val="000000"/>
          <w:sz w:val="24"/>
          <w:highlight w:val="none"/>
          <w:lang w:eastAsia="zh-CN"/>
        </w:rPr>
        <w:t>产品管理人</w:t>
      </w:r>
      <w:r>
        <w:rPr>
          <w:rFonts w:hint="eastAsia" w:ascii="楷体_GB2312" w:hAnsi="仿宋" w:eastAsia="楷体_GB2312"/>
          <w:color w:val="000000"/>
          <w:sz w:val="24"/>
          <w:highlight w:val="none"/>
        </w:rPr>
        <w:t>在不损害理财产品份额持有人权益的情况下有权更改上述原则，但最迟须在新的原则实施前</w:t>
      </w:r>
      <w:r>
        <w:rPr>
          <w:rFonts w:hint="default" w:ascii="楷体_GB2312" w:hAnsi="仿宋" w:eastAsia="楷体_GB2312"/>
          <w:color w:val="000000"/>
          <w:sz w:val="24"/>
          <w:highlight w:val="none"/>
          <w:lang w:val="en-US"/>
        </w:rPr>
        <w:t>1</w:t>
      </w:r>
      <w:r>
        <w:rPr>
          <w:rFonts w:hint="eastAsia" w:ascii="楷体_GB2312" w:hAnsi="仿宋" w:eastAsia="楷体_GB2312"/>
          <w:color w:val="000000"/>
          <w:sz w:val="24"/>
          <w:highlight w:val="none"/>
        </w:rPr>
        <w:t>个工作日予以公告。</w:t>
      </w:r>
      <w:bookmarkStart w:id="10" w:name="_GoBack"/>
      <w:bookmarkEnd w:id="10"/>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（三）申购/赎回的受理和确认</w:t>
      </w:r>
    </w:p>
    <w:p>
      <w:pPr>
        <w:pStyle w:val="9"/>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1.投资者在提交申购</w:t>
      </w:r>
      <w:r>
        <w:rPr>
          <w:rFonts w:hint="eastAsia" w:ascii="楷体_GB2312" w:hAnsi="宋体" w:eastAsia="楷体_GB2312"/>
          <w:color w:val="000000"/>
          <w:sz w:val="24"/>
          <w:highlight w:val="none"/>
          <w:lang w:val="en-US" w:eastAsia="zh-CN"/>
        </w:rPr>
        <w:t>申请</w:t>
      </w:r>
      <w:r>
        <w:rPr>
          <w:rFonts w:hint="eastAsia" w:ascii="楷体_GB2312" w:hAnsi="宋体" w:eastAsia="楷体_GB2312"/>
          <w:color w:val="000000"/>
          <w:sz w:val="24"/>
          <w:highlight w:val="none"/>
        </w:rPr>
        <w:t>时须按代</w:t>
      </w:r>
      <w:r>
        <w:rPr>
          <w:rFonts w:hint="eastAsia" w:ascii="楷体_GB2312" w:hAnsi="宋体" w:eastAsia="楷体_GB2312"/>
          <w:color w:val="000000"/>
          <w:sz w:val="24"/>
          <w:highlight w:val="none"/>
          <w:lang w:val="en-US" w:eastAsia="zh-CN"/>
        </w:rPr>
        <w:t>销机构</w:t>
      </w:r>
      <w:r>
        <w:rPr>
          <w:rFonts w:hint="eastAsia" w:ascii="楷体_GB2312" w:hAnsi="宋体" w:eastAsia="楷体_GB2312"/>
          <w:color w:val="000000"/>
          <w:sz w:val="24"/>
          <w:highlight w:val="none"/>
        </w:rPr>
        <w:t>规定的方式备足申购资金，投资者在提交赎回申请时须持有足够的理财产品份额，否则所提交的申购</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rPr>
        <w:t>赎回申请将失败。</w:t>
      </w:r>
    </w:p>
    <w:p>
      <w:pPr>
        <w:numPr>
          <w:ilvl w:val="-1"/>
          <w:numId w:val="0"/>
        </w:numPr>
        <w:ind w:firstLine="480" w:firstLineChars="200"/>
        <w:rPr>
          <w:rFonts w:ascii="楷体_GB2312" w:hAnsi="仿宋" w:eastAsia="楷体_GB2312"/>
          <w:color w:val="000000"/>
          <w:sz w:val="24"/>
          <w:highlight w:val="none"/>
        </w:rPr>
      </w:pPr>
      <w:r>
        <w:rPr>
          <w:rFonts w:hint="eastAsia" w:ascii="楷体_GB2312" w:hAnsi="宋体" w:eastAsia="楷体_GB2312"/>
          <w:color w:val="000000"/>
          <w:sz w:val="24"/>
          <w:highlight w:val="none"/>
        </w:rPr>
        <w:t>2.申购采用全额缴款方式。若申购不成功，</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将投资者已缴付的申购款项退还给投资者。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3.申购的扣款和确认时间</w:t>
      </w:r>
    </w:p>
    <w:p>
      <w:pPr>
        <w:ind w:firstLine="482" w:firstLineChars="200"/>
        <w:rPr>
          <w:rFonts w:hint="eastAsia"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投资者在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内提出申购申请后，投资资金将实时冻结，并于申购确认日扣划，资金冻结期间将按照代销机构公布的人民币活期存款利率计算活期存款利息，该利息不作为申购资金扣收。</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（不含）之前提出的申购申请，申购申请日为开放日当日，产品管理人在开放日的下一个交易日对满足条件的有效申购申请予以确认；投资者在开放日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含）之后或非开放日提出的申购申请，申购申请日为投资者提出申购申请之后的产品最近一个开放日，产品管理人将在投资者提出申购申请之后的产品最近一个开放日的下一个交易日对满足条件的有效申购申请予以确认。</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确认投资者申购申请的，投资者自申购确认日起持有本理财产品份额。投资者实际申购份额以产品管理人确认份额为准。申购份额=申购金额÷申购价格，申购价格为申购申请日的产品单位净值，申购份额以四舍五入的方法保留到小数点后两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4.赎回的确认和到账时间</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（不含）之前提出的赎回申请，赎回申请日为开放日当日，产品管理人在开放日的下一个交易日对满足条件的有效赎回申请予以确认；投资者在开放日</w:t>
      </w:r>
      <w:r>
        <w:rPr>
          <w:rFonts w:hint="eastAsia" w:ascii="楷体_GB2312" w:hAnsi="宋体" w:eastAsia="楷体_GB2312"/>
          <w:color w:val="000000"/>
          <w:sz w:val="24"/>
        </w:rPr>
        <w:t>17：00</w:t>
      </w:r>
      <w:r>
        <w:rPr>
          <w:rFonts w:hint="eastAsia" w:ascii="楷体_GB2312" w:hAnsi="宋体" w:eastAsia="楷体_GB2312"/>
          <w:color w:val="000000"/>
          <w:sz w:val="24"/>
          <w:highlight w:val="none"/>
        </w:rPr>
        <w:t>（含）之后或非开放日提出的赎回申请，赎回申请日为投资者提出赎回申请之后的产品最近一个开放日，产品管理人将在投资者提出赎回申请之后的产品最近一个开放日的下一个交易日对满足条件的有效赎回申请予以确认。</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投资者实际赎回份额以产品管理人确认份额为准，赎回金额=赎回份额×赎回价格，赎回价格为赎回申请日的产品单位净值，赎回金额以四舍五入的方法保留到小数点后两位。产品管理人确认投资者赎回申请的，投资者自赎回确认日起不再持有本理财产品份额，赎回资金原则上将于赎回确认日当日内划转至代销机构清算账户，投资者赎回资金的具体到账时间以代销机构划付规则为准。</w:t>
      </w:r>
    </w:p>
    <w:p>
      <w:pPr>
        <w:ind w:firstLine="480" w:firstLineChars="200"/>
        <w:rPr>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存续期内</w:t>
      </w:r>
      <w:r>
        <w:rPr>
          <w:rFonts w:hint="eastAsia" w:ascii="楷体_GB2312" w:hAnsi="宋体" w:eastAsia="楷体_GB2312"/>
          <w:color w:val="000000"/>
          <w:sz w:val="24"/>
          <w:highlight w:val="none"/>
        </w:rPr>
        <w:t>，如遇有权机关冻结投资者持有的本理财产品份额的，产品管理人应按照有权机关要求进行操作。</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（四）巨额赎回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1.巨额赎回的认定</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在本理财产品的单个开放日，净赎回申请（即产品赎回有效申请份额总数扣除</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申购有效申请份额总数后的差额）超过前一日终</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理财产品总份额的10％时，为巨额赎回。</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2.巨额赎回的处理方式</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本理财产品在</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发生巨额赎回时，产品管理人有权根据本理财产品当时的投资运作情况决定采取全额赎回、部分赎回等流动性风险应对措施。关于巨额赎回的相关情况，产品管理人将在巨额赎回发生后3个交易日内通过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（1）全额赎回：当本理财产品可以兑付投资者（或称“份额持有人”）的全部赎回申请时，将在赎回确认日按投资者申请赎回份额执行正常赎回程序。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部分赎回：产品管理人在赎回确认日当日办理的赎回份额不低于前一日终本理财产品总份额的10%的前提下，对其余赎回申请有权暂停接受或延期办理。本理财产品连续2个以上开放日发生巨额赎回的，除有权采取以上措施外，对于已经接受的赎回申请，产品管理人有权延缓支付赎回款项，但延缓期限不得超过20个工作日。对该理财产品单个份额持有人的赎回申请，产品管理人有权按照其申请赎回份额占赎回确认日当日申请赎回总份额的比例，确定该单个份额持有人当日办理的赎回份额。</w:t>
      </w:r>
      <w:r>
        <w:rPr>
          <w:rFonts w:hint="eastAsia" w:ascii="楷体_GB2312" w:hAnsi="宋体" w:eastAsia="楷体_GB2312"/>
          <w:color w:val="000000"/>
          <w:sz w:val="24"/>
          <w:highlight w:val="none"/>
          <w:lang w:val="en-US" w:eastAsia="zh-CN"/>
        </w:rPr>
        <w:t>本理财产品份额持有人可以在</w:t>
      </w:r>
      <w:r>
        <w:rPr>
          <w:rFonts w:hint="eastAsia" w:ascii="楷体_GB2312" w:hAnsi="宋体" w:eastAsia="楷体_GB2312"/>
          <w:color w:val="000000"/>
          <w:sz w:val="24"/>
          <w:highlight w:val="none"/>
        </w:rPr>
        <w:t>申请赎回时选择将当日未获办理部分予以撤销（具体交易功能以</w:t>
      </w:r>
      <w:r>
        <w:rPr>
          <w:rFonts w:hint="eastAsia" w:ascii="楷体_GB2312" w:hAnsi="宋体" w:eastAsia="楷体_GB2312"/>
          <w:color w:val="000000"/>
          <w:sz w:val="24"/>
          <w:highlight w:val="none"/>
          <w:lang w:val="en-US" w:eastAsia="zh-CN"/>
        </w:rPr>
        <w:t>代销机构</w:t>
      </w:r>
      <w:r>
        <w:rPr>
          <w:rFonts w:hint="eastAsia" w:ascii="楷体_GB2312" w:hAnsi="宋体" w:eastAsia="楷体_GB2312"/>
          <w:color w:val="000000"/>
          <w:sz w:val="24"/>
          <w:highlight w:val="none"/>
        </w:rPr>
        <w:t>规定为准），</w:t>
      </w:r>
      <w:r>
        <w:rPr>
          <w:rFonts w:hint="eastAsia" w:ascii="楷体_GB2312" w:hAnsi="宋体" w:eastAsia="楷体_GB2312"/>
          <w:color w:val="000000"/>
          <w:sz w:val="24"/>
          <w:highlight w:val="none"/>
          <w:lang w:val="en-US" w:eastAsia="zh-CN"/>
        </w:rPr>
        <w:t>未选择撤销的，</w:t>
      </w:r>
      <w:r>
        <w:rPr>
          <w:rFonts w:hint="eastAsia" w:ascii="楷体_GB2312" w:hAnsi="宋体" w:eastAsia="楷体_GB2312"/>
          <w:color w:val="000000"/>
          <w:sz w:val="24"/>
          <w:highlight w:val="none"/>
        </w:rPr>
        <w:t>产品管理人有权</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当日未获办理部分延迟至下一个开放日办理（赎回价格为下一个开放日</w:t>
      </w:r>
      <w:r>
        <w:rPr>
          <w:rFonts w:hint="eastAsia" w:ascii="楷体_GB2312" w:hAnsi="宋体" w:eastAsia="楷体_GB2312"/>
          <w:color w:val="000000"/>
          <w:sz w:val="24"/>
          <w:highlight w:val="none"/>
          <w:lang w:val="en-US" w:eastAsia="zh-CN"/>
        </w:rPr>
        <w:t>当日</w:t>
      </w:r>
      <w:r>
        <w:rPr>
          <w:rFonts w:hint="eastAsia" w:ascii="楷体_GB2312" w:hAnsi="宋体" w:eastAsia="楷体_GB2312"/>
          <w:color w:val="000000"/>
          <w:sz w:val="24"/>
          <w:highlight w:val="none"/>
        </w:rPr>
        <w:t>的产品单位净值）或暂停接受当日未获办理</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赎回申请。</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（五）拒绝或暂停申购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拒绝接受或暂停接受投资者的申购申请：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产品无法正常运作；</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超过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产品募集规模上限；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.投资者申购超过个人</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机构投资者持有上限；</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产品资产规模过大，</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无法找到合适的投资品种，或继续接受申购可能对</w:t>
      </w:r>
      <w:r>
        <w:rPr>
          <w:rFonts w:hint="eastAsia" w:ascii="楷体_GB2312" w:hAnsi="宋体" w:eastAsia="楷体_GB2312"/>
          <w:color w:val="000000"/>
          <w:sz w:val="24"/>
          <w:highlight w:val="none"/>
          <w:lang w:val="en-US" w:eastAsia="zh-CN"/>
        </w:rPr>
        <w:t>本理财产品的</w:t>
      </w:r>
      <w:r>
        <w:rPr>
          <w:rFonts w:hint="eastAsia" w:ascii="楷体_GB2312" w:hAnsi="宋体" w:eastAsia="楷体_GB2312"/>
          <w:color w:val="000000"/>
          <w:sz w:val="24"/>
          <w:highlight w:val="none"/>
        </w:rPr>
        <w:t>业绩产生负面影响，从而损害现有产品份额持有人利益；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.当</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认为接受申购申请可能对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理财产品存量投资者利益构成重大不利影响时，或者基于投资运作与风险控制需要；</w:t>
      </w:r>
    </w:p>
    <w:p>
      <w:pPr>
        <w:ind w:firstLine="480" w:firstLineChars="200"/>
        <w:rPr>
          <w:rFonts w:ascii="楷体_GB2312" w:hAnsi="宋体" w:eastAsia="楷体_GB2312"/>
          <w:color w:val="000000"/>
          <w:sz w:val="24"/>
          <w:highlight w:val="none"/>
        </w:rPr>
      </w:pPr>
      <w:bookmarkStart w:id="2" w:name="_Hlk146069622"/>
      <w:r>
        <w:rPr>
          <w:rFonts w:hint="eastAsia" w:ascii="楷体_GB2312" w:hAnsi="宋体" w:eastAsia="楷体_GB2312"/>
          <w:color w:val="000000"/>
          <w:sz w:val="24"/>
          <w:highlight w:val="none"/>
          <w:lang w:val="en-US" w:eastAsia="zh-CN"/>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本理财产品不允许单一投资者持有份额超过本理财产品总份额的50%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非因</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主观因素导致突破前款规定比例限制的，在单一投资者持有比例降至50%以下之前，</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lang w:val="en-US" w:eastAsia="zh-CN"/>
        </w:rPr>
        <w:t>管理人</w:t>
      </w:r>
      <w:r>
        <w:rPr>
          <w:rFonts w:hint="eastAsia" w:ascii="楷体_GB2312" w:hAnsi="宋体" w:eastAsia="楷体_GB2312"/>
          <w:color w:val="000000"/>
          <w:sz w:val="24"/>
          <w:highlight w:val="none"/>
        </w:rPr>
        <w:t>不得再接受该投资者对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申购</w:t>
      </w:r>
      <w:r>
        <w:rPr>
          <w:rFonts w:hint="eastAsia" w:ascii="楷体_GB2312" w:hAnsi="宋体" w:eastAsia="楷体_GB2312"/>
          <w:color w:val="000000"/>
          <w:sz w:val="24"/>
          <w:highlight w:val="none"/>
        </w:rPr>
        <w:t>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9</w:t>
      </w:r>
      <w:r>
        <w:rPr>
          <w:rFonts w:ascii="楷体_GB2312" w:hAnsi="宋体" w:eastAsia="楷体_GB2312"/>
          <w:color w:val="000000"/>
          <w:sz w:val="24"/>
          <w:highlight w:val="none"/>
        </w:rPr>
        <w:t>.</w:t>
      </w:r>
      <w:bookmarkEnd w:id="2"/>
      <w:r>
        <w:rPr>
          <w:rFonts w:hint="eastAsia" w:ascii="楷体_GB2312" w:hAnsi="宋体" w:eastAsia="楷体_GB2312"/>
          <w:color w:val="000000"/>
          <w:sz w:val="24"/>
          <w:highlight w:val="none"/>
        </w:rPr>
        <w:t>法律法规规定或本理财产品销售文件约定的其他情形。</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（六）</w:t>
      </w:r>
      <w:r>
        <w:rPr>
          <w:rFonts w:hint="eastAsia" w:ascii="楷体_GB2312" w:hAnsi="宋体" w:eastAsia="楷体_GB2312"/>
          <w:color w:val="000000"/>
          <w:sz w:val="24"/>
          <w:highlight w:val="none"/>
        </w:rPr>
        <w:t>拒绝或暂停赎回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拒绝接受或暂停接受投资者的赎回申请：</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无法正常运作或不能按时支付赎回款项；</w:t>
      </w:r>
    </w:p>
    <w:p>
      <w:pPr>
        <w:ind w:firstLine="480" w:firstLineChars="200"/>
        <w:rPr>
          <w:rFonts w:hint="eastAsia" w:ascii="楷体_GB2312" w:hAnsi="仿宋"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仿宋" w:eastAsia="楷体_GB2312"/>
          <w:color w:val="000000"/>
          <w:sz w:val="24"/>
          <w:highlight w:val="none"/>
        </w:rPr>
        <w:t>证券交易场所依法决定临时停市，导致</w:t>
      </w:r>
      <w:r>
        <w:rPr>
          <w:rFonts w:hint="eastAsia" w:ascii="楷体_GB2312" w:hAnsi="仿宋" w:eastAsia="楷体_GB2312"/>
          <w:color w:val="000000"/>
          <w:sz w:val="24"/>
          <w:highlight w:val="none"/>
          <w:lang w:val="en-US" w:eastAsia="zh-CN"/>
        </w:rPr>
        <w:t>产品</w:t>
      </w:r>
      <w:r>
        <w:rPr>
          <w:rFonts w:hint="eastAsia" w:ascii="楷体_GB2312" w:hAnsi="仿宋" w:eastAsia="楷体_GB2312"/>
          <w:color w:val="000000"/>
          <w:sz w:val="24"/>
          <w:highlight w:val="none"/>
        </w:rPr>
        <w:t>管理人无法计算当日产品资产净值；</w:t>
      </w:r>
    </w:p>
    <w:p>
      <w:pPr>
        <w:ind w:firstLine="480" w:firstLineChars="200"/>
        <w:rPr>
          <w:rFonts w:hint="eastAsia" w:ascii="楷体_GB2312" w:hAnsi="宋体" w:eastAsia="楷体_GB2312"/>
          <w:color w:val="000000"/>
          <w:sz w:val="24"/>
          <w:highlight w:val="none"/>
          <w:lang w:eastAsia="zh-CN"/>
        </w:rPr>
      </w:pPr>
      <w:r>
        <w:rPr>
          <w:rFonts w:hint="eastAsia" w:ascii="楷体_GB2312" w:hAnsi="仿宋" w:eastAsia="楷体_GB2312"/>
          <w:color w:val="000000"/>
          <w:sz w:val="24"/>
          <w:highlight w:val="none"/>
          <w:lang w:val="en-US" w:eastAsia="zh-CN"/>
        </w:rPr>
        <w:t>3.发生巨额赎回时，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产品管理人在赎回确认日当日办理的赎回份额不低于前一日终本理财产品总份额的10%的前提下，有权暂停接受其余赎回申请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产品连续2个</w:t>
      </w:r>
      <w:r>
        <w:rPr>
          <w:rFonts w:hint="eastAsia" w:ascii="楷体_GB2312" w:hAnsi="宋体" w:eastAsia="楷体_GB2312"/>
          <w:color w:val="000000"/>
          <w:sz w:val="24"/>
          <w:highlight w:val="none"/>
          <w:lang w:val="en-US" w:eastAsia="zh-CN"/>
        </w:rPr>
        <w:t>及以上</w:t>
      </w:r>
      <w:r>
        <w:rPr>
          <w:rFonts w:hint="eastAsia" w:ascii="楷体_GB2312" w:hAnsi="宋体" w:eastAsia="楷体_GB2312"/>
          <w:color w:val="000000"/>
          <w:sz w:val="24"/>
          <w:highlight w:val="none"/>
        </w:rPr>
        <w:t>开放日发生巨额赎回；</w:t>
      </w:r>
    </w:p>
    <w:p>
      <w:pPr>
        <w:pStyle w:val="2"/>
        <w:ind w:left="0" w:leftChars="0" w:firstLine="480" w:firstLineChars="200"/>
        <w:rPr>
          <w:highlight w:val="none"/>
        </w:rPr>
      </w:pPr>
      <w:r>
        <w:rPr>
          <w:rFonts w:hint="eastAsia" w:ascii="楷体_GB2312" w:hAnsi="宋体" w:eastAsia="楷体_GB2312"/>
          <w:color w:val="000000"/>
          <w:sz w:val="24"/>
          <w:highlight w:val="none"/>
          <w:lang w:val="en-US" w:eastAsia="zh-CN"/>
        </w:rPr>
        <w:t>5.本理财产品在</w:t>
      </w:r>
      <w:r>
        <w:rPr>
          <w:rFonts w:hint="eastAsia" w:ascii="楷体_GB2312" w:hAnsi="宋体" w:eastAsia="楷体_GB2312"/>
          <w:color w:val="000000"/>
          <w:sz w:val="24"/>
          <w:highlight w:val="none"/>
        </w:rPr>
        <w:t>前一估值日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当本理财产品每日确认且需当日支付的净赎回申请超过前一工作日本理财产品7个工作日可变现资产的可变现价值时；</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认为继续接受赎回可能对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业绩产生较大负面影响的情形；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★（七）延期办理赎回申请</w:t>
      </w:r>
    </w:p>
    <w:p>
      <w:pPr>
        <w:pStyle w:val="2"/>
        <w:ind w:left="0" w:leftChars="0" w:firstLine="480" w:firstLineChars="200"/>
        <w:rPr>
          <w:rFonts w:hint="eastAsia" w:eastAsia="楷体_GB2312"/>
          <w:highlight w:val="none"/>
          <w:lang w:eastAsia="zh-CN"/>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延期办理赎回申请</w:t>
      </w:r>
      <w:r>
        <w:rPr>
          <w:rFonts w:hint="eastAsia" w:ascii="楷体_GB2312" w:hAnsi="宋体" w:eastAsia="楷体_GB2312"/>
          <w:color w:val="000000"/>
          <w:sz w:val="24"/>
          <w:highlight w:val="none"/>
          <w:lang w:eastAsia="zh-CN"/>
        </w:rPr>
        <w:t>：</w:t>
      </w:r>
    </w:p>
    <w:p>
      <w:pPr>
        <w:pStyle w:val="2"/>
        <w:numPr>
          <w:ilvl w:val="0"/>
          <w:numId w:val="0"/>
        </w:numPr>
        <w:ind w:left="0" w:leftChars="0"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val="en-US" w:eastAsia="zh-CN"/>
        </w:rPr>
        <w:t>1.</w:t>
      </w:r>
      <w:r>
        <w:rPr>
          <w:rFonts w:hint="eastAsia" w:ascii="楷体_GB2312" w:hAnsi="仿宋" w:eastAsia="楷体_GB2312"/>
          <w:color w:val="000000"/>
          <w:sz w:val="24"/>
          <w:highlight w:val="none"/>
          <w:lang w:val="en-US" w:eastAsia="zh-CN"/>
        </w:rPr>
        <w:t>发生巨额赎回时，</w:t>
      </w:r>
      <w:r>
        <w:rPr>
          <w:rFonts w:hint="eastAsia" w:ascii="楷体_GB2312" w:hAnsi="宋体" w:eastAsia="楷体_GB2312"/>
          <w:color w:val="000000"/>
          <w:sz w:val="24"/>
          <w:highlight w:val="none"/>
        </w:rPr>
        <w:t>产品管理人在赎回确认日当日办理的赎回份额不低于前一日终本理财产品总份额的10%的前提下，有权延期办理其余赎回申请</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lang w:val="en-US" w:eastAsia="zh-CN"/>
        </w:rPr>
        <w:t>2.为保护投资者利益，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认为需要延期办理赎回申请的情形</w:t>
      </w:r>
      <w:r>
        <w:rPr>
          <w:rFonts w:hint="eastAsia" w:ascii="楷体_GB2312" w:hAnsi="宋体" w:eastAsia="楷体_GB2312"/>
          <w:color w:val="000000"/>
          <w:sz w:val="24"/>
          <w:highlight w:val="none"/>
          <w:lang w:eastAsia="zh-CN"/>
        </w:rPr>
        <w:t>；</w:t>
      </w:r>
    </w:p>
    <w:p>
      <w:pPr>
        <w:ind w:firstLine="480" w:firstLineChars="200"/>
        <w:rPr>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八</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w:t>
      </w:r>
      <w:r>
        <w:rPr>
          <w:rFonts w:hint="eastAsia" w:ascii="楷体_GB2312" w:hAnsi="宋体" w:eastAsia="楷体_GB2312"/>
          <w:color w:val="000000"/>
          <w:sz w:val="24"/>
          <w:highlight w:val="none"/>
          <w:lang w:val="en-US" w:eastAsia="zh-CN"/>
        </w:rPr>
        <w:t>选择</w:t>
      </w:r>
      <w:r>
        <w:rPr>
          <w:rFonts w:hint="eastAsia" w:ascii="楷体_GB2312" w:hAnsi="宋体" w:eastAsia="楷体_GB2312"/>
          <w:color w:val="000000"/>
          <w:sz w:val="24"/>
          <w:highlight w:val="none"/>
        </w:rPr>
        <w:t>延缓支付赎回款项：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产品赎回确认日遇非工作日顺延至下一工作日，投资者</w:t>
      </w:r>
      <w:r>
        <w:rPr>
          <w:rFonts w:hint="eastAsia" w:ascii="楷体_GB2312" w:hAnsi="宋体" w:eastAsia="楷体_GB2312"/>
          <w:color w:val="000000"/>
          <w:sz w:val="24"/>
          <w:highlight w:val="none"/>
          <w:lang w:val="en-US" w:eastAsia="zh-CN"/>
        </w:rPr>
        <w:t>赎回款项</w:t>
      </w:r>
      <w:r>
        <w:rPr>
          <w:rFonts w:hint="eastAsia" w:ascii="楷体_GB2312" w:hAnsi="宋体" w:eastAsia="楷体_GB2312"/>
          <w:color w:val="000000"/>
          <w:sz w:val="24"/>
          <w:highlight w:val="none"/>
        </w:rPr>
        <w:t>兑付将相应调整；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2.因市场成交量不足、资产限制赎回、暂停交易、交易对手缺乏意愿等原因，导致</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产品项下对应的投资标的无法及时变现；</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3.因资金在途等原因，导致未能及时收回资金；</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4.因不可抗力</w:t>
      </w:r>
      <w:r>
        <w:rPr>
          <w:rFonts w:hint="eastAsia" w:ascii="楷体_GB2312" w:hAnsi="宋体" w:eastAsia="楷体_GB2312"/>
          <w:color w:val="000000"/>
          <w:sz w:val="24"/>
          <w:highlight w:val="none"/>
          <w:lang w:val="en-US" w:eastAsia="zh-CN"/>
        </w:rPr>
        <w:t>及/或意外事件</w:t>
      </w:r>
      <w:r>
        <w:rPr>
          <w:rFonts w:hint="eastAsia" w:ascii="楷体_GB2312" w:hAnsi="宋体" w:eastAsia="楷体_GB2312"/>
          <w:color w:val="000000"/>
          <w:sz w:val="24"/>
          <w:highlight w:val="none"/>
        </w:rPr>
        <w:t>等原因，导致</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接受赎回申请后无法兑付；</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5.发生暂停理财产品估值</w:t>
      </w:r>
      <w:r>
        <w:rPr>
          <w:rFonts w:hint="eastAsia" w:ascii="楷体_GB2312" w:hAnsi="宋体" w:eastAsia="楷体_GB2312"/>
          <w:color w:val="000000"/>
          <w:sz w:val="24"/>
          <w:highlight w:val="none"/>
          <w:lang w:eastAsia="zh-CN"/>
        </w:rPr>
        <w:t>的情形</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6.本理财产品连续2个及以上</w:t>
      </w:r>
      <w:r>
        <w:rPr>
          <w:rFonts w:hint="eastAsia" w:ascii="楷体_GB2312" w:hAnsi="宋体" w:eastAsia="楷体_GB2312"/>
          <w:color w:val="000000"/>
          <w:sz w:val="24"/>
          <w:highlight w:val="none"/>
          <w:lang w:eastAsia="zh-CN"/>
        </w:rPr>
        <w:t>开放日</w:t>
      </w:r>
      <w:r>
        <w:rPr>
          <w:rFonts w:hint="eastAsia" w:ascii="楷体_GB2312" w:hAnsi="宋体" w:eastAsia="楷体_GB2312"/>
          <w:color w:val="000000"/>
          <w:sz w:val="24"/>
          <w:highlight w:val="none"/>
        </w:rPr>
        <w:t>发生巨额赎回的，对于已经接受的投资者赎回申请，</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可以延缓支付赎回款项，延缓期限不超过20个工作日；</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7.</w:t>
      </w:r>
      <w:bookmarkStart w:id="3" w:name="_Hlk146059245"/>
      <w:r>
        <w:rPr>
          <w:rFonts w:hint="eastAsia" w:ascii="楷体_GB2312" w:hAnsi="宋体" w:eastAsia="楷体_GB2312"/>
          <w:color w:val="000000"/>
          <w:sz w:val="24"/>
          <w:highlight w:val="none"/>
        </w:rPr>
        <w:t>本理财产品</w:t>
      </w:r>
      <w:r>
        <w:rPr>
          <w:rFonts w:hint="eastAsia" w:ascii="楷体_GB2312" w:hAnsi="宋体" w:eastAsia="楷体_GB2312"/>
          <w:color w:val="000000"/>
          <w:sz w:val="24"/>
          <w:highlight w:val="none"/>
          <w:lang w:val="en-US" w:eastAsia="zh-CN"/>
        </w:rPr>
        <w:t>在前</w:t>
      </w:r>
      <w:r>
        <w:rPr>
          <w:rFonts w:hint="eastAsia" w:ascii="楷体_GB2312" w:hAnsi="宋体" w:eastAsia="楷体_GB2312"/>
          <w:color w:val="000000"/>
          <w:sz w:val="24"/>
          <w:highlight w:val="none"/>
        </w:rPr>
        <w:t>一估值日</w:t>
      </w:r>
      <w:r>
        <w:rPr>
          <w:rFonts w:hint="eastAsia" w:ascii="楷体_GB2312" w:hAnsi="宋体" w:eastAsia="楷体_GB2312"/>
          <w:color w:val="000000"/>
          <w:sz w:val="24"/>
          <w:highlight w:val="none"/>
          <w:lang w:val="en-US" w:eastAsia="zh-CN"/>
        </w:rPr>
        <w:t>内，</w:t>
      </w:r>
      <w:r>
        <w:rPr>
          <w:rFonts w:hint="eastAsia" w:ascii="楷体_GB2312" w:hAnsi="宋体" w:eastAsia="楷体_GB2312"/>
          <w:color w:val="000000"/>
          <w:sz w:val="24"/>
          <w:highlight w:val="none"/>
        </w:rPr>
        <w:t>产品资产净值50%以上的资产不具备活跃交易市场或者在活跃市场中无报价</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且不能采用估值技术可靠计量公允价值</w:t>
      </w:r>
      <w:r>
        <w:rPr>
          <w:rFonts w:hint="eastAsia" w:ascii="楷体_GB2312" w:hAnsi="宋体" w:eastAsia="楷体_GB2312"/>
          <w:color w:val="000000"/>
          <w:sz w:val="24"/>
          <w:highlight w:val="none"/>
          <w:lang w:eastAsia="zh-CN"/>
        </w:rPr>
        <w:t>；</w:t>
      </w:r>
      <w:bookmarkEnd w:id="3"/>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为保护投资者利益，</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认为需要延续支付赎回款项的情形</w:t>
      </w:r>
      <w:r>
        <w:rPr>
          <w:rFonts w:hint="eastAsia" w:ascii="楷体_GB2312" w:hAnsi="宋体" w:eastAsia="楷体_GB2312"/>
          <w:color w:val="000000"/>
          <w:sz w:val="24"/>
          <w:highlight w:val="none"/>
          <w:lang w:eastAsia="zh-CN"/>
        </w:rPr>
        <w:t>；</w:t>
      </w:r>
    </w:p>
    <w:p>
      <w:pPr>
        <w:ind w:firstLine="480" w:firstLineChars="200"/>
        <w:rPr>
          <w:rFonts w:hint="default"/>
          <w:highlight w:val="none"/>
          <w:lang w:val="en-US" w:eastAsia="zh-CN"/>
        </w:rPr>
      </w:pP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rPr>
        <w:t>法律法规规定或本理财产品销售文件约定的其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hint="eastAsia" w:ascii="楷体_GB2312" w:hAnsi="仿宋" w:eastAsia="楷体_GB2312"/>
          <w:color w:val="000000"/>
          <w:sz w:val="24"/>
          <w:highlight w:val="none"/>
        </w:rPr>
      </w:pPr>
      <w:r>
        <w:rPr>
          <w:rFonts w:hint="eastAsia" w:ascii="楷体_GB2312" w:hAnsi="仿宋" w:eastAsia="楷体_GB2312"/>
          <w:color w:val="000000"/>
          <w:sz w:val="24"/>
          <w:highlight w:val="none"/>
        </w:rPr>
        <w:t>★</w:t>
      </w:r>
      <w:r>
        <w:rPr>
          <w:rFonts w:hint="eastAsia" w:ascii="楷体_GB2312" w:hAnsi="仿宋" w:eastAsia="楷体_GB2312"/>
          <w:b/>
          <w:color w:val="000000"/>
          <w:sz w:val="24"/>
          <w:highlight w:val="none"/>
        </w:rPr>
        <w:t>特别提示：</w:t>
      </w:r>
      <w:r>
        <w:rPr>
          <w:rFonts w:hint="eastAsia" w:ascii="楷体_GB2312" w:hAnsi="宋体" w:eastAsia="楷体_GB2312" w:cs="Times New Roman"/>
          <w:color w:val="000000"/>
          <w:sz w:val="24"/>
          <w:highlight w:val="none"/>
          <w:lang w:val="en-US" w:eastAsia="zh-CN"/>
        </w:rPr>
        <w:t>除上述</w:t>
      </w:r>
      <w:r>
        <w:rPr>
          <w:rFonts w:hint="eastAsia" w:ascii="楷体_GB2312" w:hAnsi="宋体" w:eastAsia="楷体_GB2312" w:cs="Times New Roman"/>
          <w:color w:val="000000"/>
          <w:sz w:val="24"/>
          <w:highlight w:val="none"/>
        </w:rPr>
        <w:t>流动性风险应</w:t>
      </w:r>
      <w:r>
        <w:rPr>
          <w:rFonts w:hint="eastAsia" w:ascii="楷体_GB2312" w:hAnsi="仿宋" w:eastAsia="楷体_GB2312" w:cs="Times New Roman"/>
          <w:color w:val="000000"/>
          <w:sz w:val="24"/>
          <w:highlight w:val="none"/>
        </w:rPr>
        <w:t>对措施</w:t>
      </w:r>
      <w:r>
        <w:rPr>
          <w:rFonts w:hint="eastAsia" w:ascii="楷体_GB2312" w:hAnsi="仿宋" w:eastAsia="楷体_GB2312" w:cs="Times New Roman"/>
          <w:color w:val="000000"/>
          <w:sz w:val="24"/>
          <w:highlight w:val="none"/>
          <w:lang w:val="en-US" w:eastAsia="zh-CN"/>
        </w:rPr>
        <w:t>外，本理财产品的产品管理人还可根据实际业务情况，采取收取短期赎回费、暂停理财产品估值、</w:t>
      </w:r>
      <w:r>
        <w:rPr>
          <w:rFonts w:hint="eastAsia" w:ascii="楷体_GB2312" w:hAnsi="仿宋" w:eastAsia="楷体_GB2312" w:cs="Times New Roman"/>
          <w:bCs w:val="0"/>
          <w:color w:val="000000"/>
          <w:sz w:val="24"/>
          <w:highlight w:val="none"/>
        </w:rPr>
        <w:t>设定单一投资者</w:t>
      </w:r>
      <w:r>
        <w:rPr>
          <w:rFonts w:hint="eastAsia" w:ascii="楷体_GB2312" w:hAnsi="仿宋" w:eastAsia="楷体_GB2312" w:cs="Times New Roman"/>
          <w:bCs w:val="0"/>
          <w:color w:val="000000"/>
          <w:sz w:val="24"/>
          <w:highlight w:val="none"/>
          <w:lang w:val="en-US" w:eastAsia="zh-CN"/>
        </w:rPr>
        <w:t>持有金额</w:t>
      </w:r>
      <w:r>
        <w:rPr>
          <w:rFonts w:hint="eastAsia" w:ascii="楷体_GB2312" w:hAnsi="仿宋" w:eastAsia="楷体_GB2312" w:cs="Times New Roman"/>
          <w:bCs w:val="0"/>
          <w:color w:val="000000"/>
          <w:sz w:val="24"/>
          <w:highlight w:val="none"/>
        </w:rPr>
        <w:t>上限</w:t>
      </w:r>
      <w:r>
        <w:rPr>
          <w:rFonts w:hint="eastAsia" w:ascii="楷体_GB2312" w:hAnsi="仿宋" w:eastAsia="楷体_GB2312" w:cs="Times New Roman"/>
          <w:color w:val="000000"/>
          <w:sz w:val="24"/>
          <w:highlight w:val="none"/>
          <w:lang w:val="en-US" w:eastAsia="zh-CN"/>
        </w:rPr>
        <w:t>等</w:t>
      </w:r>
      <w:r>
        <w:rPr>
          <w:rFonts w:hint="eastAsia" w:ascii="楷体_GB2312" w:hAnsi="仿宋" w:eastAsia="楷体_GB2312" w:cs="Times New Roman"/>
          <w:color w:val="000000"/>
          <w:sz w:val="24"/>
          <w:highlight w:val="none"/>
        </w:rPr>
        <w:t>国家金融监督管理总局</w:t>
      </w:r>
      <w:r>
        <w:rPr>
          <w:rFonts w:hint="eastAsia" w:ascii="楷体_GB2312" w:hAnsi="仿宋" w:eastAsia="楷体_GB2312" w:cs="Times New Roman"/>
          <w:color w:val="000000"/>
          <w:sz w:val="24"/>
          <w:highlight w:val="none"/>
          <w:lang w:val="en-US" w:eastAsia="zh-CN"/>
        </w:rPr>
        <w:t>规定的其他流动性风险应对措</w:t>
      </w:r>
      <w:r>
        <w:rPr>
          <w:rFonts w:hint="eastAsia" w:ascii="楷体_GB2312" w:hAnsi="宋体" w:eastAsia="楷体_GB2312" w:cs="Times New Roman"/>
          <w:color w:val="000000"/>
          <w:sz w:val="24"/>
          <w:highlight w:val="none"/>
          <w:lang w:val="en-US" w:eastAsia="zh-CN"/>
        </w:rPr>
        <w:t>施</w:t>
      </w:r>
      <w:r>
        <w:rPr>
          <w:rFonts w:hint="eastAsia" w:ascii="楷体_GB2312" w:hAnsi="宋体" w:eastAsia="楷体_GB2312" w:cs="Times New Roman"/>
          <w:bCs w:val="0"/>
          <w:color w:val="000000"/>
          <w:sz w:val="24"/>
          <w:highlight w:val="none"/>
          <w:lang w:eastAsia="zh-CN"/>
        </w:rPr>
        <w:t>。</w:t>
      </w: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Arial" w:eastAsia="楷体_GB2312"/>
          <w:b w:val="0"/>
          <w:color w:val="000000"/>
          <w:sz w:val="24"/>
          <w:highlight w:val="none"/>
        </w:rPr>
      </w:pPr>
      <w:r>
        <w:rPr>
          <w:rFonts w:hint="eastAsia" w:ascii="楷体_GB2312" w:hAnsi="仿宋" w:eastAsia="楷体_GB2312"/>
          <w:color w:val="000000"/>
          <w:sz w:val="24"/>
          <w:highlight w:val="none"/>
          <w:lang w:eastAsia="zh-CN"/>
        </w:rPr>
        <w:t>（</w:t>
      </w:r>
      <w:r>
        <w:rPr>
          <w:rFonts w:hint="eastAsia" w:ascii="楷体_GB2312" w:hAnsi="仿宋" w:eastAsia="楷体_GB2312"/>
          <w:color w:val="000000"/>
          <w:sz w:val="24"/>
          <w:highlight w:val="none"/>
          <w:lang w:val="en-US" w:eastAsia="zh-CN"/>
        </w:rPr>
        <w:t>九</w:t>
      </w:r>
      <w:r>
        <w:rPr>
          <w:rFonts w:hint="eastAsia" w:ascii="楷体_GB2312" w:hAnsi="仿宋" w:eastAsia="楷体_GB2312"/>
          <w:color w:val="000000"/>
          <w:sz w:val="24"/>
          <w:highlight w:val="none"/>
          <w:lang w:eastAsia="zh-CN"/>
        </w:rPr>
        <w:t>）</w:t>
      </w:r>
      <w:r>
        <w:rPr>
          <w:rFonts w:hint="eastAsia" w:ascii="楷体_GB2312" w:hAnsi="仿宋" w:eastAsia="楷体_GB2312"/>
          <w:b w:val="0"/>
          <w:color w:val="000000"/>
          <w:sz w:val="24"/>
          <w:highlight w:val="none"/>
        </w:rPr>
        <w:t>申购费用</w:t>
      </w:r>
    </w:p>
    <w:p>
      <w:pPr>
        <w:snapToGrid w:val="0"/>
        <w:ind w:firstLine="480" w:firstLineChars="200"/>
        <w:rPr>
          <w:rFonts w:hint="eastAsia" w:ascii="楷体_GB2312" w:hAnsi="Arial" w:eastAsia="楷体_GB2312"/>
          <w:color w:val="000000"/>
          <w:sz w:val="24"/>
          <w:highlight w:val="none"/>
          <w:lang w:val="en-US" w:eastAsia="zh-CN"/>
        </w:rPr>
      </w:pPr>
      <w:r>
        <w:rPr>
          <w:rFonts w:hint="eastAsia" w:ascii="楷体_GB2312" w:hAnsi="Arial"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Arial" w:eastAsia="楷体_GB2312"/>
          <w:color w:val="000000"/>
          <w:sz w:val="24"/>
          <w:highlight w:val="none"/>
        </w:rPr>
        <w:t>产品暂不收取申购费</w:t>
      </w:r>
      <w:r>
        <w:rPr>
          <w:rFonts w:hint="eastAsia" w:ascii="楷体_GB2312" w:hAnsi="Arial" w:eastAsia="楷体_GB2312"/>
          <w:color w:val="000000"/>
          <w:sz w:val="24"/>
          <w:highlight w:val="none"/>
          <w:lang w:val="en-US" w:eastAsia="zh-CN"/>
        </w:rPr>
        <w:t>用</w:t>
      </w:r>
      <w:r>
        <w:rPr>
          <w:rFonts w:hint="eastAsia" w:ascii="楷体_GB2312" w:hAnsi="Arial" w:eastAsia="楷体_GB2312"/>
          <w:color w:val="000000"/>
          <w:sz w:val="24"/>
          <w:highlight w:val="none"/>
        </w:rPr>
        <w:t>。</w:t>
      </w:r>
    </w:p>
    <w:p>
      <w:pPr>
        <w:ind w:firstLine="480" w:firstLineChars="200"/>
        <w:rPr>
          <w:rFonts w:ascii="楷体_GB2312" w:eastAsia="楷体_GB2312"/>
          <w:b w:val="0"/>
          <w:bCs/>
          <w:sz w:val="24"/>
          <w:highlight w:val="none"/>
        </w:rPr>
      </w:pPr>
      <w:r>
        <w:rPr>
          <w:rFonts w:hint="eastAsia" w:ascii="楷体_GB2312" w:eastAsia="楷体_GB2312"/>
          <w:b w:val="0"/>
          <w:bCs/>
          <w:color w:val="000000"/>
          <w:sz w:val="24"/>
          <w:highlight w:val="none"/>
        </w:rPr>
        <w:t>（十）赎回费用</w:t>
      </w:r>
    </w:p>
    <w:p>
      <w:pPr>
        <w:ind w:firstLine="480"/>
        <w:rPr>
          <w:rFonts w:hint="eastAsia" w:ascii="楷体_GB2312" w:eastAsia="楷体_GB2312"/>
          <w:bCs/>
          <w:sz w:val="24"/>
          <w:highlight w:val="none"/>
          <w:lang w:val="en-US" w:eastAsia="zh-CN"/>
        </w:rPr>
      </w:pPr>
      <w:r>
        <w:rPr>
          <w:rFonts w:hint="eastAsia" w:ascii="楷体_GB2312" w:eastAsia="楷体_GB2312"/>
          <w:bCs/>
          <w:sz w:val="24"/>
          <w:highlight w:val="none"/>
          <w:lang w:val="en-US" w:eastAsia="zh-CN"/>
        </w:rPr>
        <w:t>本理财产品暂不收取赎回费用。</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rPr>
        <w:t>七、产品的收益分配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可供分配利润为本理财产品权益登记日（如有）未分配利润与未分配利润中的已实现部分的孰低数，其中权益登记日为登记享有分红权益的理财份额的日期；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2" w:firstLineChars="200"/>
        <w:rPr>
          <w:rFonts w:ascii="楷体_GB2312" w:hAnsi="宋体" w:eastAsia="楷体_GB2312"/>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1.产品</w:t>
      </w:r>
      <w:r>
        <w:rPr>
          <w:rFonts w:ascii="楷体_GB2312" w:hAnsi="宋体" w:eastAsia="楷体_GB2312"/>
          <w:color w:val="000000"/>
          <w:sz w:val="24"/>
          <w:highlight w:val="none"/>
        </w:rPr>
        <w:t>管理人将根据收益</w:t>
      </w:r>
      <w:r>
        <w:rPr>
          <w:rFonts w:hint="eastAsia" w:ascii="楷体_GB2312" w:hAnsi="宋体" w:eastAsia="楷体_GB2312"/>
          <w:color w:val="000000"/>
          <w:sz w:val="24"/>
          <w:highlight w:val="none"/>
        </w:rPr>
        <w:t>分配</w:t>
      </w:r>
      <w:r>
        <w:rPr>
          <w:rFonts w:ascii="楷体_GB2312" w:hAnsi="宋体" w:eastAsia="楷体_GB2312"/>
          <w:color w:val="000000"/>
          <w:sz w:val="24"/>
          <w:highlight w:val="none"/>
        </w:rPr>
        <w:t>原则进行不定期分配</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收益分配方式</w:t>
      </w:r>
      <w:r>
        <w:rPr>
          <w:rFonts w:hint="eastAsia" w:ascii="楷体_GB2312" w:hAnsi="宋体" w:eastAsia="楷体_GB2312"/>
          <w:color w:val="000000"/>
          <w:sz w:val="24"/>
          <w:highlight w:val="none"/>
          <w:lang w:val="en-US" w:eastAsia="zh-CN"/>
        </w:rPr>
        <w:t>仅</w:t>
      </w:r>
      <w:r>
        <w:rPr>
          <w:rFonts w:hint="eastAsia" w:ascii="楷体_GB2312" w:hAnsi="宋体" w:eastAsia="楷体_GB2312"/>
          <w:color w:val="000000"/>
          <w:sz w:val="24"/>
          <w:highlight w:val="none"/>
        </w:rPr>
        <w:t>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管理人拟订，由托管人复核，并于收益分配后的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pPr>
      <w:r>
        <w:rPr>
          <w:rFonts w:hint="eastAsia" w:ascii="楷体_GB2312" w:hAnsi="宋体" w:eastAsia="楷体_GB2312"/>
          <w:b/>
          <w:color w:val="000000"/>
          <w:sz w:val="24"/>
          <w:highlight w:val="none"/>
          <w:u w:val="none"/>
        </w:rPr>
        <w:t>在符合法律法规及</w:t>
      </w:r>
      <w:r>
        <w:rPr>
          <w:rFonts w:hint="eastAsia" w:ascii="楷体_GB2312" w:hAnsi="宋体" w:eastAsia="楷体_GB2312"/>
          <w:b/>
          <w:color w:val="000000"/>
          <w:sz w:val="24"/>
          <w:highlight w:val="none"/>
          <w:u w:val="none"/>
          <w:lang w:val="en-US" w:eastAsia="zh-CN"/>
        </w:rPr>
        <w:t>本</w:t>
      </w:r>
      <w:r>
        <w:rPr>
          <w:rFonts w:hint="eastAsia" w:ascii="楷体_GB2312" w:hAnsi="宋体" w:eastAsia="楷体_GB2312"/>
          <w:b/>
          <w:color w:val="000000"/>
          <w:sz w:val="24"/>
          <w:highlight w:val="none"/>
          <w:u w:val="none"/>
        </w:rPr>
        <w:t>理财产品销售文件约定，并对</w:t>
      </w:r>
      <w:r>
        <w:rPr>
          <w:rFonts w:hint="eastAsia" w:ascii="楷体_GB2312" w:hAnsi="宋体" w:eastAsia="楷体_GB2312"/>
          <w:b/>
          <w:color w:val="000000"/>
          <w:sz w:val="24"/>
          <w:highlight w:val="none"/>
          <w:u w:val="none"/>
          <w:lang w:val="en-US" w:eastAsia="zh-CN"/>
        </w:rPr>
        <w:t>本</w:t>
      </w:r>
      <w:r>
        <w:rPr>
          <w:rFonts w:hint="eastAsia" w:ascii="楷体_GB2312" w:hAnsi="宋体" w:eastAsia="楷体_GB2312"/>
          <w:b/>
          <w:color w:val="000000"/>
          <w:sz w:val="24"/>
          <w:highlight w:val="none"/>
          <w:u w:val="none"/>
        </w:rPr>
        <w:t>理财产品投资者利益无实质不利影响的前提下，产品管理人可提前</w:t>
      </w:r>
      <w:r>
        <w:rPr>
          <w:rFonts w:hint="eastAsia" w:ascii="楷体_GB2312" w:hAnsi="宋体" w:eastAsia="楷体_GB2312"/>
          <w:b/>
          <w:color w:val="000000"/>
          <w:sz w:val="24"/>
          <w:highlight w:val="none"/>
          <w:u w:val="none"/>
          <w:lang w:val="en-US" w:eastAsia="zh-CN"/>
        </w:rPr>
        <w:t>1</w:t>
      </w:r>
      <w:r>
        <w:rPr>
          <w:rFonts w:hint="eastAsia" w:ascii="楷体_GB2312" w:hAnsi="宋体" w:eastAsia="楷体_GB2312"/>
          <w:b/>
          <w:color w:val="000000"/>
          <w:sz w:val="24"/>
          <w:highlight w:val="none"/>
          <w:u w:val="none"/>
        </w:rPr>
        <w:t>个工作日通知投资者，</w:t>
      </w:r>
      <w:r>
        <w:rPr>
          <w:rFonts w:hint="eastAsia" w:ascii="楷体_GB2312" w:hAnsi="宋体" w:eastAsia="楷体_GB2312"/>
          <w:b/>
          <w:color w:val="000000"/>
          <w:sz w:val="24"/>
          <w:highlight w:val="none"/>
        </w:rPr>
        <w:t>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八、产品的终止与清算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提前终止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存续期内如</w:t>
      </w:r>
      <w:r>
        <w:rPr>
          <w:rFonts w:hint="eastAsia" w:ascii="楷体_GB2312" w:hAnsi="宋体" w:eastAsia="楷体_GB2312"/>
          <w:color w:val="000000"/>
          <w:sz w:val="24"/>
          <w:highlight w:val="none"/>
          <w:lang w:eastAsia="zh-CN"/>
        </w:rPr>
        <w:t>出现以下情况，产品管理人有权提前终止本理财产品：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1.由于监管机构要求或法律法规规定需要终止本理财产品；</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2.因自然灾害、疫情、严重传染病、金融市场危机、战争、国家政策变化等不可抗力因素及/或意外事件导致本理财产品无法正常运作或产品管理人无法继续履行本理财产品销售文件约定事项；</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3.遇有市场出现剧烈波动、异常风险事件等情形导致本理财产品收益出现大幅波动或严重影响本理财产品的资产安全；</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4.因理财资金被有权机关扣划等原因导致本理财产品剩余资产无法满足相关法律法规规定、所投资市场要求或协议等相关法律文件约定，或者继续存续无法实现投资目标；</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5.相关投资合作机构或运用理财资金的第三方主体实施符合法律法规规定或协议等相关文件约定的行为导致本理财产品被动终止；</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lang w:eastAsia="zh-CN"/>
        </w:rPr>
        <w:t>6.产品管理人根据市场情况认为需要终止本理财产品。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产品管理人提前终止本理财产品的，应提前</w:t>
      </w:r>
      <w:r>
        <w:rPr>
          <w:rFonts w:hint="default"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lang w:eastAsia="zh-CN"/>
        </w:rPr>
        <w:t>公告本理财产品终止日及本理财产品终止后的理财本金及收益到账日，并</w:t>
      </w:r>
      <w:r>
        <w:rPr>
          <w:rFonts w:hint="eastAsia" w:ascii="楷体_GB2312" w:hAnsi="宋体" w:eastAsia="楷体_GB2312"/>
          <w:color w:val="000000"/>
          <w:sz w:val="24"/>
          <w:highlight w:val="none"/>
          <w:lang w:val="en-US" w:eastAsia="zh-CN"/>
        </w:rPr>
        <w:t>通过</w:t>
      </w:r>
      <w:r>
        <w:rPr>
          <w:rFonts w:hint="eastAsia" w:ascii="楷体_GB2312" w:hAnsi="宋体" w:eastAsia="楷体_GB2312"/>
          <w:color w:val="000000"/>
          <w:sz w:val="24"/>
          <w:highlight w:val="none"/>
          <w:lang w:eastAsia="zh-CN"/>
        </w:rPr>
        <w:t>本理财产品销售文件约定的信息披露渠道进行公告。</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（二）产品的清算</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1.在本理财产品终止日，</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按</w:t>
      </w:r>
      <w:r>
        <w:rPr>
          <w:rFonts w:hint="eastAsia" w:ascii="楷体_GB2312" w:hAnsi="宋体" w:eastAsia="楷体_GB2312"/>
          <w:color w:val="000000"/>
          <w:sz w:val="24"/>
          <w:highlight w:val="none"/>
          <w:lang w:val="en-US" w:eastAsia="zh-CN"/>
        </w:rPr>
        <w:t>终止日前一个交易日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理财产品单位净值之乘积向投资者进行分配，分配时不收取赎回费。本理财产品终止日不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Times New Roman" w:hAnsi="Times New Roman" w:eastAsia="宋体"/>
          <w:sz w:val="20"/>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w:t>
      </w:r>
      <w:r>
        <w:rPr>
          <w:rFonts w:hint="eastAsia" w:ascii="楷体_GB2312" w:hAnsi="宋体" w:eastAsia="楷体_GB2312"/>
          <w:color w:val="000000"/>
          <w:sz w:val="24"/>
          <w:highlight w:val="none"/>
          <w:lang w:val="en-US" w:eastAsia="zh-CN"/>
        </w:rPr>
        <w:t>通过</w:t>
      </w:r>
      <w:r>
        <w:rPr>
          <w:rFonts w:hint="eastAsia" w:ascii="楷体_GB2312" w:hAnsi="宋体" w:eastAsia="楷体_GB2312"/>
          <w:color w:val="000000"/>
          <w:sz w:val="24"/>
          <w:highlight w:val="none"/>
          <w:lang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rPr>
        <w:t>九、产品的费用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的费用包括销售手续费、固定管理费、托管费以及应当在理财财产中列支的其他费用。</w:t>
      </w:r>
    </w:p>
    <w:p>
      <w:pPr>
        <w:ind w:firstLine="482" w:firstLineChars="200"/>
        <w:rPr>
          <w:rFonts w:hint="eastAsia" w:ascii="楷体_GB2312" w:hAnsi="宋体" w:eastAsia="楷体_GB2312" w:cs="Times New Roman"/>
          <w:b/>
          <w:bCs/>
          <w:color w:val="auto"/>
          <w:sz w:val="24"/>
          <w:highlight w:val="none"/>
        </w:rPr>
      </w:pPr>
      <w:r>
        <w:rPr>
          <w:rFonts w:hint="eastAsia" w:ascii="楷体_GB2312" w:hAnsi="宋体" w:eastAsia="楷体_GB2312" w:cs="Times New Roman"/>
          <w:b/>
          <w:bCs/>
          <w:color w:val="auto"/>
          <w:sz w:val="24"/>
          <w:szCs w:val="24"/>
          <w:highlight w:val="none"/>
          <w:lang w:val="en-US" w:eastAsia="zh-CN"/>
        </w:rPr>
        <w:t>★当每日计算的本理财产品各产品份额类别存在份额为0的情况时，份额为0的产品份额类别不计提当日的</w:t>
      </w:r>
      <w:r>
        <w:rPr>
          <w:rFonts w:hint="eastAsia" w:ascii="楷体_GB2312" w:hAnsi="宋体" w:eastAsia="楷体_GB2312" w:cs="Times New Roman"/>
          <w:b/>
          <w:bCs/>
          <w:color w:val="auto"/>
          <w:sz w:val="24"/>
          <w:szCs w:val="24"/>
          <w:highlight w:val="none"/>
        </w:rPr>
        <w:t>销售手续费、固定管理费</w:t>
      </w:r>
      <w:r>
        <w:rPr>
          <w:rFonts w:hint="eastAsia" w:ascii="楷体_GB2312" w:hAnsi="宋体" w:eastAsia="楷体_GB2312" w:cs="Times New Roman"/>
          <w:b/>
          <w:bCs/>
          <w:color w:val="auto"/>
          <w:sz w:val="24"/>
          <w:szCs w:val="24"/>
          <w:highlight w:val="none"/>
          <w:lang w:val="en-US" w:eastAsia="zh-CN"/>
        </w:rPr>
        <w:t>和</w:t>
      </w:r>
      <w:r>
        <w:rPr>
          <w:rFonts w:hint="eastAsia" w:ascii="楷体_GB2312" w:hAnsi="宋体" w:eastAsia="楷体_GB2312" w:cs="Times New Roman"/>
          <w:b/>
          <w:bCs/>
          <w:color w:val="auto"/>
          <w:sz w:val="24"/>
          <w:szCs w:val="24"/>
          <w:highlight w:val="none"/>
        </w:rPr>
        <w:t>托管费</w:t>
      </w:r>
      <w:r>
        <w:rPr>
          <w:rFonts w:hint="eastAsia" w:ascii="楷体_GB2312" w:hAnsi="宋体" w:eastAsia="楷体_GB2312" w:cs="Times New Roman"/>
          <w:b/>
          <w:bCs/>
          <w:color w:val="auto"/>
          <w:sz w:val="24"/>
          <w:szCs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固定管理费原则上按日计提，由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eastAsia="zh-CN"/>
        </w:rPr>
        <w:t>产品管理人</w:t>
      </w:r>
      <w:r>
        <w:rPr>
          <w:rFonts w:hint="eastAsia" w:ascii="楷体_GB2312" w:hAnsi="宋体" w:eastAsia="楷体_GB2312"/>
          <w:b/>
          <w:bCs/>
          <w:color w:val="000000"/>
          <w:sz w:val="24"/>
          <w:highlight w:val="none"/>
        </w:rPr>
        <w:t>。</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bCs/>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000000"/>
          <w:sz w:val="24"/>
          <w:highlight w:val="none"/>
          <w:lang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理财产品估值的目的是公允、合理地反映理财产品的价值。</w:t>
      </w:r>
      <w:r>
        <w:rPr>
          <w:rFonts w:ascii="楷体_GB2312" w:hAnsi="宋体" w:eastAsia="楷体_GB2312"/>
          <w:color w:val="000000"/>
          <w:sz w:val="24"/>
        </w:rPr>
        <w:t>估值中坚持公允价值</w:t>
      </w:r>
      <w:r>
        <w:rPr>
          <w:rFonts w:hint="eastAsia" w:ascii="楷体_GB2312" w:hAnsi="宋体" w:eastAsia="楷体_GB2312"/>
          <w:color w:val="000000"/>
          <w:sz w:val="24"/>
        </w:rPr>
        <w:t>计量原则。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估值对象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所拥有的各类有价证券、银行存款、应收款项及其他资产和负债。</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产品成立后的每个</w:t>
      </w:r>
      <w:r>
        <w:rPr>
          <w:rFonts w:hint="eastAsia" w:ascii="楷体_GB2312" w:hAnsi="宋体" w:eastAsia="楷体_GB2312"/>
          <w:color w:val="000000"/>
          <w:sz w:val="24"/>
          <w:highlight w:val="none"/>
          <w:lang w:val="en-US" w:eastAsia="zh-CN"/>
        </w:rPr>
        <w:t>自然</w:t>
      </w:r>
      <w:r>
        <w:rPr>
          <w:rFonts w:hint="eastAsia" w:ascii="楷体_GB2312" w:hAnsi="宋体" w:eastAsia="楷体_GB2312"/>
          <w:color w:val="000000"/>
          <w:sz w:val="24"/>
          <w:highlight w:val="none"/>
        </w:rPr>
        <w:t>日均为估值日。</w:t>
      </w:r>
    </w:p>
    <w:p>
      <w:pPr>
        <w:ind w:firstLine="480" w:firstLineChars="200"/>
        <w:rPr>
          <w:rFonts w:ascii="楷体_GB2312" w:hAnsi="宋体" w:eastAsia="楷体_GB2312"/>
          <w:color w:val="000000"/>
          <w:sz w:val="24"/>
        </w:rPr>
      </w:pPr>
      <w:r>
        <w:rPr>
          <w:rFonts w:ascii="楷体_GB2312" w:hAnsi="宋体" w:eastAsia="楷体_GB2312"/>
          <w:color w:val="000000"/>
          <w:sz w:val="24"/>
        </w:rPr>
        <w:t>（四）估值方法</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1.在证券交易所和全国银行间市场交易的标准化债权类资产，可按第三方估值机构（中证、中债等）提供的估值数据进行估值，具体第三方估值机构由</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管理人和</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托管人具体协商确定。</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2.在证券交易所上市流通的股票，估值日有交易的，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3.未上市期间的有价证券应区分如下情况处理：</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送股、转增股、配股和公开增发新股，按估值日在证券交易所挂牌的同一股票的市价（收盘价）估值；如果估值日无交易，且最近交易日后经济环境未发生重大变化且证券发行机构未发生影响证券价格的重大事件的，以最近交易日的市价（收盘价）估值；最近交易日后经济环境发生了重大变化或证券发行机构发生影响证券价格的重大事件的，将参考监管机构或行业协会有关规定，调整最近交易日收盘价，确定公允价值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2）首次公开发行未上市或未挂牌转让的股票、债券，如果发行日后未发生影响公允价值计量的重大事件的，采用发行价作为公允价值的最佳估计；已发生影响公允价值计量重大事件的，应采用估值技术确定公允价值；若估值技术难以可靠计量公允价值的情况下，依据国家监管或行业协会最新规定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3）发行时明确一定期限限售期的股票（包括但不限于非公开发行股票、首次公开发行股票时公司股东公开发售股份、通过大宗交易取得的带限售期的股票等，不包括停牌、新发行未上市、回购交易中的质押等流通受限股票），以同一股票的收盘价为基础，引入流动性折扣进行估值；若估值技术难以可靠计量公允价值的情况下，依据国家监管或行业协会最新规定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4.交易所上市未实行净价交易的债券按估值日收盘全价或第三方估值机构提供的相应品种当日的估值全价减去收盘价或估值全价中所含的债券应收利息得到的净价进行估值。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5.可转换私募债券和可交换私募债券未转股前按照公允价值估值。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6.在证券交易所及全国中小企业股份转让系统等市场交易的优先股，其交易量及交易频率足以持续提供公允价值信息的，估值日有交易，可按估值日收盘价估值；估值日无交易，且最近交易日后未发生影响公允价值计量的重大事件，可参考该优先股或类似投资品种最近交易日收盘价确定公允价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不满足上述条件的，可根据优先股的股息支付条款，经产品管理人与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托管人协商，采用现金流折现模型等估值模型，或依据第三方估值机构提供的价格数据确定公允价值。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7.期货、互换、期权、权证等衍生金融工具场内交易以交易所最近交易日结算价或收盘价进行估值，场外交易按照第三方机构（上海清算所等）提供的估值数据、或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管理人认可的估值模型和参数处理模式进行估值。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8.</w:t>
      </w:r>
      <w:r>
        <w:rPr>
          <w:rFonts w:hint="eastAsia" w:ascii="楷体_GB2312" w:hAnsi="宋体" w:eastAsia="楷体_GB2312"/>
          <w:color w:val="000000"/>
          <w:sz w:val="24"/>
        </w:rPr>
        <w:t>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9.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若投资为私募股权投资基金，可由基金管理人提供估值净值数据，如基金管理人不提供估值的，可采用第三方机构提供的估值数据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管理人认可的估值技术进行估值。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10.各类资产管理计划、结构性存款、结构性票据，以资产管理计划的管理人、结构性存款和结构性票据的发行人和托管人共同确认的净值或投资收益情况进行估值。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11.债券回购和拆借按本金列示，逐日计提利息。</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12.银行存款以每个估值日以本金列示，逐日计提利息。</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13.非上市股权类资产，通常不存在活跃报价的交易市场，由</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管理人通过其认可的估值方法和技术进行估值。</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14.若本理财产品存续期间持有其他投资品种，以</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管理人和</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15.在任何情况下，如采用以上规定的方法对资产进行估值，均应被认为采用了适当的估值方法。但是，如果</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管理人或</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托管人认为按以上规定的方法对产品资产进行估值不能客观反映其公允价值的，可提出异议，协商一致后，变更公允价值的确定方式，并从经</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托管人协商一致日起执行。</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16.对于以上估值方法，相关法律法规、监管机构及行业协会有另行规定的，按照最新规定执行。如并无明确规定和要求的，由产品管理人与</w:t>
      </w: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ascii="楷体_GB2312" w:hAnsi="宋体" w:eastAsia="楷体_GB2312"/>
          <w:color w:val="000000"/>
          <w:sz w:val="24"/>
          <w:highlight w:val="none"/>
        </w:rPr>
        <w:t>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理财产品投资所涉及的证券交易所遇法定节假日或其他原因暂停营业；</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无法准确评估资产价值；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理财产品在前一估值日内，产品资产净值50%以上的资产不具备活跃交易市场或者在活跃市场中无报价，且不能采用估值技术可靠计量公允价值的，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val="en-US" w:eastAsia="zh-CN"/>
        </w:rPr>
        <w:t>应</w:t>
      </w:r>
      <w:r>
        <w:rPr>
          <w:rFonts w:hint="eastAsia" w:ascii="楷体_GB2312" w:hAnsi="宋体" w:eastAsia="楷体_GB2312"/>
          <w:color w:val="000000"/>
          <w:sz w:val="24"/>
          <w:highlight w:val="none"/>
        </w:rPr>
        <w:t>暂停</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（4）法律法规规定或本</w:t>
      </w:r>
      <w:r>
        <w:rPr>
          <w:rFonts w:hint="eastAsia" w:ascii="楷体_GB2312" w:hAnsi="宋体" w:eastAsia="楷体_GB2312"/>
          <w:color w:val="000000"/>
          <w:sz w:val="24"/>
          <w:highlight w:val="none"/>
          <w:lang w:eastAsia="zh-CN"/>
        </w:rPr>
        <w:t>理财产品销售文件</w:t>
      </w:r>
      <w:r>
        <w:rPr>
          <w:rFonts w:hint="eastAsia" w:ascii="楷体_GB2312" w:hAnsi="宋体" w:eastAsia="楷体_GB2312"/>
          <w:color w:val="000000"/>
          <w:sz w:val="24"/>
          <w:highlight w:val="none"/>
        </w:rPr>
        <w:t>约定的其</w:t>
      </w:r>
      <w:r>
        <w:rPr>
          <w:rFonts w:hint="eastAsia" w:ascii="楷体_GB2312" w:hAnsi="宋体" w:eastAsia="楷体_GB2312"/>
          <w:color w:val="000000"/>
          <w:sz w:val="24"/>
          <w:highlight w:val="none"/>
          <w:lang w:val="en-US" w:eastAsia="zh-CN"/>
        </w:rPr>
        <w:t>他</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将按照监管规定及</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宋体" w:eastAsia="楷体_GB2312"/>
          <w:color w:val="000000"/>
          <w:sz w:val="24"/>
          <w:highlight w:val="none"/>
        </w:rPr>
        <w:t>说明运用相关措施的原因及</w:t>
      </w:r>
      <w:r>
        <w:rPr>
          <w:rFonts w:hint="eastAsia" w:ascii="楷体_GB2312" w:hAnsi="宋体" w:eastAsia="楷体_GB2312"/>
          <w:color w:val="000000"/>
          <w:sz w:val="24"/>
          <w:highlight w:val="none"/>
          <w:lang w:val="en-US" w:eastAsia="zh-CN"/>
        </w:rPr>
        <w:t>拟</w:t>
      </w:r>
      <w:r>
        <w:rPr>
          <w:rFonts w:hint="eastAsia" w:ascii="楷体_GB2312" w:hAnsi="宋体" w:eastAsia="楷体_GB2312"/>
          <w:color w:val="000000"/>
          <w:sz w:val="24"/>
          <w:highlight w:val="none"/>
        </w:rPr>
        <w:t>采取的应对安排等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必须及时查明原因并纠正，保证相关各方平行登录的账册记录完全相符。</w:t>
      </w:r>
    </w:p>
    <w:p>
      <w:pPr>
        <w:ind w:firstLine="482" w:firstLineChars="200"/>
        <w:rPr>
          <w:rFonts w:ascii="楷体_GB2312" w:hAnsi="宋体" w:eastAsia="楷体_GB2312"/>
          <w:b/>
          <w:color w:val="000000"/>
          <w:sz w:val="24"/>
        </w:rPr>
      </w:pPr>
      <w:r>
        <w:rPr>
          <w:rFonts w:ascii="楷体_GB2312" w:hAnsi="宋体" w:eastAsia="楷体_GB2312"/>
          <w:b/>
          <w:color w:val="000000"/>
          <w:sz w:val="24"/>
        </w:rPr>
        <w:t>十一、</w:t>
      </w:r>
      <w:r>
        <w:rPr>
          <w:rFonts w:hint="eastAsia" w:ascii="楷体_GB2312" w:hAnsi="宋体" w:eastAsia="楷体_GB2312"/>
          <w:b/>
          <w:color w:val="000000"/>
          <w:sz w:val="24"/>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将严格按照相关法律法规、规章、监管规定和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hint="eastAsia" w:ascii="楷体_GB2312" w:hAnsi="宋体" w:eastAsia="楷体_GB2312"/>
          <w:color w:val="000000"/>
          <w:sz w:val="24"/>
          <w:highlight w:val="none"/>
          <w:lang w:eastAsia="zh-CN"/>
        </w:rPr>
      </w:pPr>
      <w:r>
        <w:rPr>
          <w:rFonts w:hint="eastAsia" w:ascii="楷体_GB2312" w:hAnsi="宋体" w:eastAsia="楷体_GB2312"/>
          <w:color w:val="000000"/>
          <w:sz w:val="24"/>
          <w:highlight w:val="none"/>
        </w:rPr>
        <w:t>在本理财产品每个开放日</w:t>
      </w:r>
      <w:r>
        <w:rPr>
          <w:rFonts w:hint="eastAsia" w:ascii="楷体_GB2312" w:hAnsi="宋体" w:eastAsia="楷体_GB2312"/>
          <w:color w:val="000000"/>
          <w:sz w:val="24"/>
          <w:highlight w:val="none"/>
          <w:lang w:val="en-US" w:eastAsia="zh-CN"/>
        </w:rPr>
        <w:t>结束</w:t>
      </w:r>
      <w:r>
        <w:rPr>
          <w:rFonts w:hint="eastAsia" w:ascii="楷体_GB2312" w:hAnsi="宋体" w:eastAsia="楷体_GB2312"/>
          <w:color w:val="000000"/>
          <w:sz w:val="24"/>
          <w:highlight w:val="none"/>
        </w:rPr>
        <w:t>后2个工作日披露开放日的产品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净值和产品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累计净值、</w:t>
      </w:r>
      <w:r>
        <w:rPr>
          <w:rFonts w:hint="eastAsia" w:ascii="楷体_GB2312" w:hAnsi="宋体" w:eastAsia="楷体_GB2312"/>
          <w:color w:val="000000"/>
          <w:sz w:val="24"/>
          <w:highlight w:val="none"/>
          <w:lang w:val="en-US" w:eastAsia="zh-CN"/>
        </w:rPr>
        <w:t>申</w:t>
      </w:r>
      <w:r>
        <w:rPr>
          <w:rFonts w:hint="eastAsia" w:ascii="楷体_GB2312" w:hAnsi="宋体" w:eastAsia="楷体_GB2312"/>
          <w:color w:val="000000"/>
          <w:sz w:val="24"/>
          <w:highlight w:val="none"/>
        </w:rPr>
        <w:t>购价格、赎回价格</w:t>
      </w:r>
      <w:r>
        <w:rPr>
          <w:rFonts w:hint="eastAsia" w:ascii="楷体_GB2312" w:hAnsi="宋体" w:eastAsia="楷体_GB2312"/>
          <w:color w:val="000000"/>
          <w:sz w:val="24"/>
          <w:highlight w:val="none"/>
          <w:lang w:eastAsia="zh-CN"/>
        </w:rPr>
        <w:t>；在定期报告中披露本理财产品在季度、半年和年度最后一个市场交易日的产品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净值、产品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lang w:eastAsia="zh-CN"/>
        </w:rPr>
        <w:t>累计净值和产品资产净值。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将在发生可能对本理财产品投资者或者</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每个季度结束之日起15个工作日内、上半年结束之日起60个工作日内、每年结束之日起90个工作日内披露本理财产品的季度、半年和年度报告，如果本理财产品成立不足90个工作日或者剩余存续期不超过90个工作日的，</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bookmarkStart w:id="4" w:name="_Hlk146059333"/>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理财产品组合资产情况及其流动性风险分析等。</w:t>
      </w:r>
      <w:bookmarkEnd w:id="4"/>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将在本理财产品终止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后5个工作日内披露产品到期公告。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eastAsia="zh-CN"/>
        </w:rPr>
        <w:t>本</w:t>
      </w:r>
      <w:r>
        <w:rPr>
          <w:rFonts w:ascii="楷体_GB2312" w:hAnsi="宋体" w:eastAsia="楷体_GB2312"/>
          <w:color w:val="000000"/>
          <w:sz w:val="24"/>
          <w:highlight w:val="none"/>
        </w:rPr>
        <w:t>理财产品认/申购、赎回事项调整或潜在影响投资者赎回等事项时，</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的信息披露渠道为代销机构</w:t>
      </w:r>
      <w:r>
        <w:rPr>
          <w:rFonts w:hint="eastAsia" w:ascii="楷体_GB2312" w:hAnsi="宋体" w:eastAsia="楷体_GB2312"/>
          <w:color w:val="000000"/>
          <w:sz w:val="24"/>
          <w:highlight w:val="none"/>
          <w:lang w:val="en-US" w:eastAsia="zh-CN"/>
        </w:rPr>
        <w:t>电子渠道</w:t>
      </w:r>
      <w:r>
        <w:rPr>
          <w:rFonts w:hint="eastAsia" w:ascii="楷体_GB2312" w:hAnsi="宋体" w:eastAsia="楷体_GB2312"/>
          <w:color w:val="000000"/>
          <w:sz w:val="24"/>
          <w:highlight w:val="none"/>
          <w:lang w:eastAsia="zh-CN"/>
        </w:rPr>
        <w:t>、</w:t>
      </w:r>
      <w:r>
        <w:rPr>
          <w:rFonts w:hint="default" w:ascii="楷体_GB2312" w:hAnsi="宋体" w:eastAsia="楷体_GB2312" w:cs="Times New Roman"/>
          <w:color w:val="000000"/>
          <w:kern w:val="2"/>
          <w:sz w:val="24"/>
          <w:szCs w:val="24"/>
          <w:highlight w:val="none"/>
        </w:rPr>
        <w:t>北银理财有限责任公司官</w:t>
      </w:r>
      <w:r>
        <w:rPr>
          <w:rFonts w:hint="default" w:ascii="楷体_GB2312" w:hAnsi="宋体" w:eastAsia="楷体_GB2312" w:cs="Times New Roman"/>
          <w:color w:val="000000"/>
          <w:kern w:val="2"/>
          <w:sz w:val="24"/>
          <w:szCs w:val="24"/>
          <w:highlight w:val="none"/>
          <w:lang w:val="en-US" w:eastAsia="zh-CN"/>
        </w:rPr>
        <w:t>方</w:t>
      </w:r>
      <w:r>
        <w:rPr>
          <w:rFonts w:hint="default" w:ascii="楷体_GB2312" w:hAnsi="宋体" w:eastAsia="楷体_GB2312" w:cs="Times New Roman"/>
          <w:color w:val="000000"/>
          <w:kern w:val="2"/>
          <w:sz w:val="24"/>
          <w:szCs w:val="24"/>
          <w:highlight w:val="none"/>
        </w:rPr>
        <w:t>网站</w:t>
      </w:r>
      <w:r>
        <w:rPr>
          <w:rFonts w:hint="eastAsia" w:ascii="楷体_GB2312" w:hAnsi="宋体" w:eastAsia="楷体_GB2312"/>
          <w:color w:val="000000"/>
          <w:sz w:val="24"/>
          <w:highlight w:val="none"/>
          <w:lang w:val="en-US" w:eastAsia="zh-CN"/>
        </w:rPr>
        <w:t>或监管机构认可的其他公开渠道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eastAsia="zh-CN"/>
        </w:rPr>
        <w:t>本理财</w:t>
      </w:r>
      <w:r>
        <w:rPr>
          <w:rFonts w:ascii="楷体_GB2312" w:hAnsi="宋体" w:eastAsia="楷体_GB2312"/>
          <w:color w:val="000000"/>
          <w:sz w:val="24"/>
          <w:highlight w:val="none"/>
        </w:rPr>
        <w:t>产品相关信息</w:t>
      </w:r>
      <w:bookmarkStart w:id="5" w:name="_Hlk146059341"/>
      <w:r>
        <w:rPr>
          <w:rFonts w:hint="eastAsia" w:ascii="楷体_GB2312" w:hAnsi="宋体" w:eastAsia="楷体_GB2312"/>
          <w:color w:val="000000"/>
          <w:sz w:val="24"/>
          <w:highlight w:val="none"/>
        </w:rPr>
        <w:t>，在保障投资者知情权的前提下，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保留变更信息披露渠道的权利</w:t>
      </w:r>
      <w:bookmarkEnd w:id="5"/>
      <w:r>
        <w:rPr>
          <w:rFonts w:ascii="楷体_GB2312" w:hAnsi="宋体" w:eastAsia="楷体_GB2312"/>
          <w:color w:val="000000"/>
          <w:sz w:val="24"/>
          <w:highlight w:val="none"/>
        </w:rPr>
        <w:t>。相关信息自公告之日即视为已送达投资者</w:t>
      </w:r>
      <w:bookmarkStart w:id="6"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已适当履行其信息披露义务</w:t>
      </w:r>
      <w:bookmarkEnd w:id="6"/>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p>
    <w:p>
      <w:pPr>
        <w:ind w:firstLine="480" w:firstLineChars="200"/>
        <w:rPr>
          <w:rStyle w:val="21"/>
          <w:b/>
          <w:bCs/>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default" w:ascii="楷体_GB2312" w:hAnsi="宋体" w:eastAsia="楷体_GB2312"/>
          <w:color w:val="000000"/>
          <w:sz w:val="24"/>
          <w:highlight w:val="none"/>
          <w:lang w:val="en-US"/>
        </w:rPr>
        <w:t>5</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理财产品存续期间，若因国家法律法规、监管规定发生变化，或出于维持本理财产品正常运营的需要，在不损害投资者利益的前提下，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有权单方面对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理财产品销售文件进行修订，并提前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进行公告。投资者在此同意修订后的理财产品销售文件对投资者具有法律约束力。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★（二）对于在本理财产品销售文件签订和履行过程中获取和知悉的投资者的未公开信息和资料，</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为履行本理财产品销售文件义务及行使</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rPr>
      </w:pPr>
      <w:r>
        <w:rPr>
          <w:rFonts w:hint="eastAsia" w:ascii="楷体_GB2312" w:hAnsi="宋体" w:eastAsia="楷体_GB2312"/>
          <w:b/>
          <w:color w:val="000000"/>
          <w:sz w:val="24"/>
        </w:rPr>
        <w:t>十二、相关机构的概况</w:t>
      </w:r>
    </w:p>
    <w:p>
      <w:pPr>
        <w:ind w:firstLine="480" w:firstLineChars="200"/>
        <w:rPr>
          <w:rFonts w:ascii="楷体_GB2312" w:hAnsi="宋体" w:eastAsia="楷体_GB2312"/>
          <w:color w:val="000000"/>
          <w:sz w:val="24"/>
        </w:rPr>
      </w:pPr>
      <w:r>
        <w:rPr>
          <w:rFonts w:ascii="楷体_GB2312" w:hAnsi="宋体" w:eastAsia="楷体_GB2312"/>
          <w:color w:val="000000"/>
          <w:sz w:val="24"/>
        </w:rPr>
        <w:t>（一）</w:t>
      </w:r>
      <w:r>
        <w:rPr>
          <w:rFonts w:hint="eastAsia" w:ascii="楷体_GB2312" w:hAnsi="宋体" w:eastAsia="楷体_GB2312"/>
          <w:color w:val="000000"/>
          <w:sz w:val="24"/>
        </w:rPr>
        <w:t>产品托管机构的基本信息和主要职责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w:t>
      </w:r>
      <w:r>
        <w:rPr>
          <w:rFonts w:hint="eastAsia" w:ascii="楷体_GB2312" w:hAnsi="宋体" w:eastAsia="楷体_GB2312"/>
          <w:color w:val="000000"/>
          <w:sz w:val="24"/>
          <w:lang w:val="en-US" w:eastAsia="zh-CN"/>
        </w:rPr>
        <w:t>产品</w:t>
      </w:r>
      <w:r>
        <w:rPr>
          <w:rFonts w:ascii="楷体_GB2312" w:hAnsi="宋体" w:eastAsia="楷体_GB2312"/>
          <w:color w:val="000000"/>
          <w:sz w:val="24"/>
        </w:rPr>
        <w:t>托管人基本信息</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名称：</w:t>
      </w:r>
      <w:r>
        <w:rPr>
          <w:rFonts w:hint="eastAsia" w:ascii="楷体_GB2312" w:hAnsi="宋体" w:eastAsia="楷体_GB2312"/>
          <w:color w:val="000000"/>
          <w:sz w:val="24"/>
        </w:rPr>
        <w:t>北京银行股份有限公司</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rPr>
        <w:t>霍学文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注册地址：</w:t>
      </w:r>
      <w:r>
        <w:rPr>
          <w:rFonts w:hint="eastAsia" w:ascii="楷体_GB2312" w:hAnsi="宋体" w:eastAsia="楷体_GB2312"/>
          <w:color w:val="000000"/>
          <w:sz w:val="24"/>
        </w:rPr>
        <w:t>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产品管理人在此特别披露：</w:t>
      </w:r>
      <w:r>
        <w:rPr>
          <w:rFonts w:hint="eastAsia" w:ascii="楷体_GB2312" w:hAnsi="宋体" w:eastAsia="楷体_GB2312"/>
          <w:color w:val="000000"/>
          <w:sz w:val="24"/>
          <w:highlight w:val="none"/>
          <w:lang w:val="en-US" w:eastAsia="zh-CN"/>
        </w:rPr>
        <w:t>产品托管人为产品管理人的关联方，产品管理人聘请其担任产品托管人已履行了现行法律法规和监管规定所规定必须履行的程序,产品管理人、投资者同意并接受本理财产品由产品托管人托管。</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lang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7" w:name="_Hlk146059360"/>
      <w:r>
        <w:rPr>
          <w:rFonts w:hint="eastAsia" w:ascii="楷体_GB2312" w:hAnsi="宋体" w:eastAsia="楷体_GB2312"/>
          <w:color w:val="000000"/>
          <w:sz w:val="24"/>
          <w:highlight w:val="none"/>
        </w:rPr>
        <w:t>法律法规规定、</w:t>
      </w:r>
      <w:bookmarkEnd w:id="7"/>
      <w:r>
        <w:rPr>
          <w:rFonts w:hint="eastAsia" w:ascii="楷体_GB2312" w:hAnsi="宋体" w:eastAsia="楷体_GB2312"/>
          <w:color w:val="000000"/>
          <w:sz w:val="24"/>
          <w:highlight w:val="none"/>
        </w:rPr>
        <w:t>国务院银行业监督管理机构规定</w:t>
      </w:r>
      <w:bookmarkStart w:id="8"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8"/>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rPr>
      </w:pPr>
      <w:r>
        <w:rPr>
          <w:rFonts w:ascii="楷体_GB2312" w:hAnsi="宋体" w:eastAsia="楷体_GB2312"/>
          <w:color w:val="000000"/>
          <w:sz w:val="24"/>
        </w:rPr>
        <w:t>（</w:t>
      </w:r>
      <w:r>
        <w:rPr>
          <w:rFonts w:hint="eastAsia" w:ascii="楷体_GB2312" w:hAnsi="宋体" w:eastAsia="楷体_GB2312"/>
          <w:color w:val="000000"/>
          <w:sz w:val="24"/>
        </w:rPr>
        <w:t>二</w:t>
      </w:r>
      <w:r>
        <w:rPr>
          <w:rFonts w:ascii="楷体_GB2312" w:hAnsi="宋体" w:eastAsia="楷体_GB2312"/>
          <w:color w:val="000000"/>
          <w:sz w:val="24"/>
        </w:rPr>
        <w:t>）</w:t>
      </w:r>
      <w:r>
        <w:rPr>
          <w:rFonts w:hint="eastAsia" w:ascii="楷体_GB2312" w:hAnsi="宋体" w:eastAsia="楷体_GB2312"/>
          <w:color w:val="000000"/>
          <w:sz w:val="24"/>
        </w:rPr>
        <w:t>产品代销机构的基本信息和主要职责</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1.代销机构基本信息</w:t>
      </w:r>
    </w:p>
    <w:p>
      <w:pPr>
        <w:ind w:firstLine="480" w:firstLineChars="200"/>
        <w:rPr>
          <w:rFonts w:hint="default" w:ascii="楷体_GB2312" w:eastAsia="楷体_GB2312"/>
          <w:bCs/>
          <w:color w:val="auto"/>
          <w:sz w:val="24"/>
          <w:lang w:val="en-US" w:eastAsia="zh-CN"/>
        </w:rPr>
      </w:pPr>
      <w:r>
        <w:rPr>
          <w:rFonts w:hint="eastAsia" w:ascii="楷体_GB2312" w:eastAsia="楷体_GB2312"/>
          <w:bCs/>
          <w:color w:val="auto"/>
          <w:sz w:val="24"/>
          <w:lang w:val="en-US" w:eastAsia="zh-CN"/>
        </w:rPr>
        <w:t>A</w:t>
      </w:r>
      <w:r>
        <w:rPr>
          <w:rFonts w:hint="eastAsia" w:ascii="楷体_GB2312" w:eastAsia="楷体_GB2312"/>
          <w:bCs/>
          <w:color w:val="auto"/>
          <w:sz w:val="24"/>
          <w:lang w:eastAsia="zh-CN"/>
        </w:rPr>
        <w:t>类份额：</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浙江龙游农村商业银行股份有限公司（以下简称“龙游农商银行”）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w:t>
      </w:r>
      <w:r>
        <w:rPr>
          <w:rFonts w:hint="eastAsia" w:ascii="楷体_GB2312" w:hAnsi="宋体" w:eastAsia="楷体_GB2312"/>
          <w:color w:val="000000"/>
          <w:sz w:val="24"/>
          <w:highlight w:val="none"/>
          <w:lang w:val="en-US" w:eastAsia="zh-CN"/>
        </w:rPr>
        <w:t>宋利剑</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注册地址：浙江省衢州市龙游县龙洲街道荣昌大道683、685、687号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浙江青田农村商业银行股份有限公司（以下简称“青田农商银行”）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法定代表人：汤伟强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注册地址：浙江省青田县鹤城街道鹤城东路180号</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浙江德清农村商业银行股份有限公司（以下简称“德清农商银行”）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法定代表人：丁爱平</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注册地址：浙江省德清县武康街道沈长圩街50号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浙江台州路桥农村商业银行股份有限公司（以下简称“台州农商银行”）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法定代表人：罗洋明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注册地址：浙江省台州市路桥区路北街道中心大道5789号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浙江龙泉农村商业银行股份有限公司（以下简称“龙泉农商银行”）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法定代表人：刘紫波</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注册地址：浙江省丽水市龙泉市龙渊街道中山东路101号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浙江绍兴瑞丰农村商业银行股份有限公司（以下简称“瑞丰农商银行”）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法定代表人：吴智晖</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注册地址：浙江省绍兴市柯桥区柯桥笛扬路1363号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浙江舟山普陀农村商业银行股份有限公司（以下简称“普陀农商银行”）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法定代表人：缪军</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注册地址：浙江省舟山市普陀区东港街道麒麟街225号（自贸试验区内）</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浙江建德农村商业银行股份有限公司（以下简称“建德农商银行”）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法定代表人：王锦芳</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注册地址：浙江省建德市新安江街道江滨中路176号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9</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浙江嵊州农村商业银行股份有限公司（以下简称“嵊州农商银行”）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法定代表人：林枫</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注册地址：浙江省嵊州市剡湖街道官河路398号</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宁波慈溪农村商业银行股份有限公司（以下简称“慈溪农商银行”）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法定代表人：沈雨风</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注册地址：浙江省慈溪市浒山街道南城路25号、59号5-6层</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11</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浙江浦江农村商业银行股份有限公司（以下简称“浦江农商银行”）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法定代表人：陈文斌</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注册地址：浙江省浦江县人民东路90号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12</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浙江平湖农村商业银行股份有限公司（以下简称“平湖农商银行”）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法定代表人：李九良</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注册地址：浙江省平湖市当湖街道胜利路518号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hint="eastAsia" w:ascii="楷体_GB2312" w:hAnsi="宋体" w:eastAsia="楷体_GB2312" w:cs="Times New Roman"/>
          <w:color w:val="auto"/>
          <w:sz w:val="24"/>
          <w:lang w:val="en-US" w:eastAsia="zh-CN"/>
        </w:rPr>
      </w:pP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13</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代销机构名称：</w:t>
      </w:r>
      <w:r>
        <w:rPr>
          <w:rFonts w:hint="eastAsia" w:ascii="楷体_GB2312" w:hAnsi="宋体" w:eastAsia="楷体_GB2312" w:cs="Times New Roman"/>
          <w:color w:val="auto"/>
          <w:sz w:val="24"/>
          <w:lang w:val="en-US" w:eastAsia="zh-CN"/>
        </w:rPr>
        <w:t>杭州联合农村商业银行股份有限公司（以下简称“杭州联合银行”）</w:t>
      </w:r>
    </w:p>
    <w:p>
      <w:pPr>
        <w:ind w:firstLine="480" w:firstLineChars="200"/>
        <w:rPr>
          <w:rFonts w:hint="eastAsia"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法定代表人：林时益</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注册地址：浙江省杭州市上城区建国中路99号</w:t>
      </w:r>
    </w:p>
    <w:p>
      <w:pPr>
        <w:ind w:firstLine="480" w:firstLineChars="200"/>
        <w:rPr>
          <w:rFonts w:hint="eastAsia" w:ascii="楷体_GB2312" w:eastAsia="楷体_GB2312"/>
          <w:color w:val="auto"/>
          <w:sz w:val="24"/>
          <w:highlight w:val="none"/>
        </w:rPr>
      </w:pPr>
      <w:r>
        <w:rPr>
          <w:rFonts w:hint="eastAsia" w:ascii="楷体_GB2312" w:hAnsi="宋体" w:eastAsia="楷体_GB2312"/>
          <w:color w:val="000000"/>
          <w:sz w:val="24"/>
          <w:highlight w:val="none"/>
        </w:rPr>
        <w:t>投资者服务热线：</w:t>
      </w:r>
      <w:r>
        <w:rPr>
          <w:rFonts w:hint="eastAsia" w:ascii="楷体_GB2312" w:eastAsia="楷体_GB2312"/>
          <w:color w:val="auto"/>
          <w:sz w:val="24"/>
          <w:highlight w:val="none"/>
        </w:rPr>
        <w:t>96596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9" w:name="_Hlk146059378"/>
      <w:r>
        <w:rPr>
          <w:rFonts w:hint="eastAsia" w:ascii="楷体_GB2312" w:hAnsi="宋体" w:eastAsia="楷体_GB2312"/>
          <w:color w:val="000000"/>
          <w:sz w:val="24"/>
          <w:highlight w:val="none"/>
        </w:rPr>
        <w:t>、国务院银行业监督管理机构规定</w:t>
      </w:r>
      <w:bookmarkEnd w:id="9"/>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pPr>
        <w:widowControl/>
        <w:jc w:val="left"/>
        <w:rPr>
          <w:rFonts w:ascii="楷体_GB2312" w:hAnsi="楷体" w:eastAsia="楷体_GB2312"/>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Tahoma">
    <w:panose1 w:val="020B0604030504040204"/>
    <w:charset w:val="00"/>
    <w:family w:val="decorative"/>
    <w:pitch w:val="default"/>
    <w:sig w:usb0="E1002EFF" w:usb1="C000605B" w:usb2="00000029" w:usb3="00000000" w:csb0="200101FF" w:csb1="2028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23877"/>
    </w:sdtPr>
    <w:sdtContent>
      <w:sdt>
        <w:sdtPr>
          <w:id w:val="171357217"/>
        </w:sdtPr>
        <w:sdtContent>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41</w:t>
            </w:r>
            <w:r>
              <w:rPr>
                <w:b/>
                <w:sz w:val="24"/>
                <w:szCs w:val="24"/>
              </w:rPr>
              <w:fldChar w:fldCharType="end"/>
            </w:r>
          </w:p>
        </w:sdtContent>
      </w:sdt>
    </w:sdtContent>
  </w:sdt>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9"/>
      </w:rPr>
    </w:pPr>
    <w:r>
      <w:fldChar w:fldCharType="begin"/>
    </w:r>
    <w:r>
      <w:rPr>
        <w:rStyle w:val="19"/>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w:t>
    </w:r>
    <w:r>
      <w:rPr>
        <w:rFonts w:hint="eastAsia" w:ascii="黑体" w:hAnsi="黑体" w:eastAsia="黑体"/>
        <w:b/>
        <w:lang w:val="en-US" w:eastAsia="zh-CN"/>
      </w:rPr>
      <w:t>春系列诚享</w:t>
    </w:r>
    <w:r>
      <w:rPr>
        <w:rFonts w:hint="eastAsia" w:ascii="黑体" w:hAnsi="黑体" w:eastAsia="黑体"/>
        <w:b/>
      </w:rPr>
      <w:t xml:space="preserve">持有期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A65"/>
    <w:rsid w:val="0001130F"/>
    <w:rsid w:val="00023027"/>
    <w:rsid w:val="00023624"/>
    <w:rsid w:val="00023E25"/>
    <w:rsid w:val="00031959"/>
    <w:rsid w:val="0004142F"/>
    <w:rsid w:val="00042AB1"/>
    <w:rsid w:val="00073152"/>
    <w:rsid w:val="00075959"/>
    <w:rsid w:val="000927EA"/>
    <w:rsid w:val="000A6512"/>
    <w:rsid w:val="000B06F2"/>
    <w:rsid w:val="000B4AAB"/>
    <w:rsid w:val="000B4F4A"/>
    <w:rsid w:val="000E1184"/>
    <w:rsid w:val="000F1B5E"/>
    <w:rsid w:val="0010341C"/>
    <w:rsid w:val="00114FA2"/>
    <w:rsid w:val="00127573"/>
    <w:rsid w:val="00133A37"/>
    <w:rsid w:val="0013433A"/>
    <w:rsid w:val="00135BA4"/>
    <w:rsid w:val="00136EE0"/>
    <w:rsid w:val="00140605"/>
    <w:rsid w:val="0014653B"/>
    <w:rsid w:val="0016438C"/>
    <w:rsid w:val="001A19A8"/>
    <w:rsid w:val="001A1AF2"/>
    <w:rsid w:val="001A4AA4"/>
    <w:rsid w:val="001D2398"/>
    <w:rsid w:val="001D298D"/>
    <w:rsid w:val="001D6E08"/>
    <w:rsid w:val="001E4E0A"/>
    <w:rsid w:val="002108E2"/>
    <w:rsid w:val="0021550A"/>
    <w:rsid w:val="00216360"/>
    <w:rsid w:val="00235432"/>
    <w:rsid w:val="0023619B"/>
    <w:rsid w:val="00240AB8"/>
    <w:rsid w:val="00251C33"/>
    <w:rsid w:val="00265479"/>
    <w:rsid w:val="002A495F"/>
    <w:rsid w:val="002B4144"/>
    <w:rsid w:val="002B4FF6"/>
    <w:rsid w:val="002C6A5C"/>
    <w:rsid w:val="002D1A2E"/>
    <w:rsid w:val="002D5B8E"/>
    <w:rsid w:val="002F3E26"/>
    <w:rsid w:val="00300B76"/>
    <w:rsid w:val="00301B4C"/>
    <w:rsid w:val="00304018"/>
    <w:rsid w:val="00306DF0"/>
    <w:rsid w:val="00311054"/>
    <w:rsid w:val="00312DEE"/>
    <w:rsid w:val="00312FBA"/>
    <w:rsid w:val="0031305A"/>
    <w:rsid w:val="00314971"/>
    <w:rsid w:val="00316E6E"/>
    <w:rsid w:val="00346B0F"/>
    <w:rsid w:val="00354BD8"/>
    <w:rsid w:val="00365415"/>
    <w:rsid w:val="00367620"/>
    <w:rsid w:val="00370C09"/>
    <w:rsid w:val="00383602"/>
    <w:rsid w:val="00383738"/>
    <w:rsid w:val="0038646E"/>
    <w:rsid w:val="0039453C"/>
    <w:rsid w:val="00395CDA"/>
    <w:rsid w:val="003B62AA"/>
    <w:rsid w:val="003D08CE"/>
    <w:rsid w:val="003D5C4E"/>
    <w:rsid w:val="003E35AE"/>
    <w:rsid w:val="0040047D"/>
    <w:rsid w:val="00402C91"/>
    <w:rsid w:val="00407BFC"/>
    <w:rsid w:val="00413047"/>
    <w:rsid w:val="00417689"/>
    <w:rsid w:val="0041771D"/>
    <w:rsid w:val="00436F86"/>
    <w:rsid w:val="004568C0"/>
    <w:rsid w:val="00463041"/>
    <w:rsid w:val="004635B0"/>
    <w:rsid w:val="0047342B"/>
    <w:rsid w:val="0047354A"/>
    <w:rsid w:val="0047635F"/>
    <w:rsid w:val="00480F5E"/>
    <w:rsid w:val="004918CA"/>
    <w:rsid w:val="00491F21"/>
    <w:rsid w:val="00493993"/>
    <w:rsid w:val="004967C7"/>
    <w:rsid w:val="004A19BD"/>
    <w:rsid w:val="004A7006"/>
    <w:rsid w:val="004C3397"/>
    <w:rsid w:val="004D17AB"/>
    <w:rsid w:val="004E1624"/>
    <w:rsid w:val="004E4340"/>
    <w:rsid w:val="004F098A"/>
    <w:rsid w:val="004F1F50"/>
    <w:rsid w:val="005002F1"/>
    <w:rsid w:val="005132A5"/>
    <w:rsid w:val="00516B28"/>
    <w:rsid w:val="00517AD7"/>
    <w:rsid w:val="00520D2F"/>
    <w:rsid w:val="00530E7E"/>
    <w:rsid w:val="00537946"/>
    <w:rsid w:val="00546347"/>
    <w:rsid w:val="0056230B"/>
    <w:rsid w:val="00562769"/>
    <w:rsid w:val="005837A2"/>
    <w:rsid w:val="00583A81"/>
    <w:rsid w:val="005A2C68"/>
    <w:rsid w:val="005B2D06"/>
    <w:rsid w:val="005C004E"/>
    <w:rsid w:val="005C21F3"/>
    <w:rsid w:val="005C460A"/>
    <w:rsid w:val="005D4317"/>
    <w:rsid w:val="005D6C65"/>
    <w:rsid w:val="005E0942"/>
    <w:rsid w:val="005E25BF"/>
    <w:rsid w:val="005F24B4"/>
    <w:rsid w:val="005F586A"/>
    <w:rsid w:val="00613C69"/>
    <w:rsid w:val="006214FF"/>
    <w:rsid w:val="00642C17"/>
    <w:rsid w:val="00643A8B"/>
    <w:rsid w:val="0064575E"/>
    <w:rsid w:val="00651CC1"/>
    <w:rsid w:val="00660403"/>
    <w:rsid w:val="00661AF1"/>
    <w:rsid w:val="00662142"/>
    <w:rsid w:val="00666B61"/>
    <w:rsid w:val="006732E2"/>
    <w:rsid w:val="006772DB"/>
    <w:rsid w:val="006818F7"/>
    <w:rsid w:val="0068343D"/>
    <w:rsid w:val="006A29F2"/>
    <w:rsid w:val="006A6A7E"/>
    <w:rsid w:val="006B218B"/>
    <w:rsid w:val="006B5AA6"/>
    <w:rsid w:val="006B7B80"/>
    <w:rsid w:val="006D105A"/>
    <w:rsid w:val="006D5AAE"/>
    <w:rsid w:val="006D6E4E"/>
    <w:rsid w:val="006E4400"/>
    <w:rsid w:val="006F7466"/>
    <w:rsid w:val="007042CA"/>
    <w:rsid w:val="007076AB"/>
    <w:rsid w:val="00714088"/>
    <w:rsid w:val="007156F1"/>
    <w:rsid w:val="0072662A"/>
    <w:rsid w:val="00730D15"/>
    <w:rsid w:val="007326F9"/>
    <w:rsid w:val="00737904"/>
    <w:rsid w:val="00742805"/>
    <w:rsid w:val="007449E2"/>
    <w:rsid w:val="00751EF9"/>
    <w:rsid w:val="00764E4A"/>
    <w:rsid w:val="00771F9A"/>
    <w:rsid w:val="007758DF"/>
    <w:rsid w:val="00785E98"/>
    <w:rsid w:val="0079317D"/>
    <w:rsid w:val="007B1BB4"/>
    <w:rsid w:val="007C57DF"/>
    <w:rsid w:val="007D5C91"/>
    <w:rsid w:val="007E7F92"/>
    <w:rsid w:val="007F4838"/>
    <w:rsid w:val="008007B8"/>
    <w:rsid w:val="00804CF5"/>
    <w:rsid w:val="00817013"/>
    <w:rsid w:val="008304FE"/>
    <w:rsid w:val="0083501E"/>
    <w:rsid w:val="008407B3"/>
    <w:rsid w:val="00841AE4"/>
    <w:rsid w:val="0085183C"/>
    <w:rsid w:val="0086543F"/>
    <w:rsid w:val="00867416"/>
    <w:rsid w:val="0086797D"/>
    <w:rsid w:val="00886947"/>
    <w:rsid w:val="00886B4B"/>
    <w:rsid w:val="00887ECE"/>
    <w:rsid w:val="00890461"/>
    <w:rsid w:val="008A24E0"/>
    <w:rsid w:val="008A3465"/>
    <w:rsid w:val="008A402A"/>
    <w:rsid w:val="008A4FEB"/>
    <w:rsid w:val="008C345E"/>
    <w:rsid w:val="008D4619"/>
    <w:rsid w:val="008F4FFE"/>
    <w:rsid w:val="00904CBF"/>
    <w:rsid w:val="00905A53"/>
    <w:rsid w:val="00905C80"/>
    <w:rsid w:val="009210EF"/>
    <w:rsid w:val="00922C2C"/>
    <w:rsid w:val="00954C27"/>
    <w:rsid w:val="009655CF"/>
    <w:rsid w:val="00976980"/>
    <w:rsid w:val="00980936"/>
    <w:rsid w:val="009842AA"/>
    <w:rsid w:val="00992AA6"/>
    <w:rsid w:val="009963DD"/>
    <w:rsid w:val="009A0DE1"/>
    <w:rsid w:val="009C743C"/>
    <w:rsid w:val="00A038AD"/>
    <w:rsid w:val="00A135BD"/>
    <w:rsid w:val="00A13F5F"/>
    <w:rsid w:val="00A151D8"/>
    <w:rsid w:val="00A172CA"/>
    <w:rsid w:val="00A20990"/>
    <w:rsid w:val="00A2116A"/>
    <w:rsid w:val="00A241C7"/>
    <w:rsid w:val="00A367FB"/>
    <w:rsid w:val="00A373A1"/>
    <w:rsid w:val="00A4170F"/>
    <w:rsid w:val="00A459AA"/>
    <w:rsid w:val="00A46F50"/>
    <w:rsid w:val="00A51270"/>
    <w:rsid w:val="00A52DF4"/>
    <w:rsid w:val="00A54C05"/>
    <w:rsid w:val="00A72E56"/>
    <w:rsid w:val="00A91EE4"/>
    <w:rsid w:val="00A9221B"/>
    <w:rsid w:val="00A95A3E"/>
    <w:rsid w:val="00AA1629"/>
    <w:rsid w:val="00AA6C1B"/>
    <w:rsid w:val="00AB4F9B"/>
    <w:rsid w:val="00AC773E"/>
    <w:rsid w:val="00AD5617"/>
    <w:rsid w:val="00AD619A"/>
    <w:rsid w:val="00B0445A"/>
    <w:rsid w:val="00B04631"/>
    <w:rsid w:val="00B06084"/>
    <w:rsid w:val="00B35CAA"/>
    <w:rsid w:val="00B47D72"/>
    <w:rsid w:val="00B52BA3"/>
    <w:rsid w:val="00B535BC"/>
    <w:rsid w:val="00B6532C"/>
    <w:rsid w:val="00B76749"/>
    <w:rsid w:val="00B93B6A"/>
    <w:rsid w:val="00BA0A18"/>
    <w:rsid w:val="00BA6061"/>
    <w:rsid w:val="00BB0A85"/>
    <w:rsid w:val="00BB34B4"/>
    <w:rsid w:val="00BB6E39"/>
    <w:rsid w:val="00BB6F2B"/>
    <w:rsid w:val="00BC7957"/>
    <w:rsid w:val="00BF4171"/>
    <w:rsid w:val="00BF7A7C"/>
    <w:rsid w:val="00C02489"/>
    <w:rsid w:val="00C12C47"/>
    <w:rsid w:val="00C138D1"/>
    <w:rsid w:val="00C173B0"/>
    <w:rsid w:val="00C2692B"/>
    <w:rsid w:val="00C27F49"/>
    <w:rsid w:val="00C43892"/>
    <w:rsid w:val="00C448C8"/>
    <w:rsid w:val="00C451F7"/>
    <w:rsid w:val="00C52634"/>
    <w:rsid w:val="00C64B32"/>
    <w:rsid w:val="00C64F34"/>
    <w:rsid w:val="00C708A7"/>
    <w:rsid w:val="00C76286"/>
    <w:rsid w:val="00C7668C"/>
    <w:rsid w:val="00C816AD"/>
    <w:rsid w:val="00C96F19"/>
    <w:rsid w:val="00CB0B96"/>
    <w:rsid w:val="00CD1DD1"/>
    <w:rsid w:val="00CE0A91"/>
    <w:rsid w:val="00CF62F3"/>
    <w:rsid w:val="00CF6E3A"/>
    <w:rsid w:val="00CF7E1D"/>
    <w:rsid w:val="00D01A6B"/>
    <w:rsid w:val="00D171E4"/>
    <w:rsid w:val="00D26758"/>
    <w:rsid w:val="00D338B6"/>
    <w:rsid w:val="00D5110D"/>
    <w:rsid w:val="00D708E7"/>
    <w:rsid w:val="00D710D9"/>
    <w:rsid w:val="00D870C8"/>
    <w:rsid w:val="00DA0167"/>
    <w:rsid w:val="00DD33B7"/>
    <w:rsid w:val="00DD5596"/>
    <w:rsid w:val="00DE01E8"/>
    <w:rsid w:val="00DE2FA6"/>
    <w:rsid w:val="00DE6793"/>
    <w:rsid w:val="00DF2EB8"/>
    <w:rsid w:val="00DF7384"/>
    <w:rsid w:val="00E3462F"/>
    <w:rsid w:val="00E400F5"/>
    <w:rsid w:val="00E422E0"/>
    <w:rsid w:val="00E61B7C"/>
    <w:rsid w:val="00E64230"/>
    <w:rsid w:val="00E7504C"/>
    <w:rsid w:val="00E7566B"/>
    <w:rsid w:val="00E942AD"/>
    <w:rsid w:val="00E952E0"/>
    <w:rsid w:val="00E97BCC"/>
    <w:rsid w:val="00EA0FD4"/>
    <w:rsid w:val="00EA2AD4"/>
    <w:rsid w:val="00EB5E71"/>
    <w:rsid w:val="00EB7005"/>
    <w:rsid w:val="00EC055B"/>
    <w:rsid w:val="00ED2FC8"/>
    <w:rsid w:val="00EE18EB"/>
    <w:rsid w:val="00EE51C9"/>
    <w:rsid w:val="00EF6EAF"/>
    <w:rsid w:val="00F00CDC"/>
    <w:rsid w:val="00F05DCE"/>
    <w:rsid w:val="00F24F48"/>
    <w:rsid w:val="00F36736"/>
    <w:rsid w:val="00F37052"/>
    <w:rsid w:val="00F42817"/>
    <w:rsid w:val="00F43D36"/>
    <w:rsid w:val="00F4490E"/>
    <w:rsid w:val="00F47DEE"/>
    <w:rsid w:val="00F510F3"/>
    <w:rsid w:val="00F52590"/>
    <w:rsid w:val="00F82D20"/>
    <w:rsid w:val="00F92BA9"/>
    <w:rsid w:val="00FA2A28"/>
    <w:rsid w:val="00FA74DF"/>
    <w:rsid w:val="00FB0648"/>
    <w:rsid w:val="00FC114A"/>
    <w:rsid w:val="00FC1917"/>
    <w:rsid w:val="00FC2733"/>
    <w:rsid w:val="00FC36E0"/>
    <w:rsid w:val="00FC4E48"/>
    <w:rsid w:val="00FC796E"/>
    <w:rsid w:val="00FD02F6"/>
    <w:rsid w:val="00FD2F6B"/>
    <w:rsid w:val="00FD5F1B"/>
    <w:rsid w:val="00FD61D0"/>
    <w:rsid w:val="00FE1DB6"/>
    <w:rsid w:val="00FF1667"/>
    <w:rsid w:val="0106671B"/>
    <w:rsid w:val="01374E54"/>
    <w:rsid w:val="013B4944"/>
    <w:rsid w:val="01F66A58"/>
    <w:rsid w:val="021F2974"/>
    <w:rsid w:val="028D1981"/>
    <w:rsid w:val="0370113C"/>
    <w:rsid w:val="042D3AC1"/>
    <w:rsid w:val="044D11B2"/>
    <w:rsid w:val="04A80419"/>
    <w:rsid w:val="04AE10ED"/>
    <w:rsid w:val="0504144A"/>
    <w:rsid w:val="05BF5990"/>
    <w:rsid w:val="05F01773"/>
    <w:rsid w:val="0714394A"/>
    <w:rsid w:val="07507D94"/>
    <w:rsid w:val="07832498"/>
    <w:rsid w:val="088F4C22"/>
    <w:rsid w:val="0A1C34D3"/>
    <w:rsid w:val="0A7C6626"/>
    <w:rsid w:val="0A7E5B69"/>
    <w:rsid w:val="0A8B01B5"/>
    <w:rsid w:val="0AE700DE"/>
    <w:rsid w:val="0B7B363D"/>
    <w:rsid w:val="0BD65D63"/>
    <w:rsid w:val="0C133D3E"/>
    <w:rsid w:val="0CDD0B3C"/>
    <w:rsid w:val="0E826D80"/>
    <w:rsid w:val="0FD74B35"/>
    <w:rsid w:val="11B521C9"/>
    <w:rsid w:val="126B4A74"/>
    <w:rsid w:val="12890F5D"/>
    <w:rsid w:val="129F7B9C"/>
    <w:rsid w:val="12F627A9"/>
    <w:rsid w:val="133F1E85"/>
    <w:rsid w:val="1380270E"/>
    <w:rsid w:val="1421301B"/>
    <w:rsid w:val="144058DE"/>
    <w:rsid w:val="14707AFE"/>
    <w:rsid w:val="1628152E"/>
    <w:rsid w:val="162B35F7"/>
    <w:rsid w:val="163E130D"/>
    <w:rsid w:val="16507D3B"/>
    <w:rsid w:val="179429FE"/>
    <w:rsid w:val="17E21276"/>
    <w:rsid w:val="197F6915"/>
    <w:rsid w:val="198F2EA3"/>
    <w:rsid w:val="19DA32F5"/>
    <w:rsid w:val="1AEC1938"/>
    <w:rsid w:val="1BC340CB"/>
    <w:rsid w:val="1BE40BE2"/>
    <w:rsid w:val="1D207C54"/>
    <w:rsid w:val="1D343F1A"/>
    <w:rsid w:val="1E254D87"/>
    <w:rsid w:val="1EFB696C"/>
    <w:rsid w:val="1F966CEF"/>
    <w:rsid w:val="2136164D"/>
    <w:rsid w:val="214B6046"/>
    <w:rsid w:val="21902C1B"/>
    <w:rsid w:val="21953B77"/>
    <w:rsid w:val="22562E4A"/>
    <w:rsid w:val="22EC1FB8"/>
    <w:rsid w:val="231C32E1"/>
    <w:rsid w:val="23A91789"/>
    <w:rsid w:val="24DC18C6"/>
    <w:rsid w:val="25BF65EA"/>
    <w:rsid w:val="262B1925"/>
    <w:rsid w:val="283D4410"/>
    <w:rsid w:val="286E581F"/>
    <w:rsid w:val="28A51477"/>
    <w:rsid w:val="28B362F0"/>
    <w:rsid w:val="28CB790F"/>
    <w:rsid w:val="29930B4A"/>
    <w:rsid w:val="29D9624E"/>
    <w:rsid w:val="2A560E0F"/>
    <w:rsid w:val="2A71773B"/>
    <w:rsid w:val="2A845844"/>
    <w:rsid w:val="2B751FAB"/>
    <w:rsid w:val="2BA77503"/>
    <w:rsid w:val="2C294243"/>
    <w:rsid w:val="2C3976D2"/>
    <w:rsid w:val="2C41491A"/>
    <w:rsid w:val="2C891B68"/>
    <w:rsid w:val="2D773D38"/>
    <w:rsid w:val="2DB6549B"/>
    <w:rsid w:val="2E20794F"/>
    <w:rsid w:val="2F261F74"/>
    <w:rsid w:val="2F581BE0"/>
    <w:rsid w:val="30700688"/>
    <w:rsid w:val="31200B1F"/>
    <w:rsid w:val="31207139"/>
    <w:rsid w:val="31935B34"/>
    <w:rsid w:val="319E75B6"/>
    <w:rsid w:val="31FA58B6"/>
    <w:rsid w:val="32374347"/>
    <w:rsid w:val="323C077E"/>
    <w:rsid w:val="358D2569"/>
    <w:rsid w:val="35A20C08"/>
    <w:rsid w:val="35CF32C4"/>
    <w:rsid w:val="37CD5327"/>
    <w:rsid w:val="3826648A"/>
    <w:rsid w:val="385A298F"/>
    <w:rsid w:val="38830A0F"/>
    <w:rsid w:val="389C1598"/>
    <w:rsid w:val="391753D8"/>
    <w:rsid w:val="398163A9"/>
    <w:rsid w:val="3A422681"/>
    <w:rsid w:val="3A6E3B4F"/>
    <w:rsid w:val="3A8D500B"/>
    <w:rsid w:val="3B612EFA"/>
    <w:rsid w:val="3BA85FA7"/>
    <w:rsid w:val="3C177EDB"/>
    <w:rsid w:val="3C2C38C7"/>
    <w:rsid w:val="3D2B63EB"/>
    <w:rsid w:val="3F422B55"/>
    <w:rsid w:val="3F4C446F"/>
    <w:rsid w:val="3FA11997"/>
    <w:rsid w:val="40B04D17"/>
    <w:rsid w:val="413C17C4"/>
    <w:rsid w:val="41913EA6"/>
    <w:rsid w:val="41DF4411"/>
    <w:rsid w:val="41F0045C"/>
    <w:rsid w:val="429E457A"/>
    <w:rsid w:val="42C059E3"/>
    <w:rsid w:val="430147FA"/>
    <w:rsid w:val="43237373"/>
    <w:rsid w:val="437E77C4"/>
    <w:rsid w:val="43BC0231"/>
    <w:rsid w:val="43C129BA"/>
    <w:rsid w:val="44194F18"/>
    <w:rsid w:val="44697131"/>
    <w:rsid w:val="44E909A3"/>
    <w:rsid w:val="4547614C"/>
    <w:rsid w:val="4582210E"/>
    <w:rsid w:val="45DE540E"/>
    <w:rsid w:val="466D0103"/>
    <w:rsid w:val="46E32BCE"/>
    <w:rsid w:val="47FD5FDB"/>
    <w:rsid w:val="49875DCE"/>
    <w:rsid w:val="4995019C"/>
    <w:rsid w:val="4A492440"/>
    <w:rsid w:val="4B8A1C53"/>
    <w:rsid w:val="4C3E433E"/>
    <w:rsid w:val="4D0F2901"/>
    <w:rsid w:val="4E55337F"/>
    <w:rsid w:val="4F7A2A19"/>
    <w:rsid w:val="4F7E1BFB"/>
    <w:rsid w:val="508F641B"/>
    <w:rsid w:val="50A12E60"/>
    <w:rsid w:val="510D3370"/>
    <w:rsid w:val="51CC25D5"/>
    <w:rsid w:val="525955B1"/>
    <w:rsid w:val="53D00DBF"/>
    <w:rsid w:val="53F07DE5"/>
    <w:rsid w:val="54426194"/>
    <w:rsid w:val="54512311"/>
    <w:rsid w:val="548E38FF"/>
    <w:rsid w:val="54905820"/>
    <w:rsid w:val="54C066DC"/>
    <w:rsid w:val="552402DA"/>
    <w:rsid w:val="555820B5"/>
    <w:rsid w:val="578E488B"/>
    <w:rsid w:val="57C135B2"/>
    <w:rsid w:val="58191195"/>
    <w:rsid w:val="581A4CC0"/>
    <w:rsid w:val="596270B3"/>
    <w:rsid w:val="59757966"/>
    <w:rsid w:val="59CE6345"/>
    <w:rsid w:val="5A3B0686"/>
    <w:rsid w:val="5A9A22F9"/>
    <w:rsid w:val="5AC21DB2"/>
    <w:rsid w:val="5C183BCB"/>
    <w:rsid w:val="5C610FD2"/>
    <w:rsid w:val="5C652FAE"/>
    <w:rsid w:val="5DA15318"/>
    <w:rsid w:val="5DD221CC"/>
    <w:rsid w:val="60887E5E"/>
    <w:rsid w:val="60AB572B"/>
    <w:rsid w:val="60E742FD"/>
    <w:rsid w:val="61E50F12"/>
    <w:rsid w:val="630531DA"/>
    <w:rsid w:val="63661564"/>
    <w:rsid w:val="63EB5A74"/>
    <w:rsid w:val="644436E8"/>
    <w:rsid w:val="652C5971"/>
    <w:rsid w:val="65766292"/>
    <w:rsid w:val="65E35E14"/>
    <w:rsid w:val="6651210B"/>
    <w:rsid w:val="66D555F0"/>
    <w:rsid w:val="672E4672"/>
    <w:rsid w:val="682D7901"/>
    <w:rsid w:val="6836676F"/>
    <w:rsid w:val="687938F3"/>
    <w:rsid w:val="6890026C"/>
    <w:rsid w:val="695C7769"/>
    <w:rsid w:val="6A06258C"/>
    <w:rsid w:val="6A1A4CD8"/>
    <w:rsid w:val="6A57315D"/>
    <w:rsid w:val="6B200010"/>
    <w:rsid w:val="6B88487B"/>
    <w:rsid w:val="6C053863"/>
    <w:rsid w:val="6CC42F8F"/>
    <w:rsid w:val="6CE54404"/>
    <w:rsid w:val="6D1D442E"/>
    <w:rsid w:val="6D4818D6"/>
    <w:rsid w:val="6D596CF4"/>
    <w:rsid w:val="6DBD503F"/>
    <w:rsid w:val="6E5B561D"/>
    <w:rsid w:val="6E7A07CF"/>
    <w:rsid w:val="70AA6167"/>
    <w:rsid w:val="70E4702B"/>
    <w:rsid w:val="71596E67"/>
    <w:rsid w:val="717D724A"/>
    <w:rsid w:val="71970440"/>
    <w:rsid w:val="71C346B5"/>
    <w:rsid w:val="72441D02"/>
    <w:rsid w:val="724B6478"/>
    <w:rsid w:val="73AF6017"/>
    <w:rsid w:val="73E72C13"/>
    <w:rsid w:val="74E731ED"/>
    <w:rsid w:val="75024F92"/>
    <w:rsid w:val="753F0B17"/>
    <w:rsid w:val="758E5463"/>
    <w:rsid w:val="75EB4ED6"/>
    <w:rsid w:val="768C7E47"/>
    <w:rsid w:val="77003B40"/>
    <w:rsid w:val="77156C7D"/>
    <w:rsid w:val="771F4878"/>
    <w:rsid w:val="77D00302"/>
    <w:rsid w:val="77E66B14"/>
    <w:rsid w:val="78570879"/>
    <w:rsid w:val="793A670D"/>
    <w:rsid w:val="79BA78FA"/>
    <w:rsid w:val="79CE0279"/>
    <w:rsid w:val="7A0849C7"/>
    <w:rsid w:val="7A377612"/>
    <w:rsid w:val="7A3C6949"/>
    <w:rsid w:val="7B8E5C3C"/>
    <w:rsid w:val="7B9A5BD4"/>
    <w:rsid w:val="7BC60E22"/>
    <w:rsid w:val="7C1B3BD2"/>
    <w:rsid w:val="7C8A0DE0"/>
    <w:rsid w:val="7D96647C"/>
    <w:rsid w:val="7E08657F"/>
    <w:rsid w:val="7E726B1F"/>
    <w:rsid w:val="7F1C2108"/>
    <w:rsid w:val="7F327624"/>
    <w:rsid w:val="7F9346C0"/>
    <w:rsid w:val="7FA347F6"/>
    <w:rsid w:val="7FB12C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3"/>
    <w:qFormat/>
    <w:uiPriority w:val="0"/>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link w:val="26"/>
    <w:qFormat/>
    <w:uiPriority w:val="0"/>
    <w:pPr>
      <w:spacing w:after="120"/>
      <w:ind w:left="420" w:leftChars="200"/>
    </w:pPr>
    <w:rPr>
      <w:szCs w:val="21"/>
    </w:rPr>
  </w:style>
  <w:style w:type="paragraph" w:styleId="4">
    <w:name w:val="Normal Indent"/>
    <w:basedOn w:val="1"/>
    <w:next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8">
    <w:name w:val="Document Map"/>
    <w:basedOn w:val="1"/>
    <w:link w:val="32"/>
    <w:qFormat/>
    <w:uiPriority w:val="0"/>
    <w:rPr>
      <w:rFonts w:ascii="宋体"/>
      <w:sz w:val="18"/>
      <w:szCs w:val="18"/>
    </w:rPr>
  </w:style>
  <w:style w:type="paragraph" w:styleId="9">
    <w:name w:val="annotation text"/>
    <w:basedOn w:val="1"/>
    <w:link w:val="33"/>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30"/>
    <w:unhideWhenUsed/>
    <w:qFormat/>
    <w:uiPriority w:val="0"/>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35"/>
    <w:qFormat/>
    <w:uiPriority w:val="0"/>
    <w:pPr>
      <w:spacing w:before="240" w:after="60"/>
      <w:jc w:val="center"/>
      <w:outlineLvl w:val="0"/>
    </w:pPr>
    <w:rPr>
      <w:rFonts w:ascii="Cambria" w:hAnsi="Cambria" w:eastAsia="楷体_GB2312"/>
      <w:b/>
      <w:bCs/>
      <w:kern w:val="0"/>
      <w:sz w:val="32"/>
      <w:szCs w:val="32"/>
    </w:rPr>
  </w:style>
  <w:style w:type="paragraph" w:styleId="15">
    <w:name w:val="annotation subject"/>
    <w:basedOn w:val="9"/>
    <w:next w:val="9"/>
    <w:link w:val="36"/>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Hyperlink"/>
    <w:qFormat/>
    <w:uiPriority w:val="0"/>
    <w:rPr>
      <w:color w:val="0000FF"/>
      <w:u w:val="single"/>
    </w:rPr>
  </w:style>
  <w:style w:type="character" w:styleId="21">
    <w:name w:val="annotation reference"/>
    <w:qFormat/>
    <w:uiPriority w:val="0"/>
    <w:rPr>
      <w:sz w:val="21"/>
      <w:szCs w:val="21"/>
    </w:rPr>
  </w:style>
  <w:style w:type="character" w:customStyle="1" w:styleId="22">
    <w:name w:val="标题 1 Char"/>
    <w:basedOn w:val="17"/>
    <w:link w:val="6"/>
    <w:qFormat/>
    <w:uiPriority w:val="0"/>
    <w:rPr>
      <w:rFonts w:ascii="Times New Roman" w:hAnsi="Times New Roman" w:eastAsia="宋体" w:cs="Times New Roman"/>
      <w:b/>
      <w:bCs/>
      <w:kern w:val="44"/>
      <w:sz w:val="44"/>
      <w:szCs w:val="44"/>
    </w:rPr>
  </w:style>
  <w:style w:type="character" w:customStyle="1" w:styleId="23">
    <w:name w:val="标题 3 Char"/>
    <w:basedOn w:val="17"/>
    <w:link w:val="7"/>
    <w:qFormat/>
    <w:uiPriority w:val="0"/>
    <w:rPr>
      <w:rFonts w:ascii="Times New Roman" w:hAnsi="Times New Roman" w:eastAsia="宋体" w:cs="Times New Roman"/>
      <w:b/>
      <w:bCs/>
      <w:sz w:val="32"/>
      <w:szCs w:val="32"/>
    </w:rPr>
  </w:style>
  <w:style w:type="character" w:customStyle="1" w:styleId="24">
    <w:name w:val="页眉 Char"/>
    <w:basedOn w:val="17"/>
    <w:link w:val="13"/>
    <w:qFormat/>
    <w:uiPriority w:val="0"/>
    <w:rPr>
      <w:rFonts w:ascii="Times New Roman" w:hAnsi="Times New Roman" w:eastAsia="宋体" w:cs="Times New Roman"/>
      <w:sz w:val="18"/>
      <w:szCs w:val="18"/>
    </w:rPr>
  </w:style>
  <w:style w:type="character" w:customStyle="1" w:styleId="25">
    <w:name w:val="页脚 Char1"/>
    <w:basedOn w:val="17"/>
    <w:link w:val="12"/>
    <w:qFormat/>
    <w:uiPriority w:val="99"/>
    <w:rPr>
      <w:rFonts w:ascii="Times New Roman" w:hAnsi="Times New Roman" w:eastAsia="宋体" w:cs="Times New Roman"/>
      <w:sz w:val="18"/>
      <w:szCs w:val="18"/>
    </w:rPr>
  </w:style>
  <w:style w:type="character" w:customStyle="1" w:styleId="26">
    <w:name w:val="正文文本缩进 Char"/>
    <w:link w:val="3"/>
    <w:qFormat/>
    <w:uiPriority w:val="0"/>
    <w:rPr>
      <w:rFonts w:ascii="Times New Roman" w:hAnsi="Times New Roman" w:eastAsia="宋体" w:cs="Times New Roman"/>
      <w:szCs w:val="21"/>
    </w:rPr>
  </w:style>
  <w:style w:type="character" w:customStyle="1" w:styleId="27">
    <w:name w:val="正文文本缩进 字符"/>
    <w:basedOn w:val="17"/>
    <w:semiHidden/>
    <w:qFormat/>
    <w:uiPriority w:val="99"/>
    <w:rPr>
      <w:rFonts w:ascii="Times New Roman" w:hAnsi="Times New Roman" w:eastAsia="宋体" w:cs="Times New Roman"/>
      <w:szCs w:val="24"/>
    </w:rPr>
  </w:style>
  <w:style w:type="character" w:customStyle="1" w:styleId="28">
    <w:name w:val="页脚 Char"/>
    <w:qFormat/>
    <w:locked/>
    <w:uiPriority w:val="99"/>
    <w:rPr>
      <w:rFonts w:cs="Times New Roman"/>
      <w:sz w:val="18"/>
      <w:szCs w:val="18"/>
    </w:rPr>
  </w:style>
  <w:style w:type="paragraph" w:customStyle="1" w:styleId="29">
    <w:name w:val="特点"/>
    <w:basedOn w:val="1"/>
    <w:next w:val="3"/>
    <w:qFormat/>
    <w:uiPriority w:val="0"/>
    <w:pPr>
      <w:spacing w:line="300" w:lineRule="exact"/>
      <w:ind w:right="26" w:firstLine="435"/>
    </w:pPr>
    <w:rPr>
      <w:rFonts w:eastAsia="黑体"/>
      <w:sz w:val="18"/>
    </w:rPr>
  </w:style>
  <w:style w:type="character" w:customStyle="1" w:styleId="30">
    <w:name w:val="批注框文本 Char"/>
    <w:basedOn w:val="17"/>
    <w:link w:val="11"/>
    <w:semiHidden/>
    <w:qFormat/>
    <w:uiPriority w:val="99"/>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character" w:customStyle="1" w:styleId="32">
    <w:name w:val="文档结构图 Char"/>
    <w:basedOn w:val="17"/>
    <w:link w:val="8"/>
    <w:qFormat/>
    <w:uiPriority w:val="0"/>
    <w:rPr>
      <w:rFonts w:ascii="宋体" w:hAnsi="Times New Roman" w:eastAsia="宋体" w:cs="Times New Roman"/>
      <w:sz w:val="18"/>
      <w:szCs w:val="18"/>
    </w:rPr>
  </w:style>
  <w:style w:type="character" w:customStyle="1" w:styleId="33">
    <w:name w:val="批注文字 Char"/>
    <w:basedOn w:val="17"/>
    <w:link w:val="9"/>
    <w:qFormat/>
    <w:uiPriority w:val="0"/>
    <w:rPr>
      <w:rFonts w:ascii="Times New Roman" w:hAnsi="Times New Roman" w:eastAsia="宋体" w:cs="Times New Roman"/>
      <w:szCs w:val="24"/>
    </w:rPr>
  </w:style>
  <w:style w:type="character" w:customStyle="1" w:styleId="34">
    <w:name w:val="页眉 Char1"/>
    <w:qFormat/>
    <w:locked/>
    <w:uiPriority w:val="99"/>
    <w:rPr>
      <w:rFonts w:cs="Times New Roman"/>
      <w:sz w:val="18"/>
      <w:szCs w:val="18"/>
    </w:rPr>
  </w:style>
  <w:style w:type="character" w:customStyle="1" w:styleId="35">
    <w:name w:val="标题 Char"/>
    <w:basedOn w:val="17"/>
    <w:link w:val="14"/>
    <w:qFormat/>
    <w:uiPriority w:val="0"/>
    <w:rPr>
      <w:rFonts w:ascii="Cambria" w:hAnsi="Cambria" w:eastAsia="楷体_GB2312" w:cs="Times New Roman"/>
      <w:b/>
      <w:bCs/>
      <w:kern w:val="0"/>
      <w:sz w:val="32"/>
      <w:szCs w:val="32"/>
    </w:rPr>
  </w:style>
  <w:style w:type="character" w:customStyle="1" w:styleId="36">
    <w:name w:val="批注主题 Char"/>
    <w:basedOn w:val="33"/>
    <w:link w:val="15"/>
    <w:qFormat/>
    <w:uiPriority w:val="0"/>
    <w:rPr>
      <w:rFonts w:ascii="Times New Roman" w:hAnsi="Times New Roman" w:eastAsia="宋体" w:cs="Times New Roman"/>
      <w:b/>
      <w:bCs/>
      <w:szCs w:val="24"/>
    </w:rPr>
  </w:style>
  <w:style w:type="paragraph" w:customStyle="1" w:styleId="37">
    <w:name w:val="列出段落1"/>
    <w:basedOn w:val="1"/>
    <w:qFormat/>
    <w:uiPriority w:val="0"/>
    <w:pPr>
      <w:ind w:firstLine="420" w:firstLineChars="200"/>
    </w:pPr>
    <w:rPr>
      <w:rFonts w:ascii="Calibri" w:hAnsi="Calibri"/>
      <w:szCs w:val="22"/>
    </w:rPr>
  </w:style>
  <w:style w:type="paragraph" w:customStyle="1" w:styleId="38">
    <w:name w:val="列出段落2"/>
    <w:basedOn w:val="1"/>
    <w:qFormat/>
    <w:uiPriority w:val="34"/>
    <w:pPr>
      <w:ind w:firstLine="420" w:firstLineChars="200"/>
    </w:pPr>
  </w:style>
  <w:style w:type="paragraph" w:customStyle="1" w:styleId="39">
    <w:name w:val="Char Char Char Char Char Char Char"/>
    <w:basedOn w:val="1"/>
    <w:qFormat/>
    <w:uiPriority w:val="0"/>
    <w:rPr>
      <w:rFonts w:ascii="Tahoma" w:hAnsi="Tahoma"/>
      <w:sz w:val="24"/>
      <w:szCs w:val="20"/>
    </w:rPr>
  </w:style>
  <w:style w:type="paragraph" w:customStyle="1" w:styleId="40">
    <w:name w:val="p0"/>
    <w:basedOn w:val="1"/>
    <w:qFormat/>
    <w:uiPriority w:val="0"/>
    <w:pPr>
      <w:widowControl/>
    </w:pPr>
    <w:rPr>
      <w:kern w:val="0"/>
      <w:szCs w:val="21"/>
    </w:rPr>
  </w:style>
  <w:style w:type="paragraph" w:customStyle="1" w:styleId="41">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C92B-BD9C-428C-89DE-9A4A14445917}">
  <ds:schemaRefs/>
</ds:datastoreItem>
</file>

<file path=docProps/app.xml><?xml version="1.0" encoding="utf-8"?>
<Properties xmlns="http://schemas.openxmlformats.org/officeDocument/2006/extended-properties" xmlns:vt="http://schemas.openxmlformats.org/officeDocument/2006/docPropsVTypes">
  <Template>Normal</Template>
  <Pages>50</Pages>
  <Words>45927</Words>
  <Characters>46633</Characters>
  <Lines>267</Lines>
  <Paragraphs>75</Paragraphs>
  <TotalTime>2</TotalTime>
  <ScaleCrop>false</ScaleCrop>
  <LinksUpToDate>false</LinksUpToDate>
  <CharactersWithSpaces>46766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2023-08-16T08:00:00Z</dcterms:created>
  <dc:creator>Song Cangnan</dc:creator>
  <cp:lastModifiedBy>Administrator</cp:lastModifiedBy>
  <cp:lastPrinted>2022-12-23T14:07:00Z</cp:lastPrinted>
  <dcterms:modified xsi:type="dcterms:W3CDTF">2025-06-27T02:47:16Z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D41662C12E7845FF984A3324AE7B06E7</vt:lpwstr>
  </property>
</Properties>
</file>