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b/>
          <w:kern w:val="0"/>
          <w:sz w:val="36"/>
          <w:szCs w:val="36"/>
        </w:rPr>
      </w:pPr>
      <w:r>
        <w:rPr>
          <w:rFonts w:hint="eastAsia" w:ascii="楷体" w:hAnsi="楷体" w:eastAsia="楷体"/>
          <w:b/>
          <w:kern w:val="0"/>
          <w:sz w:val="36"/>
          <w:szCs w:val="36"/>
          <w:lang w:val="en-US" w:eastAsia="zh-CN"/>
        </w:rPr>
        <w:t>关于调整</w:t>
      </w:r>
      <w:r>
        <w:rPr>
          <w:rFonts w:hint="eastAsia" w:ascii="楷体" w:hAnsi="楷体" w:eastAsia="楷体"/>
          <w:b/>
          <w:kern w:val="0"/>
          <w:sz w:val="36"/>
          <w:szCs w:val="36"/>
        </w:rPr>
        <w:t>“苏银理财恒源</w:t>
      </w:r>
      <w:r>
        <w:rPr>
          <w:rFonts w:hint="eastAsia" w:ascii="楷体" w:hAnsi="楷体" w:eastAsia="楷体"/>
          <w:b/>
          <w:kern w:val="0"/>
          <w:sz w:val="36"/>
          <w:szCs w:val="36"/>
          <w:lang w:val="en-US" w:eastAsia="zh-CN"/>
        </w:rPr>
        <w:t>融达1号</w:t>
      </w:r>
      <w:r>
        <w:rPr>
          <w:rFonts w:hint="eastAsia" w:ascii="楷体" w:hAnsi="楷体" w:eastAsia="楷体"/>
          <w:b/>
          <w:kern w:val="0"/>
          <w:sz w:val="36"/>
          <w:szCs w:val="36"/>
        </w:rPr>
        <w:t>”理财产品</w:t>
      </w:r>
    </w:p>
    <w:p>
      <w:pPr>
        <w:jc w:val="center"/>
        <w:rPr>
          <w:rFonts w:hint="eastAsia" w:ascii="楷体" w:hAnsi="楷体" w:eastAsia="楷体"/>
          <w:b/>
          <w:kern w:val="0"/>
          <w:sz w:val="36"/>
          <w:szCs w:val="36"/>
        </w:rPr>
      </w:pPr>
      <w:r>
        <w:rPr>
          <w:rFonts w:hint="eastAsia" w:ascii="楷体" w:hAnsi="楷体" w:eastAsia="楷体"/>
          <w:b/>
          <w:kern w:val="0"/>
          <w:sz w:val="36"/>
          <w:szCs w:val="36"/>
        </w:rPr>
        <w:t>要素</w:t>
      </w:r>
      <w:r>
        <w:rPr>
          <w:rFonts w:hint="eastAsia" w:ascii="楷体" w:hAnsi="楷体" w:eastAsia="楷体"/>
          <w:b/>
          <w:kern w:val="0"/>
          <w:sz w:val="36"/>
          <w:szCs w:val="36"/>
          <w:lang w:val="en-US" w:eastAsia="zh-CN"/>
        </w:rPr>
        <w:t>的</w:t>
      </w:r>
      <w:r>
        <w:rPr>
          <w:rFonts w:hint="eastAsia" w:ascii="楷体" w:hAnsi="楷体" w:eastAsia="楷体"/>
          <w:b/>
          <w:kern w:val="0"/>
          <w:sz w:val="36"/>
          <w:szCs w:val="36"/>
        </w:rPr>
        <w:t>公告</w:t>
      </w:r>
    </w:p>
    <w:p>
      <w:pPr>
        <w:spacing w:line="520" w:lineRule="exact"/>
        <w:rPr>
          <w:rFonts w:hint="eastAsia" w:ascii="楷体" w:hAnsi="楷体" w:eastAsia="楷体"/>
          <w:kern w:val="0"/>
          <w:sz w:val="28"/>
          <w:szCs w:val="28"/>
        </w:rPr>
      </w:pPr>
      <w:r>
        <w:rPr>
          <w:rFonts w:hint="eastAsia" w:ascii="楷体" w:hAnsi="楷体" w:eastAsia="楷体"/>
          <w:kern w:val="0"/>
          <w:sz w:val="28"/>
          <w:szCs w:val="28"/>
        </w:rPr>
        <w:t>尊敬的客户：</w:t>
      </w:r>
    </w:p>
    <w:p>
      <w:pPr>
        <w:pStyle w:val="2"/>
        <w:ind w:left="0" w:leftChars="0" w:firstLine="560" w:firstLineChars="200"/>
        <w:rPr>
          <w:rFonts w:hint="default"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管理人拟对“苏银理财恒源融达1号”理财产品部分要素进行调整，具体如下：</w:t>
      </w:r>
    </w:p>
    <w:p>
      <w:pPr>
        <w:pStyle w:val="11"/>
        <w:spacing w:before="0" w:beforeAutospacing="0" w:after="0" w:afterAutospacing="0" w:line="480" w:lineRule="auto"/>
        <w:ind w:firstLine="562" w:firstLineChars="200"/>
        <w:rPr>
          <w:rFonts w:hint="default" w:ascii="楷体" w:hAnsi="楷体" w:eastAsia="楷体" w:cs="Times New Roman"/>
          <w:b/>
          <w:bCs/>
          <w:sz w:val="28"/>
          <w:szCs w:val="28"/>
          <w:lang w:val="en-US" w:eastAsia="zh-CN"/>
        </w:rPr>
      </w:pPr>
      <w:r>
        <w:rPr>
          <w:rFonts w:hint="eastAsia" w:ascii="楷体" w:hAnsi="楷体" w:eastAsia="楷体" w:cs="Times New Roman"/>
          <w:b/>
          <w:bCs/>
          <w:sz w:val="28"/>
          <w:szCs w:val="28"/>
          <w:lang w:val="en-US" w:eastAsia="zh-CN"/>
        </w:rPr>
        <w:t>一、新增子份额</w:t>
      </w:r>
    </w:p>
    <w:p>
      <w:pPr>
        <w:pStyle w:val="11"/>
        <w:spacing w:before="0" w:beforeAutospacing="0" w:after="0" w:afterAutospacing="0" w:line="480" w:lineRule="auto"/>
        <w:ind w:firstLine="560" w:firstLineChars="200"/>
        <w:rPr>
          <w:rFonts w:hint="eastAsia" w:ascii="楷体" w:hAnsi="楷体" w:eastAsia="楷体" w:cs="Times New Roman"/>
          <w:sz w:val="28"/>
          <w:szCs w:val="28"/>
          <w:lang w:val="en-US" w:eastAsia="zh-CN"/>
        </w:rPr>
      </w:pPr>
      <w:r>
        <w:rPr>
          <w:rFonts w:hint="eastAsia" w:ascii="楷体" w:hAnsi="楷体" w:eastAsia="楷体" w:cs="Times New Roman"/>
          <w:sz w:val="28"/>
          <w:szCs w:val="28"/>
        </w:rPr>
        <w:t>为满足客户的投资需要，本产品增设</w:t>
      </w:r>
      <w:r>
        <w:rPr>
          <w:rFonts w:hint="eastAsia" w:ascii="楷体" w:hAnsi="楷体" w:eastAsia="楷体" w:cs="Times New Roman"/>
          <w:sz w:val="28"/>
          <w:szCs w:val="28"/>
          <w:lang w:val="en-US" w:eastAsia="zh-CN"/>
        </w:rPr>
        <w:t>子份额“苏银理财恒源融达1号6月P”（销售代码：J07303），份额要素如下：</w:t>
      </w:r>
    </w:p>
    <w:p>
      <w:pPr>
        <w:pStyle w:val="11"/>
        <w:spacing w:before="0" w:beforeAutospacing="0" w:after="0" w:afterAutospacing="0" w:line="480" w:lineRule="auto"/>
        <w:ind w:firstLine="560" w:firstLineChars="200"/>
        <w:rPr>
          <w:rFonts w:hint="eastAsia" w:ascii="楷体" w:hAnsi="楷体" w:eastAsia="楷体" w:cs="Times New Roman"/>
          <w:sz w:val="28"/>
          <w:szCs w:val="28"/>
          <w:lang w:val="en-US" w:eastAsia="zh-CN"/>
        </w:rPr>
      </w:pPr>
      <w:r>
        <w:rPr>
          <w:rFonts w:hint="eastAsia" w:ascii="楷体" w:hAnsi="楷体" w:eastAsia="楷体" w:cs="Times New Roman"/>
          <w:sz w:val="28"/>
          <w:szCs w:val="28"/>
        </w:rPr>
        <w:t>1、</w:t>
      </w:r>
      <w:r>
        <w:rPr>
          <w:rFonts w:hint="eastAsia" w:ascii="楷体" w:hAnsi="楷体" w:eastAsia="楷体" w:cs="Times New Roman"/>
          <w:sz w:val="28"/>
          <w:szCs w:val="28"/>
          <w:lang w:val="en-US" w:eastAsia="zh-CN"/>
        </w:rPr>
        <w:t>P</w:t>
      </w:r>
      <w:r>
        <w:rPr>
          <w:rFonts w:ascii="楷体" w:hAnsi="楷体" w:eastAsia="楷体" w:cs="Times New Roman"/>
          <w:sz w:val="28"/>
          <w:szCs w:val="28"/>
        </w:rPr>
        <w:t>份额</w:t>
      </w:r>
      <w:r>
        <w:rPr>
          <w:rFonts w:hint="eastAsia" w:ascii="楷体" w:hAnsi="楷体" w:eastAsia="楷体" w:cs="Times New Roman"/>
          <w:sz w:val="28"/>
          <w:szCs w:val="28"/>
        </w:rPr>
        <w:t>的销售对象为</w:t>
      </w:r>
      <w:r>
        <w:rPr>
          <w:rFonts w:hint="eastAsia" w:ascii="楷体" w:hAnsi="楷体" w:eastAsia="楷体" w:cs="Times New Roman"/>
          <w:sz w:val="28"/>
          <w:szCs w:val="28"/>
          <w:lang w:val="en-US" w:eastAsia="zh-CN"/>
        </w:rPr>
        <w:t>个人和机构</w:t>
      </w:r>
      <w:r>
        <w:rPr>
          <w:rFonts w:hint="eastAsia" w:ascii="楷体" w:hAnsi="楷体" w:eastAsia="楷体" w:cs="Times New Roman"/>
          <w:sz w:val="28"/>
          <w:szCs w:val="28"/>
        </w:rPr>
        <w:t>投资</w:t>
      </w:r>
      <w:r>
        <w:rPr>
          <w:rFonts w:hint="eastAsia" w:ascii="楷体" w:hAnsi="楷体" w:eastAsia="楷体" w:cs="Times New Roman"/>
          <w:sz w:val="28"/>
          <w:szCs w:val="28"/>
          <w:lang w:val="en-US" w:eastAsia="zh-CN"/>
        </w:rPr>
        <w:t>者，</w:t>
      </w:r>
      <w:r>
        <w:rPr>
          <w:rFonts w:hint="eastAsia" w:ascii="楷体" w:hAnsi="楷体" w:eastAsia="楷体" w:cs="Times New Roman"/>
          <w:sz w:val="28"/>
          <w:szCs w:val="28"/>
        </w:rPr>
        <w:t>销售机构名单以</w:t>
      </w:r>
      <w:r>
        <w:rPr>
          <w:rFonts w:hint="eastAsia" w:ascii="楷体" w:hAnsi="楷体" w:eastAsia="楷体" w:cs="Times New Roman"/>
          <w:sz w:val="28"/>
          <w:szCs w:val="28"/>
          <w:lang w:val="en-US" w:eastAsia="zh-CN"/>
        </w:rPr>
        <w:t>产品合同</w:t>
      </w:r>
      <w:r>
        <w:rPr>
          <w:rFonts w:hint="eastAsia" w:ascii="楷体" w:hAnsi="楷体" w:eastAsia="楷体" w:cs="Times New Roman"/>
          <w:sz w:val="28"/>
          <w:szCs w:val="28"/>
        </w:rPr>
        <w:t>为准</w:t>
      </w:r>
      <w:r>
        <w:rPr>
          <w:rFonts w:hint="eastAsia" w:ascii="楷体" w:hAnsi="楷体" w:eastAsia="楷体" w:cs="Times New Roman"/>
          <w:sz w:val="28"/>
          <w:szCs w:val="28"/>
          <w:lang w:val="en-US" w:eastAsia="zh-CN"/>
        </w:rPr>
        <w:t>。</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2、</w:t>
      </w:r>
      <w:r>
        <w:rPr>
          <w:rFonts w:hint="eastAsia" w:ascii="楷体" w:hAnsi="楷体" w:eastAsia="楷体" w:cs="Times New Roman"/>
          <w:sz w:val="28"/>
          <w:szCs w:val="28"/>
          <w:lang w:val="en-US" w:eastAsia="zh-CN"/>
        </w:rPr>
        <w:t>P</w:t>
      </w:r>
      <w:r>
        <w:rPr>
          <w:rFonts w:ascii="楷体" w:hAnsi="楷体" w:eastAsia="楷体" w:cs="Times New Roman"/>
          <w:sz w:val="28"/>
          <w:szCs w:val="28"/>
        </w:rPr>
        <w:t>份额购买起点金额为</w:t>
      </w:r>
      <w:r>
        <w:rPr>
          <w:rFonts w:hint="eastAsia" w:ascii="楷体" w:hAnsi="楷体" w:eastAsia="楷体" w:cs="Times New Roman"/>
          <w:sz w:val="28"/>
          <w:szCs w:val="28"/>
          <w:lang w:val="en-US" w:eastAsia="zh-CN"/>
        </w:rPr>
        <w:t>20万</w:t>
      </w:r>
      <w:r>
        <w:rPr>
          <w:rFonts w:ascii="楷体" w:hAnsi="楷体" w:eastAsia="楷体" w:cs="Times New Roman"/>
          <w:sz w:val="28"/>
          <w:szCs w:val="28"/>
        </w:rPr>
        <w:t xml:space="preserve">元，追加金额为 </w:t>
      </w:r>
      <w:r>
        <w:rPr>
          <w:rFonts w:hint="eastAsia" w:ascii="楷体" w:hAnsi="楷体" w:eastAsia="楷体" w:cs="Times New Roman"/>
          <w:sz w:val="28"/>
          <w:szCs w:val="28"/>
          <w:lang w:val="en-US" w:eastAsia="zh-CN"/>
        </w:rPr>
        <w:t>1万</w:t>
      </w:r>
      <w:r>
        <w:rPr>
          <w:rFonts w:ascii="楷体" w:hAnsi="楷体" w:eastAsia="楷体" w:cs="Times New Roman"/>
          <w:sz w:val="28"/>
          <w:szCs w:val="28"/>
        </w:rPr>
        <w:t>元的整数倍</w:t>
      </w:r>
      <w:r>
        <w:rPr>
          <w:rFonts w:hint="eastAsia" w:ascii="楷体" w:hAnsi="楷体" w:eastAsia="楷体" w:cs="Times New Roman"/>
          <w:sz w:val="28"/>
          <w:szCs w:val="28"/>
        </w:rPr>
        <w:t>。</w:t>
      </w:r>
    </w:p>
    <w:p>
      <w:pPr>
        <w:pStyle w:val="11"/>
        <w:spacing w:before="0" w:beforeAutospacing="0" w:after="0" w:afterAutospacing="0" w:line="480" w:lineRule="auto"/>
        <w:ind w:firstLine="560" w:firstLineChars="200"/>
        <w:jc w:val="left"/>
        <w:rPr>
          <w:rFonts w:ascii="楷体" w:hAnsi="楷体" w:eastAsia="楷体" w:cs="Times New Roman"/>
          <w:sz w:val="28"/>
          <w:szCs w:val="28"/>
        </w:rPr>
      </w:pPr>
      <w:r>
        <w:rPr>
          <w:rFonts w:hint="eastAsia" w:ascii="楷体" w:hAnsi="楷体" w:eastAsia="楷体" w:cs="Times New Roman"/>
          <w:sz w:val="28"/>
          <w:szCs w:val="28"/>
        </w:rPr>
        <w:t>3、</w:t>
      </w:r>
      <w:r>
        <w:rPr>
          <w:rFonts w:hint="eastAsia" w:ascii="楷体" w:hAnsi="楷体" w:eastAsia="楷体" w:cs="Times New Roman"/>
          <w:sz w:val="28"/>
          <w:szCs w:val="28"/>
          <w:lang w:val="en-US" w:eastAsia="zh-CN"/>
        </w:rPr>
        <w:t>P份额业绩比较基准为年化2.55%（业绩比较基准为管理人对本产品所设定的投资目标，不代表理财产品未来表现，不等于理财产品实际收益，不作为产品收益的业绩保证，投资者的实际收益由产品净值表现决定），</w:t>
      </w:r>
      <w:r>
        <w:rPr>
          <w:rFonts w:hint="eastAsia" w:ascii="楷体" w:hAnsi="楷体" w:eastAsia="楷体" w:cs="Times New Roman"/>
          <w:sz w:val="28"/>
          <w:szCs w:val="28"/>
        </w:rPr>
        <w:t>销售服务费率</w:t>
      </w:r>
      <w:r>
        <w:rPr>
          <w:rFonts w:ascii="楷体" w:hAnsi="楷体" w:eastAsia="楷体" w:cs="Times New Roman"/>
          <w:sz w:val="28"/>
          <w:szCs w:val="28"/>
        </w:rPr>
        <w:t>0.</w:t>
      </w:r>
      <w:r>
        <w:rPr>
          <w:rFonts w:hint="eastAsia" w:ascii="楷体" w:hAnsi="楷体" w:eastAsia="楷体" w:cs="Times New Roman"/>
          <w:sz w:val="28"/>
          <w:szCs w:val="28"/>
          <w:lang w:val="en-US" w:eastAsia="zh-CN"/>
        </w:rPr>
        <w:t>3</w:t>
      </w:r>
      <w:r>
        <w:rPr>
          <w:rFonts w:hint="eastAsia" w:ascii="楷体" w:hAnsi="楷体" w:eastAsia="楷体" w:cs="Times New Roman"/>
          <w:sz w:val="28"/>
          <w:szCs w:val="28"/>
        </w:rPr>
        <w:t>0</w:t>
      </w:r>
      <w:r>
        <w:rPr>
          <w:rFonts w:ascii="楷体" w:hAnsi="楷体" w:eastAsia="楷体" w:cs="Times New Roman"/>
          <w:sz w:val="28"/>
          <w:szCs w:val="28"/>
        </w:rPr>
        <w:t>%/年</w:t>
      </w:r>
      <w:r>
        <w:rPr>
          <w:rFonts w:hint="eastAsia" w:ascii="楷体" w:hAnsi="楷体" w:eastAsia="楷体" w:cs="Times New Roman"/>
          <w:sz w:val="28"/>
          <w:szCs w:val="28"/>
        </w:rPr>
        <w:t>，投资管理费率</w:t>
      </w:r>
      <w:r>
        <w:rPr>
          <w:rFonts w:ascii="楷体" w:hAnsi="楷体" w:eastAsia="楷体" w:cs="Times New Roman"/>
          <w:sz w:val="28"/>
          <w:szCs w:val="28"/>
        </w:rPr>
        <w:t>0.</w:t>
      </w:r>
      <w:r>
        <w:rPr>
          <w:rFonts w:hint="eastAsia" w:ascii="楷体" w:hAnsi="楷体" w:eastAsia="楷体" w:cs="Times New Roman"/>
          <w:sz w:val="28"/>
          <w:szCs w:val="28"/>
          <w:lang w:val="en-US" w:eastAsia="zh-CN"/>
        </w:rPr>
        <w:t>50</w:t>
      </w:r>
      <w:r>
        <w:rPr>
          <w:rFonts w:ascii="楷体" w:hAnsi="楷体" w:eastAsia="楷体" w:cs="Times New Roman"/>
          <w:sz w:val="28"/>
          <w:szCs w:val="28"/>
        </w:rPr>
        <w:t>%/年</w:t>
      </w:r>
      <w:r>
        <w:rPr>
          <w:rFonts w:hint="eastAsia" w:ascii="楷体" w:hAnsi="楷体" w:eastAsia="楷体" w:cs="Times New Roman"/>
          <w:sz w:val="28"/>
          <w:szCs w:val="28"/>
        </w:rPr>
        <w:t>。</w:t>
      </w:r>
      <w:r>
        <w:rPr>
          <w:rFonts w:ascii="楷体" w:hAnsi="楷体" w:eastAsia="楷体" w:cs="Times New Roman"/>
          <w:sz w:val="28"/>
          <w:szCs w:val="28"/>
        </w:rPr>
        <w:t>产品存续期内苏银理财可对</w:t>
      </w:r>
      <w:r>
        <w:rPr>
          <w:rFonts w:hint="eastAsia" w:ascii="楷体" w:hAnsi="楷体" w:eastAsia="楷体" w:cs="Times New Roman"/>
          <w:sz w:val="28"/>
          <w:szCs w:val="28"/>
          <w:lang w:val="en-US" w:eastAsia="zh-CN"/>
        </w:rPr>
        <w:t>产品费用</w:t>
      </w:r>
      <w:r>
        <w:rPr>
          <w:rFonts w:ascii="楷体" w:hAnsi="楷体" w:eastAsia="楷体" w:cs="Times New Roman"/>
          <w:sz w:val="28"/>
          <w:szCs w:val="28"/>
        </w:rPr>
        <w:t>施行优惠，实际收取费率以管理人公告为准。</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份额其他产品要素以理财产品说明书约定为准。后续如有调整，以产品管理人公告为准。</w:t>
      </w:r>
    </w:p>
    <w:p>
      <w:pPr>
        <w:pStyle w:val="11"/>
        <w:numPr>
          <w:ilvl w:val="0"/>
          <w:numId w:val="1"/>
        </w:numPr>
        <w:spacing w:before="0" w:beforeAutospacing="0" w:after="0" w:afterAutospacing="0" w:line="480" w:lineRule="auto"/>
        <w:ind w:firstLine="562" w:firstLineChars="200"/>
        <w:rPr>
          <w:rFonts w:hint="eastAsia" w:ascii="楷体" w:hAnsi="楷体" w:eastAsia="楷体" w:cs="Times New Roman"/>
          <w:b/>
          <w:bCs/>
          <w:sz w:val="28"/>
          <w:szCs w:val="28"/>
          <w:lang w:val="en-US" w:eastAsia="zh-CN"/>
        </w:rPr>
      </w:pPr>
      <w:r>
        <w:rPr>
          <w:rFonts w:hint="eastAsia" w:ascii="楷体" w:hAnsi="楷体" w:eastAsia="楷体" w:cs="Times New Roman"/>
          <w:b/>
          <w:bCs/>
          <w:sz w:val="28"/>
          <w:szCs w:val="28"/>
          <w:lang w:val="en-US" w:eastAsia="zh-CN"/>
        </w:rPr>
        <w:t>业绩比较基准调整</w:t>
      </w:r>
    </w:p>
    <w:p>
      <w:pPr>
        <w:spacing w:line="520" w:lineRule="exact"/>
        <w:ind w:firstLine="565" w:firstLineChars="202"/>
        <w:rPr>
          <w:rFonts w:hint="eastAsia" w:ascii="楷体" w:hAnsi="楷体" w:eastAsia="楷体" w:cs="Times New Roman"/>
          <w:sz w:val="28"/>
          <w:szCs w:val="28"/>
        </w:rPr>
      </w:pPr>
      <w:r>
        <w:rPr>
          <w:rFonts w:hint="eastAsia" w:ascii="楷体" w:hAnsi="楷体" w:eastAsia="楷体"/>
          <w:sz w:val="28"/>
          <w:szCs w:val="28"/>
          <w:lang w:val="en-US" w:eastAsia="zh-CN"/>
        </w:rPr>
        <w:t>根据投资运作情况，管理人</w:t>
      </w:r>
      <w:r>
        <w:rPr>
          <w:rFonts w:hint="eastAsia" w:ascii="楷体" w:hAnsi="楷体" w:eastAsia="楷体"/>
          <w:sz w:val="28"/>
          <w:szCs w:val="28"/>
        </w:rPr>
        <w:t>自202</w:t>
      </w:r>
      <w:r>
        <w:rPr>
          <w:rFonts w:hint="eastAsia" w:ascii="楷体" w:hAnsi="楷体" w:eastAsia="楷体"/>
          <w:sz w:val="28"/>
          <w:szCs w:val="28"/>
          <w:lang w:val="en-US" w:eastAsia="zh-CN"/>
        </w:rPr>
        <w:t>5</w:t>
      </w:r>
      <w:r>
        <w:rPr>
          <w:rFonts w:hint="eastAsia" w:ascii="楷体" w:hAnsi="楷体" w:eastAsia="楷体"/>
          <w:sz w:val="28"/>
          <w:szCs w:val="28"/>
        </w:rPr>
        <w:t>年</w:t>
      </w:r>
      <w:r>
        <w:rPr>
          <w:rFonts w:hint="eastAsia" w:ascii="楷体" w:hAnsi="楷体" w:eastAsia="楷体"/>
          <w:sz w:val="28"/>
          <w:szCs w:val="28"/>
          <w:lang w:val="en-US" w:eastAsia="zh-CN"/>
        </w:rPr>
        <w:t>8</w:t>
      </w:r>
      <w:r>
        <w:rPr>
          <w:rFonts w:hint="eastAsia" w:ascii="楷体" w:hAnsi="楷体" w:eastAsia="楷体"/>
          <w:sz w:val="28"/>
          <w:szCs w:val="28"/>
        </w:rPr>
        <w:t>月</w:t>
      </w:r>
      <w:r>
        <w:rPr>
          <w:rFonts w:hint="eastAsia" w:ascii="楷体" w:hAnsi="楷体" w:eastAsia="楷体"/>
          <w:sz w:val="28"/>
          <w:szCs w:val="28"/>
          <w:lang w:val="en-US" w:eastAsia="zh-CN"/>
        </w:rPr>
        <w:t>28</w:t>
      </w:r>
      <w:r>
        <w:rPr>
          <w:rFonts w:hint="eastAsia" w:ascii="楷体" w:hAnsi="楷体" w:eastAsia="楷体"/>
          <w:sz w:val="28"/>
          <w:szCs w:val="28"/>
        </w:rPr>
        <w:t>日起</w:t>
      </w:r>
      <w:r>
        <w:rPr>
          <w:rFonts w:hint="eastAsia" w:ascii="楷体" w:hAnsi="楷体" w:eastAsia="楷体"/>
          <w:sz w:val="28"/>
          <w:szCs w:val="28"/>
          <w:lang w:eastAsia="zh-CN"/>
        </w:rPr>
        <w:t>，</w:t>
      </w:r>
      <w:r>
        <w:rPr>
          <w:rFonts w:hint="eastAsia" w:ascii="楷体" w:hAnsi="楷体" w:eastAsia="楷体" w:cs="Times New Roman"/>
          <w:sz w:val="28"/>
          <w:szCs w:val="28"/>
        </w:rPr>
        <w:t>对“苏银理财恒源</w:t>
      </w:r>
      <w:r>
        <w:rPr>
          <w:rFonts w:hint="eastAsia" w:ascii="楷体" w:hAnsi="楷体" w:eastAsia="楷体" w:cs="Times New Roman"/>
          <w:sz w:val="28"/>
          <w:szCs w:val="28"/>
          <w:lang w:val="en-US" w:eastAsia="zh-CN"/>
        </w:rPr>
        <w:t>融达</w:t>
      </w:r>
      <w:r>
        <w:rPr>
          <w:rFonts w:hint="eastAsia" w:ascii="楷体" w:hAnsi="楷体" w:eastAsia="楷体" w:cs="Times New Roman"/>
          <w:sz w:val="28"/>
          <w:szCs w:val="28"/>
        </w:rPr>
        <w:t>1号”理财产品的</w:t>
      </w:r>
      <w:r>
        <w:rPr>
          <w:rFonts w:hint="eastAsia" w:ascii="楷体" w:hAnsi="楷体" w:eastAsia="楷体" w:cs="Times New Roman"/>
          <w:sz w:val="28"/>
          <w:szCs w:val="28"/>
          <w:lang w:val="en-US" w:eastAsia="zh-CN"/>
        </w:rPr>
        <w:t>业绩比较基准进行调整（业绩比较基准为管理人对本产品所设定的投资目标，不代表理财产品未来表现，不等于理财产品实际收益，不作为产品收益的业绩保证，投资者的实际收益由产品净值表现决定）。具体情况如下</w:t>
      </w:r>
      <w:r>
        <w:rPr>
          <w:rFonts w:hint="eastAsia" w:ascii="楷体" w:hAnsi="楷体" w:eastAsia="楷体" w:cs="Times New Roman"/>
          <w:sz w:val="28"/>
          <w:szCs w:val="28"/>
        </w:rPr>
        <w:t>：</w:t>
      </w:r>
    </w:p>
    <w:tbl>
      <w:tblPr>
        <w:tblStyle w:val="14"/>
        <w:tblW w:w="88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5"/>
        <w:gridCol w:w="1922"/>
        <w:gridCol w:w="1855"/>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3215" w:type="dxa"/>
            <w:noWrap w:val="0"/>
            <w:vAlign w:val="center"/>
          </w:tcPr>
          <w:p>
            <w:pPr>
              <w:pStyle w:val="11"/>
              <w:spacing w:before="0" w:beforeAutospacing="0" w:after="0" w:afterAutospacing="0" w:line="480" w:lineRule="auto"/>
              <w:jc w:val="center"/>
              <w:rPr>
                <w:rFonts w:hint="default" w:ascii="楷体" w:hAnsi="楷体" w:eastAsia="楷体" w:cs="Times New Roman"/>
                <w:b/>
                <w:bCs/>
                <w:sz w:val="24"/>
                <w:szCs w:val="24"/>
                <w:vertAlign w:val="baseline"/>
                <w:lang w:val="en-US" w:eastAsia="zh-CN"/>
              </w:rPr>
            </w:pPr>
            <w:r>
              <w:rPr>
                <w:rFonts w:hint="eastAsia" w:ascii="楷体" w:hAnsi="楷体" w:eastAsia="楷体" w:cs="Times New Roman"/>
                <w:b/>
                <w:bCs/>
                <w:sz w:val="24"/>
                <w:szCs w:val="24"/>
                <w:lang w:val="en-US" w:eastAsia="zh-CN"/>
              </w:rPr>
              <w:t>份额名称</w:t>
            </w:r>
          </w:p>
        </w:tc>
        <w:tc>
          <w:tcPr>
            <w:tcW w:w="1922" w:type="dxa"/>
            <w:noWrap w:val="0"/>
            <w:vAlign w:val="center"/>
          </w:tcPr>
          <w:p>
            <w:pPr>
              <w:pStyle w:val="11"/>
              <w:spacing w:before="0" w:beforeAutospacing="0" w:after="0" w:afterAutospacing="0" w:line="480" w:lineRule="auto"/>
              <w:jc w:val="center"/>
              <w:rPr>
                <w:rFonts w:hint="default" w:ascii="楷体" w:hAnsi="楷体" w:eastAsia="楷体" w:cs="Times New Roman"/>
                <w:b/>
                <w:bCs/>
                <w:sz w:val="24"/>
                <w:szCs w:val="24"/>
                <w:vertAlign w:val="baseline"/>
                <w:lang w:val="en-US" w:eastAsia="zh-CN"/>
              </w:rPr>
            </w:pPr>
            <w:r>
              <w:rPr>
                <w:rFonts w:hint="eastAsia" w:ascii="楷体" w:hAnsi="楷体" w:eastAsia="楷体" w:cs="Times New Roman"/>
                <w:b/>
                <w:bCs/>
                <w:sz w:val="24"/>
                <w:szCs w:val="24"/>
              </w:rPr>
              <w:t>销售代码</w:t>
            </w:r>
          </w:p>
        </w:tc>
        <w:tc>
          <w:tcPr>
            <w:tcW w:w="1855" w:type="dxa"/>
            <w:noWrap w:val="0"/>
            <w:vAlign w:val="center"/>
          </w:tcPr>
          <w:p>
            <w:pPr>
              <w:pStyle w:val="11"/>
              <w:spacing w:before="0" w:beforeAutospacing="0" w:after="0" w:afterAutospacing="0" w:line="480" w:lineRule="auto"/>
              <w:jc w:val="center"/>
              <w:rPr>
                <w:rFonts w:hint="default" w:ascii="楷体" w:hAnsi="楷体" w:eastAsia="楷体" w:cs="Times New Roman"/>
                <w:b/>
                <w:bCs/>
                <w:sz w:val="24"/>
                <w:szCs w:val="24"/>
                <w:vertAlign w:val="baseline"/>
                <w:lang w:val="en-US" w:eastAsia="zh-CN"/>
              </w:rPr>
            </w:pPr>
            <w:r>
              <w:rPr>
                <w:rFonts w:hint="eastAsia" w:ascii="楷体" w:hAnsi="楷体" w:eastAsia="楷体" w:cs="Times New Roman"/>
                <w:b/>
                <w:bCs/>
                <w:sz w:val="24"/>
                <w:szCs w:val="24"/>
                <w:lang w:val="en-US" w:eastAsia="zh-CN"/>
              </w:rPr>
              <w:t>业绩比较基准（调整前）</w:t>
            </w:r>
          </w:p>
        </w:tc>
        <w:tc>
          <w:tcPr>
            <w:tcW w:w="1861" w:type="dxa"/>
            <w:noWrap w:val="0"/>
            <w:vAlign w:val="center"/>
          </w:tcPr>
          <w:p>
            <w:pPr>
              <w:pStyle w:val="11"/>
              <w:spacing w:before="0" w:beforeAutospacing="0" w:after="0" w:afterAutospacing="0" w:line="480" w:lineRule="auto"/>
              <w:jc w:val="center"/>
              <w:rPr>
                <w:rFonts w:hint="default" w:ascii="楷体" w:hAnsi="楷体" w:eastAsia="楷体" w:cs="Times New Roman"/>
                <w:b/>
                <w:bCs/>
                <w:sz w:val="24"/>
                <w:szCs w:val="24"/>
                <w:vertAlign w:val="baseline"/>
                <w:lang w:val="en-US" w:eastAsia="zh-CN"/>
              </w:rPr>
            </w:pPr>
            <w:r>
              <w:rPr>
                <w:rFonts w:hint="eastAsia" w:ascii="楷体" w:hAnsi="楷体" w:eastAsia="楷体" w:cs="Times New Roman"/>
                <w:b/>
                <w:bCs/>
                <w:sz w:val="24"/>
                <w:szCs w:val="24"/>
                <w:lang w:val="en-US" w:eastAsia="zh-CN"/>
              </w:rPr>
              <w:t>业绩比较基准（调整后）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苏银理财恒源融达1号6月A</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default" w:ascii="楷体" w:hAnsi="楷体" w:eastAsia="楷体" w:cs="Times New Roman"/>
                <w:sz w:val="24"/>
                <w:szCs w:val="24"/>
                <w:lang w:val="en-US" w:eastAsia="zh-CN"/>
              </w:rPr>
            </w:pPr>
            <w:r>
              <w:rPr>
                <w:rFonts w:hint="eastAsia" w:ascii="楷体" w:hAnsi="楷体" w:eastAsia="楷体" w:cs="Times New Roman"/>
                <w:sz w:val="24"/>
                <w:szCs w:val="24"/>
              </w:rPr>
              <w:t>J180409SA86B</w:t>
            </w:r>
          </w:p>
        </w:tc>
        <w:tc>
          <w:tcPr>
            <w:tcW w:w="1855" w:type="dxa"/>
            <w:noWrap w:val="0"/>
            <w:vAlign w:val="center"/>
          </w:tcPr>
          <w:p>
            <w:pPr>
              <w:spacing w:before="0" w:beforeAutospacing="0" w:after="0" w:afterAutospacing="0" w:line="400" w:lineRule="exact"/>
              <w:jc w:val="center"/>
              <w:rPr>
                <w:rFonts w:hint="default"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年化2.60%</w:t>
            </w:r>
          </w:p>
        </w:tc>
        <w:tc>
          <w:tcPr>
            <w:tcW w:w="1861" w:type="dxa"/>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苏银理财恒源融达1号6月（代发专享）</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default" w:ascii="楷体" w:hAnsi="楷体" w:eastAsia="楷体" w:cs="Times New Roman"/>
                <w:sz w:val="24"/>
                <w:szCs w:val="24"/>
                <w:lang w:val="en-US" w:eastAsia="zh-CN"/>
              </w:rPr>
            </w:pPr>
            <w:r>
              <w:rPr>
                <w:rFonts w:hint="eastAsia" w:ascii="楷体" w:hAnsi="楷体" w:eastAsia="楷体" w:cs="Times New Roman"/>
                <w:sz w:val="24"/>
                <w:szCs w:val="24"/>
              </w:rPr>
              <w:t>J180409SA86D</w:t>
            </w:r>
          </w:p>
        </w:tc>
        <w:tc>
          <w:tcPr>
            <w:tcW w:w="1855" w:type="dxa"/>
            <w:noWrap w:val="0"/>
            <w:vAlign w:val="center"/>
          </w:tcPr>
          <w:p>
            <w:pPr>
              <w:spacing w:before="0" w:beforeAutospacing="0" w:after="0" w:afterAutospacing="0" w:line="400" w:lineRule="exact"/>
              <w:jc w:val="center"/>
              <w:rPr>
                <w:rFonts w:hint="default"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年化2.65%</w:t>
            </w:r>
          </w:p>
        </w:tc>
        <w:tc>
          <w:tcPr>
            <w:tcW w:w="1861" w:type="dxa"/>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苏银理财恒源融达1号6月E50</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default" w:ascii="楷体" w:hAnsi="楷体" w:eastAsia="楷体" w:cs="Times New Roman"/>
                <w:sz w:val="24"/>
                <w:szCs w:val="24"/>
                <w:lang w:val="en-US" w:eastAsia="zh-CN"/>
              </w:rPr>
            </w:pPr>
            <w:r>
              <w:rPr>
                <w:rFonts w:hint="eastAsia" w:ascii="楷体" w:hAnsi="楷体" w:eastAsia="楷体" w:cs="Times New Roman"/>
                <w:sz w:val="24"/>
                <w:szCs w:val="24"/>
              </w:rPr>
              <w:t>J180409SA86E</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苏银理财恒源融达1号6月F</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default" w:ascii="楷体" w:hAnsi="楷体" w:eastAsia="楷体" w:cs="Times New Roman"/>
                <w:sz w:val="24"/>
                <w:szCs w:val="24"/>
                <w:lang w:val="en-US" w:eastAsia="zh-CN"/>
              </w:rPr>
            </w:pPr>
            <w:r>
              <w:rPr>
                <w:rFonts w:hint="eastAsia" w:ascii="楷体" w:hAnsi="楷体" w:eastAsia="楷体" w:cs="Times New Roman"/>
                <w:sz w:val="24"/>
                <w:szCs w:val="24"/>
              </w:rPr>
              <w:t>J180409SA86F</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苏银理财恒源融达1号6月G</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J02453</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年化2.70%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苏银理财恒源融达1号6月S</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J02764</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苏银理财恒源融达1号6月H</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J02767</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年化2.70%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苏银理财恒源融达1号6月（碳账户专享）</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J03363</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苏银理财恒源融达1号6月K</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J03473</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年化2.70%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苏银理财恒源融达1号6月J</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J03506</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苏银理财恒源融达1号6月（芙蓉锦程·优选）</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J03612</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年化2.40%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苏银理财恒源融达1号6月Z</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J03613</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年化2.40%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苏银理财恒源融达1号6月Q</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J03614</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年化2.40%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苏银理财恒源融达1号6月JS鑫福款</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J03807</w:t>
            </w:r>
          </w:p>
        </w:tc>
        <w:tc>
          <w:tcPr>
            <w:tcW w:w="1855" w:type="dxa"/>
            <w:noWrap w:val="0"/>
            <w:vAlign w:val="center"/>
          </w:tcPr>
          <w:p>
            <w:pPr>
              <w:spacing w:before="0" w:beforeAutospacing="0" w:after="0" w:afterAutospacing="0" w:line="400" w:lineRule="exact"/>
              <w:jc w:val="center"/>
              <w:rPr>
                <w:rFonts w:hint="default" w:ascii="楷体" w:hAnsi="楷体" w:eastAsia="楷体" w:cs="Times New Roman"/>
                <w:b w:val="0"/>
                <w:bCs w:val="0"/>
                <w:kern w:val="0"/>
                <w:sz w:val="24"/>
                <w:szCs w:val="24"/>
                <w:lang w:val="en-US" w:eastAsia="zh-CN" w:bidi="ar-SA"/>
              </w:rPr>
            </w:pPr>
            <w:r>
              <w:rPr>
                <w:rFonts w:hint="eastAsia" w:ascii="楷体" w:hAnsi="楷体" w:eastAsia="楷体" w:cs="Times New Roman"/>
                <w:sz w:val="24"/>
                <w:szCs w:val="24"/>
                <w:lang w:val="en-US" w:eastAsia="zh-CN"/>
              </w:rPr>
              <w:t>年化2.50%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苏银理财恒源融达1号6月（芙蓉锦程·优选-尊享款）</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J04954</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sz w:val="24"/>
                <w:szCs w:val="24"/>
                <w:lang w:val="en-US" w:eastAsia="zh-CN"/>
              </w:rPr>
              <w:t>年化2.75%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w:t>
            </w:r>
            <w:bookmarkStart w:id="0" w:name="_GoBack"/>
            <w:bookmarkEnd w:id="0"/>
            <w:r>
              <w:rPr>
                <w:rFonts w:hint="eastAsia" w:ascii="楷体" w:hAnsi="楷体" w:eastAsia="楷体" w:cs="Times New Roman"/>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苏银理财恒源融达1号6月（北部湾银行专属）</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J07237</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sz w:val="24"/>
                <w:szCs w:val="24"/>
                <w:lang w:val="en-US" w:eastAsia="zh-CN"/>
              </w:rPr>
              <w:t>年化2.45%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年化2.35%</w:t>
            </w:r>
          </w:p>
        </w:tc>
      </w:tr>
    </w:tbl>
    <w:p>
      <w:pPr>
        <w:spacing w:line="520" w:lineRule="exact"/>
        <w:ind w:firstLine="565" w:firstLineChars="202"/>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2025年8月21日至2025年8月27日申购，于2025年8月28日确认的份额适用调整后的业绩比较基准计提浮动管理费和超额业绩报酬；2025年8月28日前已确认的份额，按确认时原有的业绩比较基准计提浮动管理费和超额业绩报酬。</w:t>
      </w:r>
    </w:p>
    <w:p>
      <w:pPr>
        <w:pStyle w:val="11"/>
        <w:numPr>
          <w:ilvl w:val="0"/>
          <w:numId w:val="0"/>
        </w:numPr>
        <w:spacing w:before="0" w:beforeAutospacing="0" w:after="0" w:afterAutospacing="0" w:line="480" w:lineRule="auto"/>
        <w:ind w:firstLine="560" w:firstLineChars="200"/>
        <w:rPr>
          <w:rFonts w:hint="default" w:ascii="楷体" w:hAnsi="楷体" w:eastAsia="楷体" w:cs="Times New Roman"/>
          <w:sz w:val="28"/>
          <w:szCs w:val="28"/>
          <w:lang w:val="en-US" w:eastAsia="zh-CN"/>
        </w:rPr>
      </w:pPr>
      <w:r>
        <w:rPr>
          <w:rFonts w:hint="eastAsia" w:ascii="楷体" w:hAnsi="楷体" w:eastAsia="楷体" w:cs="Times New Roman"/>
          <w:sz w:val="28"/>
          <w:szCs w:val="28"/>
        </w:rPr>
        <w:t>特此报告。</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感谢您投资苏银理财本期理财产品，敬请继续关注我司近期推出的其他理财产品。</w:t>
      </w:r>
    </w:p>
    <w:p>
      <w:pPr>
        <w:spacing w:line="520" w:lineRule="exact"/>
        <w:jc w:val="right"/>
        <w:rPr>
          <w:rFonts w:hint="eastAsia" w:ascii="楷体" w:hAnsi="楷体" w:eastAsia="楷体"/>
          <w:kern w:val="0"/>
          <w:sz w:val="28"/>
          <w:szCs w:val="28"/>
        </w:rPr>
      </w:pPr>
      <w:r>
        <w:rPr>
          <w:rFonts w:hint="eastAsia" w:ascii="楷体" w:hAnsi="楷体" w:eastAsia="楷体"/>
          <w:kern w:val="0"/>
          <w:sz w:val="28"/>
          <w:szCs w:val="28"/>
        </w:rPr>
        <w:t>苏银理财有限责任公司</w:t>
      </w:r>
    </w:p>
    <w:p>
      <w:pPr>
        <w:spacing w:line="520" w:lineRule="exact"/>
        <w:jc w:val="right"/>
        <w:rPr>
          <w:rFonts w:hint="eastAsia" w:ascii="楷体" w:hAnsi="楷体" w:eastAsia="楷体"/>
          <w:kern w:val="0"/>
          <w:sz w:val="24"/>
          <w:szCs w:val="24"/>
        </w:rPr>
      </w:pPr>
      <w:r>
        <w:rPr>
          <w:rFonts w:ascii="楷体" w:hAnsi="楷体" w:eastAsia="楷体"/>
          <w:kern w:val="0"/>
          <w:sz w:val="28"/>
          <w:szCs w:val="28"/>
        </w:rPr>
        <w:t>202</w:t>
      </w:r>
      <w:r>
        <w:rPr>
          <w:rFonts w:hint="eastAsia" w:ascii="楷体" w:hAnsi="楷体" w:eastAsia="楷体"/>
          <w:kern w:val="0"/>
          <w:sz w:val="28"/>
          <w:szCs w:val="28"/>
          <w:lang w:val="en-US" w:eastAsia="zh-CN"/>
        </w:rPr>
        <w:t>5</w:t>
      </w:r>
      <w:r>
        <w:rPr>
          <w:rFonts w:hint="eastAsia" w:ascii="楷体" w:hAnsi="楷体" w:eastAsia="楷体"/>
          <w:kern w:val="0"/>
          <w:sz w:val="28"/>
          <w:szCs w:val="28"/>
        </w:rPr>
        <w:t>年</w:t>
      </w:r>
      <w:r>
        <w:rPr>
          <w:rFonts w:hint="eastAsia" w:ascii="楷体" w:hAnsi="楷体" w:eastAsia="楷体"/>
          <w:kern w:val="0"/>
          <w:sz w:val="28"/>
          <w:szCs w:val="28"/>
          <w:lang w:val="en-US" w:eastAsia="zh-CN"/>
        </w:rPr>
        <w:t>8</w:t>
      </w:r>
      <w:r>
        <w:rPr>
          <w:rFonts w:hint="eastAsia" w:ascii="楷体" w:hAnsi="楷体" w:eastAsia="楷体"/>
          <w:kern w:val="0"/>
          <w:sz w:val="28"/>
          <w:szCs w:val="28"/>
        </w:rPr>
        <w:t>月</w:t>
      </w:r>
      <w:r>
        <w:rPr>
          <w:rFonts w:hint="eastAsia" w:ascii="楷体" w:hAnsi="楷体" w:eastAsia="楷体"/>
          <w:kern w:val="0"/>
          <w:sz w:val="28"/>
          <w:szCs w:val="28"/>
          <w:lang w:val="en-US" w:eastAsia="zh-CN"/>
        </w:rPr>
        <w:t>19</w:t>
      </w:r>
      <w:r>
        <w:rPr>
          <w:rFonts w:hint="eastAsia" w:ascii="楷体" w:hAnsi="楷体" w:eastAsia="楷体"/>
          <w:kern w:val="0"/>
          <w:sz w:val="28"/>
          <w:szCs w:val="28"/>
        </w:rPr>
        <w:t>日</w:t>
      </w:r>
    </w:p>
    <w:p>
      <w:pPr>
        <w:spacing w:line="520" w:lineRule="exact"/>
        <w:rPr>
          <w:rFonts w:hint="eastAsia"/>
        </w:rPr>
      </w:pPr>
    </w:p>
    <w:p>
      <w:pPr>
        <w:spacing w:line="520" w:lineRule="exact"/>
        <w:rPr>
          <w:rFonts w:hint="eastAsia" w:ascii="楷体" w:hAnsi="楷体" w:eastAsia="楷体" w:cs="楷体"/>
        </w:rPr>
      </w:pPr>
      <w:r>
        <w:rPr>
          <w:rFonts w:hint="eastAsia" w:ascii="楷体" w:hAnsi="楷体" w:eastAsia="楷体" w:cs="楷体"/>
        </w:rPr>
        <w:t>备注：本次披露内容解释权归苏银理财所有，不构成任何形式的法律要约或承诺。</w:t>
      </w: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DC0FE3"/>
    <w:multiLevelType w:val="singleLevel"/>
    <w:tmpl w:val="1CDC0FE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3F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23C5"/>
    <w:rsid w:val="00023BA8"/>
    <w:rsid w:val="000247F9"/>
    <w:rsid w:val="00024C7F"/>
    <w:rsid w:val="000263ED"/>
    <w:rsid w:val="00027E61"/>
    <w:rsid w:val="00027F48"/>
    <w:rsid w:val="0003072E"/>
    <w:rsid w:val="00030D69"/>
    <w:rsid w:val="00031806"/>
    <w:rsid w:val="00031F80"/>
    <w:rsid w:val="00034890"/>
    <w:rsid w:val="000375C2"/>
    <w:rsid w:val="000405B1"/>
    <w:rsid w:val="000434FB"/>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1418"/>
    <w:rsid w:val="00071581"/>
    <w:rsid w:val="000715B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A5E00"/>
    <w:rsid w:val="000B0078"/>
    <w:rsid w:val="000B0690"/>
    <w:rsid w:val="000B382A"/>
    <w:rsid w:val="000B3B58"/>
    <w:rsid w:val="000B3EFD"/>
    <w:rsid w:val="000B659B"/>
    <w:rsid w:val="000B6E9F"/>
    <w:rsid w:val="000B7D78"/>
    <w:rsid w:val="000C3DB1"/>
    <w:rsid w:val="000C54ED"/>
    <w:rsid w:val="000C5C02"/>
    <w:rsid w:val="000C6143"/>
    <w:rsid w:val="000C7382"/>
    <w:rsid w:val="000D35BD"/>
    <w:rsid w:val="000D3992"/>
    <w:rsid w:val="000D70FD"/>
    <w:rsid w:val="000D71CF"/>
    <w:rsid w:val="000D7225"/>
    <w:rsid w:val="000D722C"/>
    <w:rsid w:val="000E0485"/>
    <w:rsid w:val="000E1951"/>
    <w:rsid w:val="000E2E7D"/>
    <w:rsid w:val="000E34F3"/>
    <w:rsid w:val="000E4205"/>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9EA"/>
    <w:rsid w:val="00125B8C"/>
    <w:rsid w:val="0012647A"/>
    <w:rsid w:val="001303B2"/>
    <w:rsid w:val="00130EED"/>
    <w:rsid w:val="00130F7B"/>
    <w:rsid w:val="00131F1B"/>
    <w:rsid w:val="0013364F"/>
    <w:rsid w:val="00133AAF"/>
    <w:rsid w:val="00133B98"/>
    <w:rsid w:val="0013472F"/>
    <w:rsid w:val="00134733"/>
    <w:rsid w:val="001359ED"/>
    <w:rsid w:val="00140B25"/>
    <w:rsid w:val="001450DF"/>
    <w:rsid w:val="0014734D"/>
    <w:rsid w:val="00151CC7"/>
    <w:rsid w:val="00152B36"/>
    <w:rsid w:val="00153081"/>
    <w:rsid w:val="001530B2"/>
    <w:rsid w:val="001543E7"/>
    <w:rsid w:val="00155580"/>
    <w:rsid w:val="00155B77"/>
    <w:rsid w:val="00160569"/>
    <w:rsid w:val="00161BF0"/>
    <w:rsid w:val="00161E2F"/>
    <w:rsid w:val="001624A3"/>
    <w:rsid w:val="001624DA"/>
    <w:rsid w:val="00162BF5"/>
    <w:rsid w:val="00165E23"/>
    <w:rsid w:val="0016609C"/>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3A02"/>
    <w:rsid w:val="00194E69"/>
    <w:rsid w:val="00195FF0"/>
    <w:rsid w:val="00197DD9"/>
    <w:rsid w:val="001A05F5"/>
    <w:rsid w:val="001A1C12"/>
    <w:rsid w:val="001A2EBB"/>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5D06"/>
    <w:rsid w:val="001D78FF"/>
    <w:rsid w:val="001E0062"/>
    <w:rsid w:val="001E0387"/>
    <w:rsid w:val="001E223F"/>
    <w:rsid w:val="001E4374"/>
    <w:rsid w:val="001E4A82"/>
    <w:rsid w:val="001E4C0D"/>
    <w:rsid w:val="001E4E95"/>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3C4"/>
    <w:rsid w:val="00235E45"/>
    <w:rsid w:val="002366EB"/>
    <w:rsid w:val="002379DD"/>
    <w:rsid w:val="00237FDB"/>
    <w:rsid w:val="0024053C"/>
    <w:rsid w:val="002436C1"/>
    <w:rsid w:val="00243A17"/>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31"/>
    <w:rsid w:val="00276883"/>
    <w:rsid w:val="00277C1F"/>
    <w:rsid w:val="002821D7"/>
    <w:rsid w:val="00282F20"/>
    <w:rsid w:val="00284410"/>
    <w:rsid w:val="0029004F"/>
    <w:rsid w:val="00291B84"/>
    <w:rsid w:val="00292B19"/>
    <w:rsid w:val="00292B5E"/>
    <w:rsid w:val="002932FC"/>
    <w:rsid w:val="00293CDD"/>
    <w:rsid w:val="00294431"/>
    <w:rsid w:val="00294B49"/>
    <w:rsid w:val="00295538"/>
    <w:rsid w:val="00297034"/>
    <w:rsid w:val="002A046A"/>
    <w:rsid w:val="002A0E6D"/>
    <w:rsid w:val="002A237A"/>
    <w:rsid w:val="002A23E0"/>
    <w:rsid w:val="002A2E20"/>
    <w:rsid w:val="002A32DF"/>
    <w:rsid w:val="002A6980"/>
    <w:rsid w:val="002A7DF5"/>
    <w:rsid w:val="002A7E94"/>
    <w:rsid w:val="002B0795"/>
    <w:rsid w:val="002B2620"/>
    <w:rsid w:val="002B3225"/>
    <w:rsid w:val="002B5694"/>
    <w:rsid w:val="002C021F"/>
    <w:rsid w:val="002C2056"/>
    <w:rsid w:val="002C222A"/>
    <w:rsid w:val="002C23F7"/>
    <w:rsid w:val="002C3367"/>
    <w:rsid w:val="002C7117"/>
    <w:rsid w:val="002C7CB4"/>
    <w:rsid w:val="002D0706"/>
    <w:rsid w:val="002D29FD"/>
    <w:rsid w:val="002D2AEC"/>
    <w:rsid w:val="002D2C1F"/>
    <w:rsid w:val="002D600D"/>
    <w:rsid w:val="002E1382"/>
    <w:rsid w:val="002E6CC3"/>
    <w:rsid w:val="002E6F55"/>
    <w:rsid w:val="002F0E4E"/>
    <w:rsid w:val="002F24A1"/>
    <w:rsid w:val="002F344B"/>
    <w:rsid w:val="002F41A5"/>
    <w:rsid w:val="002F709A"/>
    <w:rsid w:val="002F77A8"/>
    <w:rsid w:val="003010FA"/>
    <w:rsid w:val="00301619"/>
    <w:rsid w:val="00301AD3"/>
    <w:rsid w:val="00301E80"/>
    <w:rsid w:val="00302755"/>
    <w:rsid w:val="00303147"/>
    <w:rsid w:val="00304D18"/>
    <w:rsid w:val="00305A15"/>
    <w:rsid w:val="00305FD1"/>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029E"/>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56BF"/>
    <w:rsid w:val="00366074"/>
    <w:rsid w:val="00367122"/>
    <w:rsid w:val="0037083D"/>
    <w:rsid w:val="00372402"/>
    <w:rsid w:val="003724FE"/>
    <w:rsid w:val="003726C4"/>
    <w:rsid w:val="003732C5"/>
    <w:rsid w:val="0037344E"/>
    <w:rsid w:val="00374086"/>
    <w:rsid w:val="00375BEB"/>
    <w:rsid w:val="003800B4"/>
    <w:rsid w:val="00380687"/>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6081"/>
    <w:rsid w:val="003D6720"/>
    <w:rsid w:val="003D6B3F"/>
    <w:rsid w:val="003D7951"/>
    <w:rsid w:val="003E030F"/>
    <w:rsid w:val="003E0964"/>
    <w:rsid w:val="003E1EFB"/>
    <w:rsid w:val="003E2B26"/>
    <w:rsid w:val="003E4299"/>
    <w:rsid w:val="003E6D92"/>
    <w:rsid w:val="003E70B9"/>
    <w:rsid w:val="003E7812"/>
    <w:rsid w:val="003F2136"/>
    <w:rsid w:val="003F277A"/>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6041"/>
    <w:rsid w:val="00426AD3"/>
    <w:rsid w:val="00426CBC"/>
    <w:rsid w:val="00427CC0"/>
    <w:rsid w:val="0043002F"/>
    <w:rsid w:val="004303B3"/>
    <w:rsid w:val="00430927"/>
    <w:rsid w:val="0043308A"/>
    <w:rsid w:val="00433113"/>
    <w:rsid w:val="00434262"/>
    <w:rsid w:val="0043673C"/>
    <w:rsid w:val="00436801"/>
    <w:rsid w:val="004370D4"/>
    <w:rsid w:val="00437DA0"/>
    <w:rsid w:val="004412CE"/>
    <w:rsid w:val="00442603"/>
    <w:rsid w:val="00444898"/>
    <w:rsid w:val="00445E88"/>
    <w:rsid w:val="004509F6"/>
    <w:rsid w:val="00453254"/>
    <w:rsid w:val="0045366F"/>
    <w:rsid w:val="00453947"/>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67E"/>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2948"/>
    <w:rsid w:val="004F3AC9"/>
    <w:rsid w:val="004F3E60"/>
    <w:rsid w:val="004F40EF"/>
    <w:rsid w:val="004F46F0"/>
    <w:rsid w:val="004F4F78"/>
    <w:rsid w:val="004F55EC"/>
    <w:rsid w:val="005013A2"/>
    <w:rsid w:val="0050386F"/>
    <w:rsid w:val="005041D5"/>
    <w:rsid w:val="005071D2"/>
    <w:rsid w:val="00510526"/>
    <w:rsid w:val="00510823"/>
    <w:rsid w:val="0051208D"/>
    <w:rsid w:val="005139EC"/>
    <w:rsid w:val="00515789"/>
    <w:rsid w:val="00516DA1"/>
    <w:rsid w:val="005201F1"/>
    <w:rsid w:val="00520ACC"/>
    <w:rsid w:val="00520B0B"/>
    <w:rsid w:val="005212D4"/>
    <w:rsid w:val="00522AA1"/>
    <w:rsid w:val="0052415B"/>
    <w:rsid w:val="005262C8"/>
    <w:rsid w:val="005266CB"/>
    <w:rsid w:val="00527FBD"/>
    <w:rsid w:val="0053069A"/>
    <w:rsid w:val="005308B0"/>
    <w:rsid w:val="00531618"/>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922"/>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3825"/>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794"/>
    <w:rsid w:val="00604135"/>
    <w:rsid w:val="006058CB"/>
    <w:rsid w:val="0060733C"/>
    <w:rsid w:val="0061140B"/>
    <w:rsid w:val="00612B94"/>
    <w:rsid w:val="00613453"/>
    <w:rsid w:val="0061470B"/>
    <w:rsid w:val="00616AE1"/>
    <w:rsid w:val="00617F6B"/>
    <w:rsid w:val="0062067C"/>
    <w:rsid w:val="006214AD"/>
    <w:rsid w:val="0062541F"/>
    <w:rsid w:val="00625863"/>
    <w:rsid w:val="006260E5"/>
    <w:rsid w:val="0062647B"/>
    <w:rsid w:val="00627ADB"/>
    <w:rsid w:val="00627B69"/>
    <w:rsid w:val="00631A5D"/>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127"/>
    <w:rsid w:val="0067038D"/>
    <w:rsid w:val="00671A6A"/>
    <w:rsid w:val="00672AAA"/>
    <w:rsid w:val="00673F0C"/>
    <w:rsid w:val="00676A38"/>
    <w:rsid w:val="00680098"/>
    <w:rsid w:val="00680957"/>
    <w:rsid w:val="00682CFC"/>
    <w:rsid w:val="00683B13"/>
    <w:rsid w:val="00686216"/>
    <w:rsid w:val="00686325"/>
    <w:rsid w:val="00686EC4"/>
    <w:rsid w:val="00687063"/>
    <w:rsid w:val="00690FFC"/>
    <w:rsid w:val="00691425"/>
    <w:rsid w:val="00695E17"/>
    <w:rsid w:val="00696763"/>
    <w:rsid w:val="00696D1D"/>
    <w:rsid w:val="0069734A"/>
    <w:rsid w:val="006A139A"/>
    <w:rsid w:val="006A1939"/>
    <w:rsid w:val="006A303A"/>
    <w:rsid w:val="006A4427"/>
    <w:rsid w:val="006A45A4"/>
    <w:rsid w:val="006A45AE"/>
    <w:rsid w:val="006A5C3E"/>
    <w:rsid w:val="006B0367"/>
    <w:rsid w:val="006B0421"/>
    <w:rsid w:val="006B147C"/>
    <w:rsid w:val="006B1E00"/>
    <w:rsid w:val="006B202A"/>
    <w:rsid w:val="006B4802"/>
    <w:rsid w:val="006B4D34"/>
    <w:rsid w:val="006B5097"/>
    <w:rsid w:val="006B5516"/>
    <w:rsid w:val="006B5D36"/>
    <w:rsid w:val="006B5E7D"/>
    <w:rsid w:val="006B7A09"/>
    <w:rsid w:val="006C42CE"/>
    <w:rsid w:val="006C51DA"/>
    <w:rsid w:val="006C5486"/>
    <w:rsid w:val="006C592D"/>
    <w:rsid w:val="006C5D93"/>
    <w:rsid w:val="006C748B"/>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3DB1"/>
    <w:rsid w:val="006F4219"/>
    <w:rsid w:val="006F55D6"/>
    <w:rsid w:val="006F575A"/>
    <w:rsid w:val="00700A73"/>
    <w:rsid w:val="007015E9"/>
    <w:rsid w:val="00702A10"/>
    <w:rsid w:val="0070484E"/>
    <w:rsid w:val="00704ED8"/>
    <w:rsid w:val="0070601C"/>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032D"/>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708"/>
    <w:rsid w:val="00796A9E"/>
    <w:rsid w:val="00796D05"/>
    <w:rsid w:val="00797687"/>
    <w:rsid w:val="007A0BE3"/>
    <w:rsid w:val="007A25AF"/>
    <w:rsid w:val="007A30A5"/>
    <w:rsid w:val="007A4E36"/>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100B"/>
    <w:rsid w:val="00801BBC"/>
    <w:rsid w:val="00802684"/>
    <w:rsid w:val="00804380"/>
    <w:rsid w:val="00804490"/>
    <w:rsid w:val="00805CED"/>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68E"/>
    <w:rsid w:val="00835A8D"/>
    <w:rsid w:val="008362EF"/>
    <w:rsid w:val="008367C0"/>
    <w:rsid w:val="00840F68"/>
    <w:rsid w:val="00841F00"/>
    <w:rsid w:val="00843EBB"/>
    <w:rsid w:val="008443EB"/>
    <w:rsid w:val="00844E1C"/>
    <w:rsid w:val="00847A9C"/>
    <w:rsid w:val="00855674"/>
    <w:rsid w:val="0086291A"/>
    <w:rsid w:val="00862D4F"/>
    <w:rsid w:val="00871456"/>
    <w:rsid w:val="00871856"/>
    <w:rsid w:val="008729F2"/>
    <w:rsid w:val="00872ABA"/>
    <w:rsid w:val="00872FCE"/>
    <w:rsid w:val="00874EBD"/>
    <w:rsid w:val="008761FC"/>
    <w:rsid w:val="00877D2F"/>
    <w:rsid w:val="008800C1"/>
    <w:rsid w:val="00881137"/>
    <w:rsid w:val="00882933"/>
    <w:rsid w:val="00883A75"/>
    <w:rsid w:val="00883F98"/>
    <w:rsid w:val="00884396"/>
    <w:rsid w:val="008843FC"/>
    <w:rsid w:val="008862BD"/>
    <w:rsid w:val="00886A92"/>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6ECD"/>
    <w:rsid w:val="008A74CD"/>
    <w:rsid w:val="008A7E2E"/>
    <w:rsid w:val="008B3124"/>
    <w:rsid w:val="008B5749"/>
    <w:rsid w:val="008B6744"/>
    <w:rsid w:val="008B6930"/>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E2A"/>
    <w:rsid w:val="0091468D"/>
    <w:rsid w:val="0091475E"/>
    <w:rsid w:val="009163B6"/>
    <w:rsid w:val="00916B61"/>
    <w:rsid w:val="00917ED2"/>
    <w:rsid w:val="00917F42"/>
    <w:rsid w:val="009205E3"/>
    <w:rsid w:val="009217A9"/>
    <w:rsid w:val="00922F29"/>
    <w:rsid w:val="009231E6"/>
    <w:rsid w:val="0092352C"/>
    <w:rsid w:val="00924926"/>
    <w:rsid w:val="00924ED9"/>
    <w:rsid w:val="009277E9"/>
    <w:rsid w:val="0093042C"/>
    <w:rsid w:val="00931316"/>
    <w:rsid w:val="00933086"/>
    <w:rsid w:val="00934A0F"/>
    <w:rsid w:val="009350E8"/>
    <w:rsid w:val="00935CA2"/>
    <w:rsid w:val="00937ED6"/>
    <w:rsid w:val="009406E7"/>
    <w:rsid w:val="00940B04"/>
    <w:rsid w:val="00944AB3"/>
    <w:rsid w:val="009465F6"/>
    <w:rsid w:val="009469A2"/>
    <w:rsid w:val="00950141"/>
    <w:rsid w:val="00950802"/>
    <w:rsid w:val="00950FC7"/>
    <w:rsid w:val="00951D07"/>
    <w:rsid w:val="00953FB3"/>
    <w:rsid w:val="0095455D"/>
    <w:rsid w:val="0095482D"/>
    <w:rsid w:val="009563AA"/>
    <w:rsid w:val="009623A4"/>
    <w:rsid w:val="00963229"/>
    <w:rsid w:val="0096515A"/>
    <w:rsid w:val="00965BC8"/>
    <w:rsid w:val="00965C79"/>
    <w:rsid w:val="00966601"/>
    <w:rsid w:val="00967094"/>
    <w:rsid w:val="00967DCB"/>
    <w:rsid w:val="00970079"/>
    <w:rsid w:val="009700A9"/>
    <w:rsid w:val="00970A79"/>
    <w:rsid w:val="00973C9C"/>
    <w:rsid w:val="009752BD"/>
    <w:rsid w:val="009758CF"/>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1BCB"/>
    <w:rsid w:val="009F2488"/>
    <w:rsid w:val="009F3650"/>
    <w:rsid w:val="009F6E81"/>
    <w:rsid w:val="009F7321"/>
    <w:rsid w:val="00A00194"/>
    <w:rsid w:val="00A001C6"/>
    <w:rsid w:val="00A00244"/>
    <w:rsid w:val="00A02BF2"/>
    <w:rsid w:val="00A031F9"/>
    <w:rsid w:val="00A05A0B"/>
    <w:rsid w:val="00A05E0C"/>
    <w:rsid w:val="00A070DA"/>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4413"/>
    <w:rsid w:val="00A85069"/>
    <w:rsid w:val="00A851D3"/>
    <w:rsid w:val="00A85C99"/>
    <w:rsid w:val="00A86059"/>
    <w:rsid w:val="00A8682A"/>
    <w:rsid w:val="00A86B8B"/>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C12F5"/>
    <w:rsid w:val="00AC1749"/>
    <w:rsid w:val="00AC2A9D"/>
    <w:rsid w:val="00AC56CE"/>
    <w:rsid w:val="00AC59CF"/>
    <w:rsid w:val="00AC604F"/>
    <w:rsid w:val="00AC6C89"/>
    <w:rsid w:val="00AC71B2"/>
    <w:rsid w:val="00AD2F15"/>
    <w:rsid w:val="00AD34FD"/>
    <w:rsid w:val="00AD4224"/>
    <w:rsid w:val="00AD4E75"/>
    <w:rsid w:val="00AD6DC7"/>
    <w:rsid w:val="00AD74C8"/>
    <w:rsid w:val="00AE3181"/>
    <w:rsid w:val="00AE357C"/>
    <w:rsid w:val="00AE6795"/>
    <w:rsid w:val="00AE6ED6"/>
    <w:rsid w:val="00AE7EDF"/>
    <w:rsid w:val="00AF0768"/>
    <w:rsid w:val="00AF07F9"/>
    <w:rsid w:val="00AF143D"/>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766"/>
    <w:rsid w:val="00B35AFE"/>
    <w:rsid w:val="00B40329"/>
    <w:rsid w:val="00B40649"/>
    <w:rsid w:val="00B40B8D"/>
    <w:rsid w:val="00B4103B"/>
    <w:rsid w:val="00B432A2"/>
    <w:rsid w:val="00B45440"/>
    <w:rsid w:val="00B4736B"/>
    <w:rsid w:val="00B52150"/>
    <w:rsid w:val="00B53BE1"/>
    <w:rsid w:val="00B5466A"/>
    <w:rsid w:val="00B546E5"/>
    <w:rsid w:val="00B54E07"/>
    <w:rsid w:val="00B565C8"/>
    <w:rsid w:val="00B56E68"/>
    <w:rsid w:val="00B575ED"/>
    <w:rsid w:val="00B57F78"/>
    <w:rsid w:val="00B62EFE"/>
    <w:rsid w:val="00B62F9E"/>
    <w:rsid w:val="00B632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4FBA"/>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04A8"/>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E46"/>
    <w:rsid w:val="00CA5475"/>
    <w:rsid w:val="00CA6FE3"/>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204E"/>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3764"/>
    <w:rsid w:val="00D137C2"/>
    <w:rsid w:val="00D14D03"/>
    <w:rsid w:val="00D174F0"/>
    <w:rsid w:val="00D17707"/>
    <w:rsid w:val="00D22CDE"/>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1FDF"/>
    <w:rsid w:val="00D72158"/>
    <w:rsid w:val="00D740F4"/>
    <w:rsid w:val="00D802FD"/>
    <w:rsid w:val="00D8162D"/>
    <w:rsid w:val="00D869C5"/>
    <w:rsid w:val="00D932E1"/>
    <w:rsid w:val="00D937A6"/>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6664"/>
    <w:rsid w:val="00DB73FB"/>
    <w:rsid w:val="00DB7CD4"/>
    <w:rsid w:val="00DC0DBE"/>
    <w:rsid w:val="00DC429D"/>
    <w:rsid w:val="00DC553A"/>
    <w:rsid w:val="00DC6E17"/>
    <w:rsid w:val="00DC6F8F"/>
    <w:rsid w:val="00DC762A"/>
    <w:rsid w:val="00DD26B7"/>
    <w:rsid w:val="00DD35D4"/>
    <w:rsid w:val="00DD4DCA"/>
    <w:rsid w:val="00DD5181"/>
    <w:rsid w:val="00DD5CCB"/>
    <w:rsid w:val="00DD6003"/>
    <w:rsid w:val="00DD7B1D"/>
    <w:rsid w:val="00DE189C"/>
    <w:rsid w:val="00DE1A4C"/>
    <w:rsid w:val="00DE285A"/>
    <w:rsid w:val="00DE2F3F"/>
    <w:rsid w:val="00DE4AFA"/>
    <w:rsid w:val="00DE5417"/>
    <w:rsid w:val="00DE5630"/>
    <w:rsid w:val="00DE6892"/>
    <w:rsid w:val="00DE7227"/>
    <w:rsid w:val="00DE76FC"/>
    <w:rsid w:val="00DF3789"/>
    <w:rsid w:val="00DF3F22"/>
    <w:rsid w:val="00DF4241"/>
    <w:rsid w:val="00DF45B4"/>
    <w:rsid w:val="00DF4680"/>
    <w:rsid w:val="00DF4731"/>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BFA"/>
    <w:rsid w:val="00E47194"/>
    <w:rsid w:val="00E477BE"/>
    <w:rsid w:val="00E47B62"/>
    <w:rsid w:val="00E51517"/>
    <w:rsid w:val="00E51F74"/>
    <w:rsid w:val="00E54533"/>
    <w:rsid w:val="00E55868"/>
    <w:rsid w:val="00E60C14"/>
    <w:rsid w:val="00E61815"/>
    <w:rsid w:val="00E63C50"/>
    <w:rsid w:val="00E653EB"/>
    <w:rsid w:val="00E65D86"/>
    <w:rsid w:val="00E66967"/>
    <w:rsid w:val="00E67E1C"/>
    <w:rsid w:val="00E70E2A"/>
    <w:rsid w:val="00E72C1A"/>
    <w:rsid w:val="00E74BBE"/>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5A3E"/>
    <w:rsid w:val="00F37DBE"/>
    <w:rsid w:val="00F421EA"/>
    <w:rsid w:val="00F430AC"/>
    <w:rsid w:val="00F462D5"/>
    <w:rsid w:val="00F46975"/>
    <w:rsid w:val="00F477B9"/>
    <w:rsid w:val="00F53604"/>
    <w:rsid w:val="00F54A39"/>
    <w:rsid w:val="00F54B2D"/>
    <w:rsid w:val="00F54BBB"/>
    <w:rsid w:val="00F55625"/>
    <w:rsid w:val="00F55FAE"/>
    <w:rsid w:val="00F60171"/>
    <w:rsid w:val="00F6086F"/>
    <w:rsid w:val="00F613FA"/>
    <w:rsid w:val="00F61F89"/>
    <w:rsid w:val="00F65BDD"/>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D2A"/>
    <w:rsid w:val="00FB1EA0"/>
    <w:rsid w:val="00FB2144"/>
    <w:rsid w:val="00FB2DA4"/>
    <w:rsid w:val="00FB45C2"/>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1A72C25"/>
    <w:rsid w:val="02357EBD"/>
    <w:rsid w:val="034151C1"/>
    <w:rsid w:val="0469264D"/>
    <w:rsid w:val="05B04F36"/>
    <w:rsid w:val="05C24554"/>
    <w:rsid w:val="06FF58D1"/>
    <w:rsid w:val="07731EDA"/>
    <w:rsid w:val="099D0555"/>
    <w:rsid w:val="0CA26DB0"/>
    <w:rsid w:val="0CF50657"/>
    <w:rsid w:val="0DAF4280"/>
    <w:rsid w:val="0EA92285"/>
    <w:rsid w:val="0F4C57D3"/>
    <w:rsid w:val="0FF7692E"/>
    <w:rsid w:val="104867C3"/>
    <w:rsid w:val="10E55ACF"/>
    <w:rsid w:val="118A1357"/>
    <w:rsid w:val="124D3FC9"/>
    <w:rsid w:val="14971E4F"/>
    <w:rsid w:val="15CF287D"/>
    <w:rsid w:val="15E048F2"/>
    <w:rsid w:val="16CE1B84"/>
    <w:rsid w:val="176B4E28"/>
    <w:rsid w:val="179F0529"/>
    <w:rsid w:val="19C5136C"/>
    <w:rsid w:val="1CFB691F"/>
    <w:rsid w:val="1D423482"/>
    <w:rsid w:val="1F6B4184"/>
    <w:rsid w:val="21492860"/>
    <w:rsid w:val="24622187"/>
    <w:rsid w:val="25AE4697"/>
    <w:rsid w:val="273C103C"/>
    <w:rsid w:val="2881416C"/>
    <w:rsid w:val="2AD462DB"/>
    <w:rsid w:val="2CCF285A"/>
    <w:rsid w:val="2D30343B"/>
    <w:rsid w:val="302B50B7"/>
    <w:rsid w:val="306C3CBA"/>
    <w:rsid w:val="307A1680"/>
    <w:rsid w:val="30E04D9B"/>
    <w:rsid w:val="313C3EEC"/>
    <w:rsid w:val="31A467A0"/>
    <w:rsid w:val="326E6078"/>
    <w:rsid w:val="32A10034"/>
    <w:rsid w:val="33372C8E"/>
    <w:rsid w:val="33AD1A8F"/>
    <w:rsid w:val="36145A4C"/>
    <w:rsid w:val="36452BCC"/>
    <w:rsid w:val="3719208C"/>
    <w:rsid w:val="382D529A"/>
    <w:rsid w:val="3A057A23"/>
    <w:rsid w:val="3ABF7DB8"/>
    <w:rsid w:val="3D894EAB"/>
    <w:rsid w:val="3E753237"/>
    <w:rsid w:val="3FD32214"/>
    <w:rsid w:val="4016644B"/>
    <w:rsid w:val="404C45FE"/>
    <w:rsid w:val="4496250A"/>
    <w:rsid w:val="45EB52C6"/>
    <w:rsid w:val="462F7055"/>
    <w:rsid w:val="48033807"/>
    <w:rsid w:val="4B0059E6"/>
    <w:rsid w:val="4CF80053"/>
    <w:rsid w:val="4D011DA1"/>
    <w:rsid w:val="4D5937A3"/>
    <w:rsid w:val="4DA31726"/>
    <w:rsid w:val="4E0D7F2E"/>
    <w:rsid w:val="4F40507F"/>
    <w:rsid w:val="50AA6D5E"/>
    <w:rsid w:val="50C3652F"/>
    <w:rsid w:val="535C5BED"/>
    <w:rsid w:val="53F259E7"/>
    <w:rsid w:val="548F625D"/>
    <w:rsid w:val="559A2086"/>
    <w:rsid w:val="563448E0"/>
    <w:rsid w:val="56BF5AB0"/>
    <w:rsid w:val="590B4EB3"/>
    <w:rsid w:val="59CF65DB"/>
    <w:rsid w:val="59DF673A"/>
    <w:rsid w:val="5A054BA3"/>
    <w:rsid w:val="5A610897"/>
    <w:rsid w:val="5E702997"/>
    <w:rsid w:val="614A56B9"/>
    <w:rsid w:val="62AC286D"/>
    <w:rsid w:val="63EE228A"/>
    <w:rsid w:val="66D00FE5"/>
    <w:rsid w:val="67F96943"/>
    <w:rsid w:val="68472ADB"/>
    <w:rsid w:val="68E71DB2"/>
    <w:rsid w:val="69C04ABB"/>
    <w:rsid w:val="6A532CDB"/>
    <w:rsid w:val="6A5D0A1D"/>
    <w:rsid w:val="6ACE4D37"/>
    <w:rsid w:val="6D2D0DCA"/>
    <w:rsid w:val="6DED41C2"/>
    <w:rsid w:val="714B3673"/>
    <w:rsid w:val="7166298A"/>
    <w:rsid w:val="7396760B"/>
    <w:rsid w:val="73A5138D"/>
    <w:rsid w:val="74966354"/>
    <w:rsid w:val="77667C2A"/>
    <w:rsid w:val="79925D05"/>
    <w:rsid w:val="7A260FB7"/>
    <w:rsid w:val="7A2D60A7"/>
    <w:rsid w:val="7B216513"/>
    <w:rsid w:val="7BBD7E78"/>
    <w:rsid w:val="7D6D7178"/>
    <w:rsid w:val="7F175FC0"/>
    <w:rsid w:val="7F96302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0"/>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1"/>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2"/>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3"/>
    <w:unhideWhenUsed/>
    <w:qFormat/>
    <w:uiPriority w:val="99"/>
    <w:pPr>
      <w:jc w:val="left"/>
    </w:pPr>
  </w:style>
  <w:style w:type="paragraph" w:styleId="7">
    <w:name w:val="Date"/>
    <w:basedOn w:val="1"/>
    <w:next w:val="1"/>
    <w:link w:val="24"/>
    <w:unhideWhenUsed/>
    <w:qFormat/>
    <w:uiPriority w:val="99"/>
    <w:pPr>
      <w:ind w:left="100" w:leftChars="2500"/>
    </w:pPr>
  </w:style>
  <w:style w:type="paragraph" w:styleId="8">
    <w:name w:val="Balloon Text"/>
    <w:basedOn w:val="1"/>
    <w:link w:val="25"/>
    <w:unhideWhenUsed/>
    <w:qFormat/>
    <w:uiPriority w:val="99"/>
    <w:rPr>
      <w:kern w:val="0"/>
      <w:sz w:val="18"/>
      <w:szCs w:val="18"/>
    </w:rPr>
  </w:style>
  <w:style w:type="paragraph" w:styleId="9">
    <w:name w:val="footer"/>
    <w:basedOn w:val="1"/>
    <w:link w:val="26"/>
    <w:unhideWhenUsed/>
    <w:qFormat/>
    <w:uiPriority w:val="99"/>
    <w:pPr>
      <w:tabs>
        <w:tab w:val="center" w:pos="4153"/>
        <w:tab w:val="right" w:pos="8306"/>
      </w:tabs>
      <w:snapToGrid w:val="0"/>
      <w:jc w:val="left"/>
    </w:pPr>
    <w:rPr>
      <w:kern w:val="0"/>
      <w:sz w:val="18"/>
      <w:szCs w:val="18"/>
    </w:rPr>
  </w:style>
  <w:style w:type="paragraph" w:styleId="10">
    <w:name w:val="header"/>
    <w:basedOn w:val="1"/>
    <w:link w:val="2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28"/>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unhideWhenUsed/>
    <w:qFormat/>
    <w:uiPriority w:val="99"/>
    <w:rPr>
      <w:color w:val="0000FF"/>
      <w:u w:val="single"/>
    </w:rPr>
  </w:style>
  <w:style w:type="character" w:styleId="18">
    <w:name w:val="annotation reference"/>
    <w:unhideWhenUsed/>
    <w:qFormat/>
    <w:uiPriority w:val="99"/>
    <w:rPr>
      <w:sz w:val="21"/>
      <w:szCs w:val="21"/>
    </w:rPr>
  </w:style>
  <w:style w:type="character" w:customStyle="1" w:styleId="19">
    <w:name w:val="正文文本 Char"/>
    <w:link w:val="2"/>
    <w:qFormat/>
    <w:uiPriority w:val="1"/>
    <w:rPr>
      <w:rFonts w:ascii="宋体" w:hAnsi="Times New Roman" w:eastAsia="宋体" w:cs="宋体"/>
      <w:kern w:val="0"/>
      <w:szCs w:val="21"/>
    </w:rPr>
  </w:style>
  <w:style w:type="character" w:customStyle="1" w:styleId="20">
    <w:name w:val="标题 1 Char"/>
    <w:link w:val="3"/>
    <w:qFormat/>
    <w:uiPriority w:val="1"/>
    <w:rPr>
      <w:rFonts w:ascii="黑体" w:hAnsi="Times New Roman" w:eastAsia="黑体" w:cs="黑体"/>
      <w:b/>
      <w:bCs/>
      <w:kern w:val="0"/>
      <w:sz w:val="36"/>
      <w:szCs w:val="36"/>
    </w:rPr>
  </w:style>
  <w:style w:type="character" w:customStyle="1" w:styleId="21">
    <w:name w:val="标题 2 Char"/>
    <w:link w:val="4"/>
    <w:qFormat/>
    <w:uiPriority w:val="9"/>
    <w:rPr>
      <w:rFonts w:ascii="Cambria" w:hAnsi="Cambria" w:eastAsia="宋体" w:cs="Times New Roman"/>
      <w:b/>
      <w:bCs/>
      <w:sz w:val="32"/>
      <w:szCs w:val="32"/>
    </w:rPr>
  </w:style>
  <w:style w:type="character" w:customStyle="1" w:styleId="22">
    <w:name w:val="标题 3 Char"/>
    <w:link w:val="5"/>
    <w:uiPriority w:val="1"/>
    <w:rPr>
      <w:rFonts w:ascii="宋体" w:hAnsi="Times New Roman" w:eastAsia="宋体" w:cs="宋体"/>
      <w:b/>
      <w:bCs/>
      <w:kern w:val="0"/>
      <w:szCs w:val="21"/>
    </w:rPr>
  </w:style>
  <w:style w:type="character" w:customStyle="1" w:styleId="23">
    <w:name w:val="批注文字 Char"/>
    <w:link w:val="6"/>
    <w:qFormat/>
    <w:uiPriority w:val="99"/>
    <w:rPr>
      <w:kern w:val="2"/>
      <w:sz w:val="21"/>
      <w:szCs w:val="22"/>
    </w:rPr>
  </w:style>
  <w:style w:type="character" w:customStyle="1" w:styleId="24">
    <w:name w:val="日期 Char"/>
    <w:basedOn w:val="15"/>
    <w:link w:val="7"/>
    <w:semiHidden/>
    <w:qFormat/>
    <w:uiPriority w:val="99"/>
  </w:style>
  <w:style w:type="character" w:customStyle="1" w:styleId="25">
    <w:name w:val="批注框文本 Char"/>
    <w:link w:val="8"/>
    <w:semiHidden/>
    <w:qFormat/>
    <w:uiPriority w:val="99"/>
    <w:rPr>
      <w:sz w:val="18"/>
      <w:szCs w:val="18"/>
    </w:rPr>
  </w:style>
  <w:style w:type="character" w:customStyle="1" w:styleId="26">
    <w:name w:val="页脚 Char"/>
    <w:link w:val="9"/>
    <w:qFormat/>
    <w:uiPriority w:val="99"/>
    <w:rPr>
      <w:sz w:val="18"/>
      <w:szCs w:val="18"/>
    </w:rPr>
  </w:style>
  <w:style w:type="character" w:customStyle="1" w:styleId="27">
    <w:name w:val="页眉 Char"/>
    <w:link w:val="10"/>
    <w:qFormat/>
    <w:uiPriority w:val="99"/>
    <w:rPr>
      <w:sz w:val="18"/>
      <w:szCs w:val="18"/>
    </w:rPr>
  </w:style>
  <w:style w:type="character" w:customStyle="1" w:styleId="28">
    <w:name w:val="批注主题 Char"/>
    <w:link w:val="12"/>
    <w:semiHidden/>
    <w:qFormat/>
    <w:uiPriority w:val="99"/>
    <w:rPr>
      <w:b/>
      <w:bCs/>
      <w:kern w:val="2"/>
      <w:sz w:val="21"/>
      <w:szCs w:val="22"/>
    </w:rPr>
  </w:style>
  <w:style w:type="paragraph" w:customStyle="1" w:styleId="2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30">
    <w:name w:val="List Paragraph"/>
    <w:basedOn w:val="1"/>
    <w:qFormat/>
    <w:uiPriority w:val="72"/>
    <w:pPr>
      <w:ind w:firstLine="420" w:firstLineChars="200"/>
    </w:pPr>
  </w:style>
  <w:style w:type="paragraph" w:customStyle="1" w:styleId="31">
    <w:name w:val="_Style 30"/>
    <w:semiHidden/>
    <w:qFormat/>
    <w:uiPriority w:val="99"/>
    <w:rPr>
      <w:rFonts w:ascii="Times New Roman" w:hAnsi="Times New Roman" w:eastAsia="宋体" w:cs="Times New Roman"/>
      <w:kern w:val="2"/>
      <w:sz w:val="21"/>
      <w:szCs w:val="22"/>
      <w:lang w:val="en-US" w:eastAsia="zh-CN" w:bidi="ar-SA"/>
    </w:rPr>
  </w:style>
  <w:style w:type="paragraph" w:customStyle="1" w:styleId="3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464</Words>
  <Characters>574</Characters>
  <Lines>3</Lines>
  <Paragraphs>1</Paragraphs>
  <TotalTime>3</TotalTime>
  <ScaleCrop>false</ScaleCrop>
  <LinksUpToDate>false</LinksUpToDate>
  <CharactersWithSpaces>574</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2021-11-27T07:26:00Z</dcterms:created>
  <dc:creator>JSYH</dc:creator>
  <cp:lastModifiedBy>lhy</cp:lastModifiedBy>
  <cp:lastPrinted>2022-05-26T09:07:00Z</cp:lastPrinted>
  <dcterms:modified xsi:type="dcterms:W3CDTF">2025-08-19T02:14:10Z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14378FE97A6A4C548199E550D26F23CE</vt:lpwstr>
  </property>
</Properties>
</file>