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eastAsia="zh-CN"/>
        </w:rPr>
        <w:t>丰收添益90天持有期理财1期理财C款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  <w:lang w:val="en-US" w:eastAsia="zh-CN"/>
        </w:rPr>
        <w:t>产品</w:t>
      </w:r>
      <w:r>
        <w:rPr>
          <w:rFonts w:hint="eastAsia" w:ascii="黑体" w:hAnsi="黑体" w:eastAsia="黑体" w:cs="黑体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为满足投资者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丰收添益90天持有期理财1期理财C款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val="en-US" w:eastAsia="zh-CN"/>
        </w:rPr>
        <w:t>的产品费用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w="8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费用类型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说明书约定的费率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调整后的费率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生效日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  <w:lang w:eastAsia="zh-CN"/>
              </w:rPr>
            </w:pPr>
            <w:r>
              <w:rPr>
                <w:rFonts w:hint="eastAsia" w:ascii="宋体" w:hAnsi="宋体" w:eastAsia="宋体" w:cs="宋体"/>
                <w:color w:val="333333"/>
              </w:rPr>
              <w:t>结束日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333333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FSTYGC90D2501C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固定管理费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0.30%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2025-09-01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FSTYGC90D2501C</w:t>
            </w:r>
          </w:p>
        </w:tc>
        <w:tc>
          <w:tcPr>
            <w:tcW w:w="1445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销售服务费</w:t>
            </w:r>
          </w:p>
        </w:tc>
        <w:tc>
          <w:tcPr>
            <w:tcW w:w="137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0.20%</w:t>
            </w:r>
          </w:p>
        </w:tc>
        <w:tc>
          <w:tcPr>
            <w:tcW w:w="138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0.10%</w:t>
            </w:r>
          </w:p>
        </w:tc>
        <w:tc>
          <w:tcPr>
            <w:tcW w:w="1446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2025-09-01</w:t>
            </w:r>
          </w:p>
        </w:tc>
        <w:tc>
          <w:tcPr>
            <w:tcW w:w="1513" w:type="dxa"/>
            <w:vAlign w:val="center"/>
          </w:tcPr>
          <w:p>
            <w:pPr>
              <w:pStyle w:val="7"/>
              <w:shd w:val="clear" w:color="auto" w:fill="FFFFFF"/>
              <w:jc w:val="center"/>
              <w:rPr>
                <w:rFonts w:hint="eastAsia" w:ascii="宋体" w:hAnsi="宋体" w:eastAsia="宋体" w:cs="宋体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lang w:eastAsia="zh-CN"/>
              </w:rPr>
              <w:t>2025-09-30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感谢您一直以来对杭</w:t>
      </w: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:lang w:eastAsia="zh-CN"/>
        </w:rPr>
        <w:t>2025年8月26日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027456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2025-07-29T03:27:36Z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