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季添益1910期理财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季添益1910期理财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杭银理财幸福99季添益1910期理财风险揭示书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杭银理财幸福99季添益1910期理财产品说明书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季添益1910期理财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19"/>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季添益1910期理财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w:t>
      </w:r>
      <w:r>
        <w:rPr>
          <w:rFonts w:hint="eastAsia" w:ascii="宋体" w:hAnsi="宋体" w:cs="宋体"/>
          <w:bCs/>
          <w:sz w:val="24"/>
          <w:highlight w:val="none"/>
          <w:lang w:val="en-US" w:eastAsia="zh-CN"/>
        </w:rPr>
        <w:t>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季添益1910期理财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季添益1910期理财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季添益1910期理财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季添益1910期理财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季添益1910期理财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季添益1910期理财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季添益1910期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季添益1910期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TYG3M1910</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本理财计划在全国银行业理财信息登记系统的原登记编码是〖C1092019000996〗</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变更登记后为〖Z7002221000281〗，投资者可依据该编码在“中国理财网（www.chinawealth.com.cn）”查询本理财计划信息。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TYG3M1910</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TYG3M1910B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TYG3M1910C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24</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31</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jc w:val="left"/>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各份额</w:t>
            </w:r>
            <w:r>
              <w:rPr>
                <w:rFonts w:hint="eastAsia" w:ascii="宋体" w:hAnsi="宋体" w:cs="宋体"/>
                <w:sz w:val="21"/>
                <w:szCs w:val="21"/>
                <w:highlight w:val="none"/>
              </w:rPr>
              <w:t>业绩比较基准为〖中国人民银行公布的1年期定期存款利率〗（年化）。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w:t>
            </w:r>
            <w:r>
              <w:rPr>
                <w:rFonts w:hint="eastAsia" w:ascii="宋体" w:hAnsi="宋体" w:cs="宋体"/>
                <w:color w:val="000000"/>
                <w:sz w:val="21"/>
                <w:szCs w:val="21"/>
              </w:rPr>
              <w:t>〖A份额〗客户份额投资周期的〖折合年化收益率超过</w:t>
            </w:r>
            <w:r>
              <w:rPr>
                <w:rFonts w:hint="eastAsia" w:ascii="宋体" w:hAnsi="宋体" w:cs="宋体"/>
                <w:color w:val="000000"/>
                <w:sz w:val="21"/>
                <w:szCs w:val="21"/>
                <w:lang w:val="en-US" w:eastAsia="zh-CN"/>
              </w:rPr>
              <w:t>2.3</w:t>
            </w:r>
            <w:r>
              <w:rPr>
                <w:rFonts w:hint="eastAsia" w:ascii="宋体" w:hAnsi="宋体" w:cs="宋体"/>
                <w:color w:val="000000"/>
                <w:sz w:val="21"/>
                <w:szCs w:val="21"/>
              </w:rPr>
              <w:t>0%〗的部分,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val="0"/>
                <w:bCs/>
                <w:color w:val="000000"/>
                <w:sz w:val="21"/>
                <w:szCs w:val="21"/>
                <w:highlight w:val="none"/>
                <w:lang w:eastAsia="zh-CN"/>
              </w:rPr>
              <w:t>；</w:t>
            </w:r>
            <w:r>
              <w:rPr>
                <w:rFonts w:hint="eastAsia" w:ascii="宋体" w:hAnsi="宋体" w:cs="宋体"/>
                <w:color w:val="000000"/>
                <w:sz w:val="21"/>
                <w:szCs w:val="21"/>
              </w:rPr>
              <w:t>〖</w:t>
            </w:r>
            <w:r>
              <w:rPr>
                <w:rFonts w:hint="eastAsia" w:ascii="宋体" w:hAnsi="宋体" w:cs="宋体"/>
                <w:color w:val="000000"/>
                <w:sz w:val="21"/>
                <w:szCs w:val="21"/>
                <w:lang w:val="en-US" w:eastAsia="zh-CN"/>
              </w:rPr>
              <w:t>B</w:t>
            </w:r>
            <w:r>
              <w:rPr>
                <w:rFonts w:hint="eastAsia" w:ascii="宋体" w:hAnsi="宋体" w:cs="宋体"/>
                <w:color w:val="000000"/>
                <w:sz w:val="21"/>
                <w:szCs w:val="21"/>
              </w:rPr>
              <w:t>份额〗客户份额投资周期的〖折合年化收益率超过</w:t>
            </w:r>
            <w:r>
              <w:rPr>
                <w:rFonts w:hint="eastAsia" w:ascii="宋体" w:hAnsi="宋体" w:cs="宋体"/>
                <w:color w:val="000000"/>
                <w:sz w:val="21"/>
                <w:szCs w:val="21"/>
                <w:lang w:val="en-US" w:eastAsia="zh-CN"/>
              </w:rPr>
              <w:t>2.35</w:t>
            </w:r>
            <w:r>
              <w:rPr>
                <w:rFonts w:hint="eastAsia" w:ascii="宋体" w:hAnsi="宋体" w:cs="宋体"/>
                <w:color w:val="000000"/>
                <w:sz w:val="21"/>
                <w:szCs w:val="21"/>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val="0"/>
                <w:bCs/>
                <w:color w:val="000000"/>
                <w:sz w:val="21"/>
                <w:szCs w:val="21"/>
                <w:highlight w:val="none"/>
                <w:lang w:eastAsia="zh-CN"/>
              </w:rPr>
              <w:t>；</w:t>
            </w:r>
            <w:r>
              <w:rPr>
                <w:rFonts w:hint="eastAsia" w:ascii="宋体" w:hAnsi="宋体" w:cs="宋体"/>
                <w:color w:val="000000"/>
                <w:sz w:val="21"/>
                <w:szCs w:val="21"/>
              </w:rPr>
              <w:t>〖</w:t>
            </w:r>
            <w:r>
              <w:rPr>
                <w:rFonts w:hint="eastAsia" w:ascii="宋体" w:hAnsi="宋体" w:cs="宋体"/>
                <w:color w:val="000000"/>
                <w:sz w:val="21"/>
                <w:szCs w:val="21"/>
                <w:lang w:val="en-US" w:eastAsia="zh-CN"/>
              </w:rPr>
              <w:t>C</w:t>
            </w:r>
            <w:r>
              <w:rPr>
                <w:rFonts w:hint="eastAsia" w:ascii="宋体" w:hAnsi="宋体" w:cs="宋体"/>
                <w:color w:val="000000"/>
                <w:sz w:val="21"/>
                <w:szCs w:val="21"/>
              </w:rPr>
              <w:t>份额〗客户份额投资周期的〖折合年化收益率超过</w:t>
            </w:r>
            <w:r>
              <w:rPr>
                <w:rFonts w:hint="eastAsia" w:ascii="宋体" w:hAnsi="宋体" w:cs="宋体"/>
                <w:color w:val="000000"/>
                <w:sz w:val="21"/>
                <w:szCs w:val="21"/>
                <w:lang w:val="en-US" w:eastAsia="zh-CN"/>
              </w:rPr>
              <w:t>2.4</w:t>
            </w:r>
            <w:r>
              <w:rPr>
                <w:rFonts w:hint="eastAsia" w:ascii="宋体" w:hAnsi="宋体" w:cs="宋体"/>
                <w:color w:val="000000"/>
                <w:sz w:val="21"/>
                <w:szCs w:val="21"/>
              </w:rPr>
              <w:t>0%〗的部分,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color w:val="00000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w:t>
      </w:r>
      <w:r>
        <w:rPr>
          <w:rFonts w:hint="eastAsia" w:ascii="宋体" w:hAnsi="宋体" w:cs="宋体"/>
          <w:bCs/>
          <w:color w:val="000000"/>
          <w:sz w:val="24"/>
          <w:highlight w:val="none"/>
          <w:lang w:val="en-US" w:eastAsia="zh-CN"/>
        </w:rPr>
        <w:t>以A份额为例，</w:t>
      </w:r>
      <w:r>
        <w:rPr>
          <w:rFonts w:hint="eastAsia" w:ascii="宋体" w:hAnsi="宋体" w:cs="宋体"/>
          <w:bCs/>
          <w:color w:val="000000"/>
          <w:sz w:val="24"/>
          <w:highlight w:val="none"/>
        </w:rPr>
        <w:t>本理财计划</w:t>
      </w:r>
      <w:r>
        <w:rPr>
          <w:rFonts w:hint="eastAsia" w:ascii="宋体" w:hAnsi="宋体" w:cs="宋体"/>
          <w:szCs w:val="21"/>
          <w:highlight w:val="none"/>
        </w:rPr>
        <w:t>〖</w:t>
      </w:r>
      <w:r>
        <w:rPr>
          <w:rFonts w:hint="eastAsia" w:ascii="宋体" w:hAnsi="宋体" w:cs="宋体"/>
          <w:bCs/>
          <w:color w:val="000000"/>
          <w:sz w:val="24"/>
          <w:highlight w:val="none"/>
          <w:lang w:val="en-US" w:eastAsia="zh-CN"/>
        </w:rPr>
        <w:t>A份额</w:t>
      </w:r>
      <w:r>
        <w:rPr>
          <w:rFonts w:hint="eastAsia" w:ascii="宋体" w:hAnsi="宋体" w:cs="宋体"/>
          <w:szCs w:val="21"/>
          <w:highlight w:val="none"/>
        </w:rPr>
        <w:t>〗</w:t>
      </w:r>
      <w:r>
        <w:rPr>
          <w:rFonts w:hint="eastAsia" w:ascii="宋体" w:hAnsi="宋体" w:cs="宋体"/>
          <w:bCs/>
          <w:color w:val="000000"/>
          <w:sz w:val="24"/>
          <w:highlight w:val="none"/>
          <w:lang w:val="en-US" w:eastAsia="zh-CN"/>
        </w:rPr>
        <w:t>客户份额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2.30%</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2.30%</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r>
        <w:rPr>
          <w:rFonts w:hint="eastAsia" w:ascii="宋体" w:hAnsi="宋体" w:cs="宋体"/>
          <w:bCs/>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w:t>
      </w:r>
      <w:r>
        <w:rPr>
          <w:rFonts w:hint="eastAsia" w:ascii="宋体" w:hAnsi="宋体" w:cs="宋体"/>
          <w:bCs/>
          <w:color w:val="000000"/>
          <w:sz w:val="24"/>
          <w:highlight w:val="none"/>
          <w:lang w:val="en-US" w:eastAsia="zh-CN"/>
        </w:rPr>
        <w:t>浮动管理费计提基准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w:t>
      </w:r>
      <w:r>
        <w:rPr>
          <w:rFonts w:hint="eastAsia" w:ascii="宋体" w:hAnsi="宋体" w:cs="宋体"/>
          <w:b/>
          <w:color w:val="000000"/>
          <w:sz w:val="24"/>
          <w:highlight w:val="none"/>
        </w:rPr>
        <w:t>投资收益率超过</w:t>
      </w:r>
      <w:r>
        <w:rPr>
          <w:rFonts w:hint="eastAsia" w:ascii="宋体" w:hAnsi="宋体" w:cs="宋体"/>
          <w:b/>
          <w:color w:val="000000"/>
          <w:sz w:val="24"/>
          <w:highlight w:val="none"/>
          <w:lang w:val="en-US" w:eastAsia="zh-CN"/>
        </w:rPr>
        <w:t>浮动管理费计提基准</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浮动管理费计提基准</w:t>
      </w:r>
      <w:r>
        <w:rPr>
          <w:rFonts w:hint="eastAsia" w:ascii="宋体" w:hAnsi="宋体" w:cs="宋体"/>
          <w:bCs/>
          <w:color w:val="000000"/>
          <w:sz w:val="24"/>
          <w:highlight w:val="none"/>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浮动管理费计提基准</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的50%作为浮动管理费，</w:t>
      </w:r>
      <w:r>
        <w:rPr>
          <w:rFonts w:hint="eastAsia" w:ascii="宋体" w:hAnsi="宋体" w:cs="宋体"/>
          <w:b w:val="0"/>
          <w:bCs/>
          <w:sz w:val="24"/>
          <w:lang w:val="en-US" w:eastAsia="zh-CN"/>
        </w:rPr>
        <w:t>浮动管理费计提基准</w:t>
      </w:r>
      <w:r>
        <w:rPr>
          <w:rFonts w:hint="eastAsia" w:ascii="宋体" w:hAnsi="宋体" w:cs="宋体"/>
          <w:bCs/>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的50%作为浮动管理费，</w:t>
      </w:r>
      <w:r>
        <w:rPr>
          <w:rFonts w:hint="eastAsia" w:ascii="宋体" w:hAnsi="宋体" w:cs="宋体"/>
          <w:b w:val="0"/>
          <w:bCs/>
          <w:sz w:val="24"/>
          <w:lang w:val="en-US" w:eastAsia="zh-CN"/>
        </w:rPr>
        <w:t>浮动管理费计提基准</w:t>
      </w:r>
      <w:r>
        <w:rPr>
          <w:rFonts w:hint="eastAsia" w:ascii="宋体" w:hAnsi="宋体" w:cs="宋体"/>
          <w:bCs/>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r>
        <w:rPr>
          <w:rFonts w:hint="eastAsia" w:ascii="宋体" w:hAnsi="宋体" w:cs="宋体"/>
          <w:bCs/>
          <w:color w:val="000000"/>
          <w:sz w:val="24"/>
          <w:highlight w:val="none"/>
        </w:rPr>
        <w:t>。</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2A509A4"/>
    <w:rsid w:val="03A32FCF"/>
    <w:rsid w:val="046454B7"/>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276021"/>
    <w:rsid w:val="14827273"/>
    <w:rsid w:val="14B80FF2"/>
    <w:rsid w:val="14C57FED"/>
    <w:rsid w:val="150C5665"/>
    <w:rsid w:val="15485BE1"/>
    <w:rsid w:val="15C56302"/>
    <w:rsid w:val="160940BB"/>
    <w:rsid w:val="1659752C"/>
    <w:rsid w:val="16E43A7F"/>
    <w:rsid w:val="175F7C56"/>
    <w:rsid w:val="180802C0"/>
    <w:rsid w:val="180937AD"/>
    <w:rsid w:val="18400678"/>
    <w:rsid w:val="185A3DA1"/>
    <w:rsid w:val="198C4B50"/>
    <w:rsid w:val="19BB4557"/>
    <w:rsid w:val="19DA4F78"/>
    <w:rsid w:val="19F13F4F"/>
    <w:rsid w:val="1A102675"/>
    <w:rsid w:val="1A276601"/>
    <w:rsid w:val="1A5F6E5F"/>
    <w:rsid w:val="1AFA5FFE"/>
    <w:rsid w:val="1B280245"/>
    <w:rsid w:val="1B581220"/>
    <w:rsid w:val="1B843575"/>
    <w:rsid w:val="1BBE4697"/>
    <w:rsid w:val="1D0626E2"/>
    <w:rsid w:val="1D177BAB"/>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0B0187"/>
    <w:rsid w:val="220D1BEF"/>
    <w:rsid w:val="222B5013"/>
    <w:rsid w:val="2254370F"/>
    <w:rsid w:val="22A04AF7"/>
    <w:rsid w:val="22A73C8E"/>
    <w:rsid w:val="22D3594B"/>
    <w:rsid w:val="22F12819"/>
    <w:rsid w:val="234F46D7"/>
    <w:rsid w:val="23753F06"/>
    <w:rsid w:val="238E1AAE"/>
    <w:rsid w:val="24030B6D"/>
    <w:rsid w:val="24345B9A"/>
    <w:rsid w:val="245517BD"/>
    <w:rsid w:val="24732028"/>
    <w:rsid w:val="2475679C"/>
    <w:rsid w:val="2483647E"/>
    <w:rsid w:val="256F076F"/>
    <w:rsid w:val="25AF7681"/>
    <w:rsid w:val="25DA1561"/>
    <w:rsid w:val="26820AF7"/>
    <w:rsid w:val="26C12605"/>
    <w:rsid w:val="27947E62"/>
    <w:rsid w:val="27EB2573"/>
    <w:rsid w:val="292668E3"/>
    <w:rsid w:val="29361BBD"/>
    <w:rsid w:val="2A124404"/>
    <w:rsid w:val="2A1B5D68"/>
    <w:rsid w:val="2A5975B6"/>
    <w:rsid w:val="2A991D32"/>
    <w:rsid w:val="2AB92324"/>
    <w:rsid w:val="2AD6555A"/>
    <w:rsid w:val="2B376BE0"/>
    <w:rsid w:val="2B5B0398"/>
    <w:rsid w:val="2C1B1E9D"/>
    <w:rsid w:val="2CAB68C5"/>
    <w:rsid w:val="2CF71BA1"/>
    <w:rsid w:val="2D90310A"/>
    <w:rsid w:val="2E354AE5"/>
    <w:rsid w:val="2E6F667D"/>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9775E90"/>
    <w:rsid w:val="39AC0F1B"/>
    <w:rsid w:val="39B95084"/>
    <w:rsid w:val="3A1B6D7B"/>
    <w:rsid w:val="3A3E2041"/>
    <w:rsid w:val="3B131EF6"/>
    <w:rsid w:val="3B490D86"/>
    <w:rsid w:val="3BD74075"/>
    <w:rsid w:val="3C2F2290"/>
    <w:rsid w:val="3D3D39A7"/>
    <w:rsid w:val="3EA67C14"/>
    <w:rsid w:val="3EAD1B36"/>
    <w:rsid w:val="3F056B9E"/>
    <w:rsid w:val="3F354A62"/>
    <w:rsid w:val="3FB01289"/>
    <w:rsid w:val="3FE233B8"/>
    <w:rsid w:val="3FF54C55"/>
    <w:rsid w:val="40181F9C"/>
    <w:rsid w:val="406370BC"/>
    <w:rsid w:val="40D04E07"/>
    <w:rsid w:val="40FB7670"/>
    <w:rsid w:val="41B60000"/>
    <w:rsid w:val="42265069"/>
    <w:rsid w:val="423C06E2"/>
    <w:rsid w:val="42815397"/>
    <w:rsid w:val="42C94634"/>
    <w:rsid w:val="43781C2B"/>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ACB4629"/>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A47BB4"/>
    <w:rsid w:val="55FE57FC"/>
    <w:rsid w:val="56B44788"/>
    <w:rsid w:val="57481AEB"/>
    <w:rsid w:val="57B655F7"/>
    <w:rsid w:val="57BB6218"/>
    <w:rsid w:val="57FF3AAA"/>
    <w:rsid w:val="58DD2EEE"/>
    <w:rsid w:val="58E96C7A"/>
    <w:rsid w:val="59263C31"/>
    <w:rsid w:val="59AD3C67"/>
    <w:rsid w:val="59E832FB"/>
    <w:rsid w:val="59EE28D0"/>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6F54088"/>
    <w:rsid w:val="671E2162"/>
    <w:rsid w:val="67C2281F"/>
    <w:rsid w:val="680C1A56"/>
    <w:rsid w:val="684F0C72"/>
    <w:rsid w:val="68D8721E"/>
    <w:rsid w:val="698E15A6"/>
    <w:rsid w:val="6A47212E"/>
    <w:rsid w:val="6A831914"/>
    <w:rsid w:val="6B610D05"/>
    <w:rsid w:val="6BAC21D5"/>
    <w:rsid w:val="6CED1CB3"/>
    <w:rsid w:val="6D3B42C3"/>
    <w:rsid w:val="6D5A3D63"/>
    <w:rsid w:val="6D9A4080"/>
    <w:rsid w:val="6DFD5353"/>
    <w:rsid w:val="6E7E575F"/>
    <w:rsid w:val="6EC27507"/>
    <w:rsid w:val="6EF15941"/>
    <w:rsid w:val="6F926461"/>
    <w:rsid w:val="6F9921A1"/>
    <w:rsid w:val="6FA453FA"/>
    <w:rsid w:val="71600BF2"/>
    <w:rsid w:val="716A188C"/>
    <w:rsid w:val="720B7A64"/>
    <w:rsid w:val="720F6016"/>
    <w:rsid w:val="73407EBD"/>
    <w:rsid w:val="73932176"/>
    <w:rsid w:val="73EF4563"/>
    <w:rsid w:val="74037319"/>
    <w:rsid w:val="74175679"/>
    <w:rsid w:val="744124AA"/>
    <w:rsid w:val="74664F47"/>
    <w:rsid w:val="756E538F"/>
    <w:rsid w:val="75D950C9"/>
    <w:rsid w:val="76C20E70"/>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19"/>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2"/>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3 Char"/>
    <w:link w:val="4"/>
    <w:uiPriority w:val="0"/>
    <w:rPr>
      <w:rFonts w:hAnsi="Calibri" w:eastAsia="宋体"/>
      <w:b/>
      <w:sz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批注文字 Char"/>
    <w:link w:val="5"/>
    <w:uiPriority w:val="0"/>
    <w:rPr>
      <w:rFonts w:ascii="Calibri" w:hAnsi="Calibri" w:cs="黑体"/>
      <w:kern w:val="2"/>
      <w:sz w:val="21"/>
      <w:szCs w:val="24"/>
    </w:rPr>
  </w:style>
  <w:style w:type="character" w:customStyle="1" w:styleId="23">
    <w:name w:val="标题 2 Char"/>
    <w:link w:val="3"/>
    <w:uiPriority w:val="0"/>
    <w:rPr>
      <w:rFonts w:ascii="Arial" w:hAnsi="Arial" w:eastAsia="宋体"/>
      <w:b/>
      <w:sz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36590</Words>
  <Characters>38991</Characters>
  <Lines>1</Lines>
  <Paragraphs>1</Paragraphs>
  <TotalTime>1</TotalTime>
  <ScaleCrop>false</ScaleCrop>
  <LinksUpToDate>false</LinksUpToDate>
  <CharactersWithSpaces>39218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2025-08-25T00:57:24Z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