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BE60B1">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BE60B1">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BE60B1">
      <w:pPr>
        <w:spacing w:line="360" w:lineRule="auto"/>
        <w:rPr>
          <w:rFonts w:ascii="新宋体" w:eastAsia="新宋体" w:hAnsi="新宋体" w:cs="宋体" w:hint="eastAsia"/>
          <w:b/>
          <w:kern w:val="0"/>
          <w:szCs w:val="21"/>
        </w:rPr>
      </w:pPr>
    </w:p>
    <w:p w:rsidR="00BE60B1">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BE60B1">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BE60B1">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BE60B1">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BE60B1">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美国政府、欧盟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BE60B1">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BE60B1">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BE60B1">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BE60B1">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BE60B1">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BE60B1">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BE60B1">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BE60B1">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BE60B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BE60B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BE60B1">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BE60B1">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BE60B1">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BE60B1">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BE60B1">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BE60B1">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BE60B1">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BE60B1">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BE60B1">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青银理财璀璨人生成就系列人民币理财计划2025年516期</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rPr>
              <w:t>青银理财成就系列丰收三年期封闭式2025年516期（安享款）</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rPr>
              <w:t>CCCJFS25516</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BE60B1">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BE60B1">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BE60B1">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BE60B1">
            <w:pPr>
              <w:spacing w:line="360" w:lineRule="auto"/>
              <w:rPr>
                <w:rFonts w:ascii="新宋体" w:eastAsia="新宋体" w:hAnsi="新宋体"/>
              </w:rPr>
            </w:pPr>
            <w:r>
              <w:rPr>
                <w:rFonts w:ascii="新宋体" w:eastAsia="新宋体" w:hAnsi="新宋体" w:hint="eastAsia"/>
              </w:rPr>
              <w:t>A份额，销售代码【CCCJFS25516A】，销售名称：青银理财成就系列丰收三年期封闭式2025年516期（安享款）A份额,销售对象【浙江省联社及各销售服务渠道个人及机构客户，具体客户类型以销售机构规定为准】</w:t>
              <w:br/>
              <w:t>B份额，销售代码【CCCJFS25516B】，销售名称：青银理财成就系列丰收三年期封闭式2025年516期（安享款）B份额,销售对象【浙江永康农村银行及各销售服务渠道个人及机构客户，具体客户类型以销售机构规定为准】</w:t>
            </w:r>
          </w:p>
          <w:p w:rsidR="00BE60B1">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hint="eastAsia"/>
              </w:rPr>
              <w:t>Z7003525000542，可通过中国理财网（http://www.chinawealth.com.cn）查询</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BE60B1">
            <w:pPr>
              <w:spacing w:line="360" w:lineRule="auto"/>
              <w:rPr>
                <w:rFonts w:ascii="新宋体" w:eastAsia="新宋体" w:hAnsi="新宋体"/>
              </w:rPr>
            </w:pPr>
            <w:r>
              <w:rPr>
                <w:rFonts w:ascii="新宋体" w:eastAsia="新宋体" w:hAnsi="新宋体"/>
              </w:rPr>
              <w:t>2025年09月10日</w:t>
            </w:r>
            <w:r>
              <w:rPr>
                <w:rFonts w:ascii="新宋体" w:eastAsia="新宋体" w:hAnsi="新宋体" w:hint="eastAsia"/>
              </w:rPr>
              <w:t xml:space="preserve"> 9:00至</w:t>
            </w:r>
            <w:r>
              <w:rPr>
                <w:rFonts w:ascii="新宋体" w:eastAsia="新宋体" w:hAnsi="新宋体"/>
              </w:rPr>
              <w:t>2025年09月16日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BE60B1">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BE60B1">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rPr>
              <w:t>2025年09月17日</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rPr>
              <w:t>2028年08月09日</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rPr>
              <w:t>1057</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hint="eastAsia"/>
              </w:rPr>
              <w:t>A份额规模上限400000万，规模下限1万</w:t>
              <w:br/>
              <w:t>B份额规模上限50000万，规模下限1万</w:t>
            </w:r>
          </w:p>
          <w:p w:rsidR="00BE60B1">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BE60B1">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BE60B1">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BE60B1">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BE60B1">
            <w:pPr>
              <w:spacing w:line="360" w:lineRule="auto"/>
              <w:rPr>
                <w:rFonts w:ascii="新宋体" w:eastAsia="新宋体" w:hAnsi="新宋体"/>
              </w:rPr>
            </w:pPr>
            <w:r>
              <w:rPr>
                <w:rFonts w:ascii="新宋体" w:eastAsia="新宋体" w:hAnsi="新宋体" w:hint="eastAsia"/>
                <w:szCs w:val="21"/>
              </w:rPr>
              <w:t>A份额销售渠道为浙江省联社及各销售服务渠道，B份额销售渠道为浙江永康农村银行及各销售服务渠道（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BE60B1">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BE60B1">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szCs w:val="21"/>
              </w:rPr>
            </w:pPr>
            <w:r>
              <w:rPr>
                <w:rFonts w:ascii="新宋体" w:eastAsia="新宋体" w:hAnsi="新宋体" w:hint="eastAsia"/>
                <w:szCs w:val="21"/>
              </w:rPr>
              <w:t>单一投资者</w:t>
            </w:r>
          </w:p>
          <w:p w:rsidR="00BE60B1">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BE60B1">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BE60B1">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BE60B1">
            <w:pPr>
              <w:spacing w:line="360" w:lineRule="auto"/>
              <w:jc w:val="left"/>
              <w:rPr>
                <w:rFonts w:ascii="新宋体" w:eastAsia="新宋体" w:hAnsi="新宋体"/>
                <w:szCs w:val="21"/>
              </w:rPr>
            </w:pPr>
            <w:r>
              <w:rPr>
                <w:rFonts w:ascii="新宋体" w:eastAsia="新宋体" w:hAnsi="新宋体"/>
              </w:rPr>
              <w:t>A份额无上限、B份额无上限</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1031BC" w:rsidP="001031BC">
            <w:pPr>
              <w:spacing w:line="360" w:lineRule="auto"/>
              <w:jc w:val="center"/>
              <w:rPr>
                <w:rFonts w:ascii="新宋体" w:eastAsia="新宋体" w:hAnsi="新宋体"/>
                <w:szCs w:val="21"/>
              </w:rPr>
            </w:pPr>
            <w:r>
              <w:rPr>
                <w:rFonts w:ascii="新宋体" w:eastAsia="新宋体" w:hAnsi="新宋体" w:hint="eastAsia"/>
                <w:szCs w:val="21"/>
              </w:rPr>
              <w:t>分红</w:t>
            </w:r>
          </w:p>
        </w:tc>
        <w:tc>
          <w:tcPr>
            <w:tcW w:w="7523" w:type="dxa"/>
            <w:vAlign w:val="center"/>
          </w:tcPr>
          <w:p w:rsidR="001031BC" w:rsidP="001031BC">
            <w:pPr>
              <w:spacing w:line="360" w:lineRule="auto"/>
              <w:rPr>
                <w:rFonts w:ascii="新宋体" w:eastAsia="新宋体" w:hAnsi="新宋体" w:hint="eastAsia"/>
              </w:rPr>
            </w:pPr>
            <w:r>
              <w:rPr>
                <w:rFonts w:ascii="新宋体" w:eastAsia="新宋体" w:hAnsi="新宋体" w:hint="eastAsia"/>
              </w:rPr>
              <w:t>成立满半年后，视每年4月末、10月末最后一次披露净值投资运作收益情况进行现金分红，分红除权日（理财产品净值进行调整的日期）原则上为次月初5个工作日内，分红资金最迟于</w:t>
            </w:r>
            <w:r w:rsidR="00A06064">
              <w:rPr>
                <w:rFonts w:ascii="新宋体" w:eastAsia="新宋体" w:hAnsi="新宋体" w:hint="eastAsia"/>
              </w:rPr>
              <w:t>次月初</w:t>
            </w:r>
            <w:r>
              <w:rPr>
                <w:rFonts w:ascii="新宋体" w:eastAsia="新宋体" w:hAnsi="新宋体" w:hint="eastAsia"/>
              </w:rPr>
              <w:t>5个工作日内划转至投资者指定账户中。（具体分红情况以披露公告为准）当分红判断日期（4月末或10月末最后一次披露净值日期）距离到期日不足半年则不再进行分红。</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BE60B1">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BE60B1">
            <w:pPr>
              <w:spacing w:line="360" w:lineRule="auto"/>
              <w:rPr>
                <w:rFonts w:ascii="新宋体" w:eastAsia="新宋体" w:hAnsi="新宋体" w:hint="eastAsia"/>
                <w:b/>
              </w:rPr>
            </w:pPr>
            <w:r>
              <w:rPr>
                <w:rFonts w:ascii="新宋体" w:eastAsia="新宋体" w:hAnsi="新宋体" w:hint="eastAsia"/>
                <w:b/>
              </w:rPr>
              <w:t>A份额业绩比较基准为2.30%-3.50%（年化）</w:t>
              <w:br/>
              <w:t>B份额业绩比较基准为2.40%-3.60%（年化）</w:t>
            </w:r>
          </w:p>
          <w:p w:rsidR="00BE60B1">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BE60B1">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BE60B1">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sidR="001031BC">
              <w:rPr>
                <w:rFonts w:ascii="新宋体" w:eastAsia="新宋体" w:hAnsi="新宋体" w:hint="eastAsia"/>
                <w:b/>
              </w:rPr>
              <w:t>上限</w:t>
            </w:r>
            <w:r>
              <w:rPr>
                <w:rFonts w:ascii="新宋体" w:eastAsia="新宋体" w:hAnsi="新宋体" w:hint="eastAsia"/>
                <w:b/>
              </w:rPr>
              <w:t>部分的投资收益，100%归于投资者。</w:t>
            </w:r>
          </w:p>
        </w:tc>
      </w:tr>
      <w:tr>
        <w:tblPrEx>
          <w:tblW w:w="0" w:type="auto"/>
          <w:tblInd w:w="108" w:type="dxa"/>
          <w:tblLayout w:type="fixed"/>
          <w:tblLook w:val="0000"/>
        </w:tblPrEx>
        <w:trPr>
          <w:trHeight w:val="247"/>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BE60B1">
            <w:pPr>
              <w:spacing w:line="360" w:lineRule="auto"/>
              <w:rPr>
                <w:rFonts w:ascii="新宋体" w:eastAsia="新宋体" w:hAnsi="新宋体" w:hint="eastAsia"/>
              </w:rPr>
            </w:pPr>
            <w:r>
              <w:rPr>
                <w:rFonts w:ascii="新宋体" w:eastAsia="新宋体" w:hAnsi="新宋体" w:hint="eastAsia"/>
                <w:szCs w:val="21"/>
              </w:rPr>
              <w:t>本理财计划的托管费率（年化）为0.009%</w:t>
            </w:r>
          </w:p>
        </w:tc>
      </w:tr>
      <w:tr>
        <w:tblPrEx>
          <w:tblW w:w="0" w:type="auto"/>
          <w:tblInd w:w="108" w:type="dxa"/>
          <w:tblLayout w:type="fixed"/>
          <w:tblLook w:val="0000"/>
        </w:tblPrEx>
        <w:trPr>
          <w:trHeight w:val="208"/>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BE60B1">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（A份额2.30%-3.50%、B份额2.40%-3.60%），则超出</w:t>
            </w:r>
            <w:r w:rsidR="001031BC">
              <w:rPr>
                <w:rFonts w:ascii="新宋体" w:eastAsia="新宋体" w:hAnsi="新宋体" w:hint="eastAsia"/>
                <w:szCs w:val="21"/>
              </w:rPr>
              <w:t>上限</w:t>
            </w:r>
            <w:r>
              <w:rPr>
                <w:rFonts w:ascii="新宋体" w:eastAsia="新宋体" w:hAnsi="新宋体" w:hint="eastAsia"/>
                <w:szCs w:val="21"/>
              </w:rPr>
              <w:t>部分</w:t>
            </w:r>
            <w:r>
              <w:rPr>
                <w:rFonts w:ascii="新宋体" w:eastAsia="新宋体" w:hAnsi="新宋体" w:hint="eastAsia"/>
              </w:rPr>
              <w:t>100%归于投资者</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w:t>
            </w:r>
          </w:p>
        </w:tc>
      </w:tr>
      <w:tr>
        <w:tblPrEx>
          <w:tblW w:w="0" w:type="auto"/>
          <w:tblInd w:w="108" w:type="dxa"/>
          <w:tblLayout w:type="fixed"/>
          <w:tblLook w:val="0000"/>
        </w:tblPrEx>
        <w:trPr>
          <w:trHeight w:val="208"/>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BE60B1">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BE60B1">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BE60B1">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BE60B1">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BE60B1">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BE60B1">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招商银行杭州分行</w:t>
            </w:r>
          </w:p>
        </w:tc>
      </w:tr>
      <w:tr>
        <w:tblPrEx>
          <w:tblW w:w="0" w:type="auto"/>
          <w:tblInd w:w="108" w:type="dxa"/>
          <w:tblLayout w:type="fixed"/>
          <w:tblLook w:val="0000"/>
        </w:tblPrEx>
        <w:trPr>
          <w:trHeight w:val="143"/>
        </w:trPr>
        <w:tc>
          <w:tcPr>
            <w:tcW w:w="1783" w:type="dxa"/>
            <w:vAlign w:val="center"/>
          </w:tcPr>
          <w:p w:rsidR="00BE60B1">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BE60B1">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BE60B1">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BE60B1">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BE60B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BE60B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BE60B1">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BE60B1">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BE60B1">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BE60B1">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BE60B1">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BE60B1">
            <w:pPr>
              <w:spacing w:line="360" w:lineRule="auto"/>
              <w:jc w:val="center"/>
              <w:rPr>
                <w:rFonts w:ascii="新宋体" w:eastAsia="新宋体" w:hAnsi="新宋体"/>
                <w:szCs w:val="21"/>
              </w:rPr>
            </w:pPr>
            <w:r>
              <w:rPr>
                <w:rFonts w:ascii="新宋体" w:eastAsia="新宋体" w:hAnsi="新宋体" w:hint="eastAsia"/>
                <w:szCs w:val="21"/>
              </w:rPr>
              <w:t>0-20%</w:t>
            </w:r>
          </w:p>
        </w:tc>
      </w:tr>
    </w:tbl>
    <w:p w:rsidR="00BE60B1">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BE60B1">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BE60B1">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BE60B1">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BE60B1">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本理财产品的托管人为招商银行杭州分行。 </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BE60B1">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BE60B1">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BE60B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BE60B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BE60B1">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BE60B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BE60B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BE60B1">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BE60B1">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BE60B1">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BE60B1">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BE60B1">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BE60B1">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BE60B1">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BE60B1">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BE60B1">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BE60B1">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BE60B1">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BE60B1">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BE60B1">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BE60B1">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BE60B1">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BE60B1">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BE60B1">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w:t>
      </w:r>
      <w:r w:rsidRPr="007C4A95" w:rsidR="007C4A95">
        <w:rPr>
          <w:rFonts w:ascii="新宋体" w:eastAsia="新宋体" w:hAnsi="新宋体" w:hint="eastAsia"/>
          <w:color w:val="auto"/>
          <w:sz w:val="21"/>
          <w:szCs w:val="21"/>
        </w:rPr>
        <w:t>累计净值</w:t>
      </w:r>
      <w:r>
        <w:rPr>
          <w:rFonts w:ascii="新宋体" w:eastAsia="新宋体" w:hAnsi="新宋体" w:hint="eastAsia"/>
          <w:color w:val="auto"/>
          <w:sz w:val="21"/>
          <w:szCs w:val="21"/>
        </w:rPr>
        <w:t>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BE60B1">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w:t>
      </w:r>
      <w:r w:rsidRPr="00A06064" w:rsidR="00A06064">
        <w:rPr>
          <w:rFonts w:ascii="新宋体" w:eastAsia="新宋体" w:hAnsi="新宋体" w:hint="eastAsia"/>
          <w:color w:val="auto"/>
          <w:sz w:val="21"/>
          <w:szCs w:val="21"/>
        </w:rPr>
        <w:t>累计净值</w:t>
      </w:r>
      <w:r>
        <w:rPr>
          <w:rFonts w:ascii="新宋体" w:eastAsia="新宋体" w:hAnsi="新宋体" w:hint="eastAsia"/>
          <w:color w:val="auto"/>
          <w:sz w:val="21"/>
          <w:szCs w:val="21"/>
        </w:rPr>
        <w:t>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BE60B1">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BE60B1">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BE60B1">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A份额年化费率为0.30%，B份额年化费率为0.20%</w:t>
      </w:r>
      <w:r>
        <w:rPr>
          <w:rFonts w:ascii="新宋体" w:eastAsia="新宋体" w:hAnsi="新宋体" w:cs="新宋体" w:hint="eastAsia"/>
          <w:sz w:val="21"/>
          <w:szCs w:val="21"/>
        </w:rPr>
        <w:t>），托管费（年化费率为</w:t>
      </w:r>
      <w:r>
        <w:rPr>
          <w:rFonts w:ascii="新宋体" w:eastAsia="新宋体" w:hAnsi="新宋体" w:cs="新宋体"/>
          <w:sz w:val="21"/>
          <w:szCs w:val="21"/>
        </w:rPr>
        <w:t>0.009%</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A份额【0.30】%，B份额【0.20】%</w:t>
      </w:r>
      <w:r>
        <w:rPr>
          <w:rFonts w:ascii="新宋体" w:eastAsia="新宋体" w:hAnsi="新宋体" w:cs="新宋体" w:hint="eastAsia"/>
          <w:sz w:val="21"/>
          <w:szCs w:val="21"/>
        </w:rPr>
        <w:t>年费率计提，由理财管理人收取。以A份额为例，计算方法如下：</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BE60B1">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0.009%</w:t>
      </w:r>
      <w:r>
        <w:rPr>
          <w:rFonts w:ascii="新宋体" w:eastAsia="新宋体" w:hAnsi="新宋体" w:cs="新宋体" w:hint="eastAsia"/>
          <w:sz w:val="21"/>
          <w:szCs w:val="21"/>
        </w:rPr>
        <w:t>年费率计提，由理财资产托管人收取。计算方法如下：</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0.009%</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BE60B1">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本理财计划项下资产组合收益超出本理财计划业绩基准（A份额2.30%-3.50%、B份额2.40%-3.60%）</w:t>
      </w:r>
      <w:r w:rsidR="001031BC">
        <w:rPr>
          <w:rFonts w:ascii="新宋体" w:eastAsia="新宋体" w:hAnsi="新宋体" w:cs="新宋体" w:hint="eastAsia"/>
          <w:b/>
          <w:sz w:val="21"/>
          <w:szCs w:val="21"/>
        </w:rPr>
        <w:t>上限</w:t>
      </w:r>
      <w:r>
        <w:rPr>
          <w:rFonts w:ascii="新宋体" w:eastAsia="新宋体" w:hAnsi="新宋体" w:cs="新宋体" w:hint="eastAsia"/>
          <w:b/>
          <w:sz w:val="21"/>
          <w:szCs w:val="21"/>
        </w:rPr>
        <w:t>的部分，</w:t>
      </w:r>
      <w:r>
        <w:rPr>
          <w:rFonts w:ascii="新宋体" w:eastAsia="新宋体" w:hAnsi="新宋体" w:cs="新宋体"/>
          <w:b/>
          <w:sz w:val="21"/>
          <w:szCs w:val="21"/>
        </w:rPr>
        <w:t>100%归于投资者</w:t>
      </w:r>
      <w:r>
        <w:rPr>
          <w:rFonts w:ascii="新宋体" w:eastAsia="新宋体" w:hAnsi="新宋体" w:cs="新宋体" w:hint="eastAsia"/>
          <w:b/>
          <w:sz w:val="21"/>
          <w:szCs w:val="21"/>
        </w:rPr>
        <w:t>。业绩基准并不代表产品实际投资收益。</w:t>
      </w:r>
    </w:p>
    <w:p w:rsidR="00BE60B1">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BE60B1">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BE60B1">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BE60B1">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BE60B1">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BE60B1">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BE60B1">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BE60B1">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BE60B1">
      <w:pPr>
        <w:snapToGrid w:val="0"/>
        <w:spacing w:line="360" w:lineRule="auto"/>
        <w:ind w:firstLine="420" w:firstLineChars="200"/>
        <w:jc w:val="left"/>
        <w:rPr>
          <w:b/>
        </w:rPr>
      </w:pPr>
      <w:r>
        <w:rPr>
          <w:rFonts w:hint="eastAsia"/>
          <w:b/>
        </w:rPr>
        <w:t>（6）</w:t>
      </w:r>
      <w:r>
        <w:rPr>
          <w:b/>
        </w:rPr>
        <w:t>重大事项公告</w:t>
      </w:r>
      <w:r>
        <w:rPr>
          <w:rFonts w:hint="eastAsia"/>
          <w:b/>
        </w:rPr>
        <w:t>。</w:t>
      </w:r>
    </w:p>
    <w:p w:rsidR="00BE60B1">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BE60B1">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BE60B1">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BE60B1">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BE60B1">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BE60B1">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0B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E60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0B1">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83B01">
      <w:rPr>
        <w:rStyle w:val="PageNumber"/>
        <w:noProof/>
      </w:rPr>
      <w:t>1</w:t>
    </w:r>
    <w:r>
      <w:fldChar w:fldCharType="end"/>
    </w:r>
  </w:p>
  <w:p w:rsidR="00BE60B1">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1BC"/>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B01"/>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277D"/>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4A95"/>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064"/>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0B1"/>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157259051</TotalTime>
  <Pages>13</Pages>
  <Words>1930</Words>
  <Characters>11003</Characters>
  <Application>Microsoft Office Word</Application>
  <DocSecurity>0</DocSecurity>
  <Lines>91</Lines>
  <Paragraphs>25</Paragraphs>
  <ScaleCrop>false</ScaleCrop>
  <Company>WwW.YlmF.CoM</Company>
  <LinksUpToDate>false</LinksUpToDate>
  <CharactersWithSpaces>12908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7</cp:revision>
  <cp:lastPrinted>2011-09-18T02:03:00Z</cp:lastPrinted>
  <dcterms:created xsi:type="dcterms:W3CDTF">2023-07-25T08:36:00Z</dcterms:created>
  <dcterms:modified xsi:type="dcterms:W3CDTF">2025-09-02T01:58:00Z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