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0367CE">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0367CE">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0367CE">
      <w:pPr>
        <w:spacing w:line="360" w:lineRule="auto"/>
        <w:rPr>
          <w:rFonts w:ascii="新宋体" w:eastAsia="新宋体" w:hAnsi="新宋体" w:cs="宋体" w:hint="eastAsia"/>
          <w:b/>
          <w:kern w:val="0"/>
          <w:szCs w:val="21"/>
        </w:rPr>
      </w:pPr>
    </w:p>
    <w:p w:rsidR="000367CE">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0367CE">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0367CE">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0367CE">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0367CE">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0367CE">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0367CE">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0367CE">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0367CE">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0367CE">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0367CE">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0367CE">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0367CE">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0367CE">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0367CE">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0367CE">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0367CE">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0367CE">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0367CE">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0367CE">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0367CE">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0367CE">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青银理财璀璨人生成就系列人民币理财计划2025年567期</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rPr>
              <w:t>青银理财成就系列丰收封闭式2025年567期</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rPr>
              <w:t>CCCJGX25567</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0367CE">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0367CE">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0367CE">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0367CE">
            <w:pPr>
              <w:spacing w:line="360" w:lineRule="auto"/>
              <w:rPr>
                <w:rFonts w:ascii="新宋体" w:eastAsia="新宋体" w:hAnsi="新宋体"/>
              </w:rPr>
            </w:pPr>
            <w:r>
              <w:rPr>
                <w:rFonts w:ascii="新宋体" w:eastAsia="新宋体" w:hAnsi="新宋体" w:hint="eastAsia"/>
              </w:rPr>
              <w:t>A份额，销售代码【CCCJGX25567A】，销售名称：青银理财成就系列丰收封闭式2025年567期A份额,销售对象【浙江台州路桥农商行及各销售服务渠道个人及机构客户，具体客户类型以销售机构规定为准】</w:t>
              <w:br/>
              <w:t>B份额，销售代码【CCCJGX25567B】，销售名称：青银理财成就系列丰收封闭式2025年567期B份额,销售对象【浙江永康农商行及各销售服务渠道个人及机构客户，具体客户类型以销售机构规定为准】</w:t>
            </w:r>
          </w:p>
          <w:p w:rsidR="000367CE">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Z7003525000570，可通过中国理财网（http://www.chinawealth.com.cn）查询</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0367CE">
            <w:pPr>
              <w:spacing w:line="360" w:lineRule="auto"/>
              <w:rPr>
                <w:rFonts w:ascii="新宋体" w:eastAsia="新宋体" w:hAnsi="新宋体"/>
              </w:rPr>
            </w:pPr>
            <w:r>
              <w:rPr>
                <w:rFonts w:ascii="新宋体" w:eastAsia="新宋体" w:hAnsi="新宋体"/>
              </w:rPr>
              <w:t>2025年09月18日</w:t>
            </w:r>
            <w:r>
              <w:rPr>
                <w:rFonts w:ascii="新宋体" w:eastAsia="新宋体" w:hAnsi="新宋体" w:hint="eastAsia"/>
              </w:rPr>
              <w:t xml:space="preserve"> 9:00至</w:t>
            </w:r>
            <w:r>
              <w:rPr>
                <w:rFonts w:ascii="新宋体" w:eastAsia="新宋体" w:hAnsi="新宋体"/>
              </w:rPr>
              <w:t>2025年09月23日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0367CE">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0367CE">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rPr>
              <w:t>2025年09月24日</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rPr>
              <w:t>2026年03月26日</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rPr>
              <w:t>183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A份额规模上限300000万，规模下限1万</w:t>
              <w:br/>
              <w:t>B份额规模上限300000万，规模下限1万</w:t>
            </w:r>
          </w:p>
          <w:p w:rsidR="000367CE">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0367CE">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0367CE">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0367CE">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0367CE">
            <w:pPr>
              <w:spacing w:line="360" w:lineRule="auto"/>
              <w:rPr>
                <w:rFonts w:ascii="新宋体" w:eastAsia="新宋体" w:hAnsi="新宋体"/>
              </w:rPr>
            </w:pPr>
            <w:r>
              <w:rPr>
                <w:rFonts w:ascii="新宋体" w:eastAsia="新宋体" w:hAnsi="新宋体" w:hint="eastAsia"/>
                <w:szCs w:val="21"/>
              </w:rPr>
              <w:t>A份额销售渠道为浙江台州路桥农商行及各销售服务渠道，B份额销售渠道为浙江永康农商行及各销售服务渠道（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0367CE">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0367CE">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szCs w:val="21"/>
              </w:rPr>
            </w:pPr>
            <w:r>
              <w:rPr>
                <w:rFonts w:ascii="新宋体" w:eastAsia="新宋体" w:hAnsi="新宋体" w:hint="eastAsia"/>
                <w:szCs w:val="21"/>
              </w:rPr>
              <w:t>单一投资者</w:t>
            </w:r>
          </w:p>
          <w:p w:rsidR="000367CE">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0367CE">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0367CE">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0367CE">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0367CE">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0367CE">
            <w:pPr>
              <w:spacing w:line="360" w:lineRule="auto"/>
              <w:rPr>
                <w:rFonts w:ascii="新宋体" w:eastAsia="新宋体" w:hAnsi="新宋体" w:hint="eastAsia"/>
                <w:b/>
              </w:rPr>
            </w:pPr>
            <w:r>
              <w:rPr>
                <w:rFonts w:ascii="新宋体" w:eastAsia="新宋体" w:hAnsi="新宋体" w:hint="eastAsia"/>
                <w:b/>
              </w:rPr>
              <w:t>A份额业绩比较基准为1.65%-2.45%（年化）</w:t>
              <w:br/>
              <w:t>B份额业绩比较基准为1.75%-2.55%（年化）</w:t>
            </w:r>
          </w:p>
          <w:p w:rsidR="000367CE">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0367CE">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0367CE">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sidR="0004018E">
              <w:rPr>
                <w:rFonts w:ascii="新宋体" w:eastAsia="新宋体" w:hAnsi="新宋体" w:hint="eastAsia"/>
                <w:b/>
              </w:rPr>
              <w:t>上限</w:t>
            </w:r>
            <w:r>
              <w:rPr>
                <w:rFonts w:ascii="新宋体" w:eastAsia="新宋体" w:hAnsi="新宋体" w:hint="eastAsia"/>
                <w:b/>
              </w:rPr>
              <w:t>部分的投资收益，</w:t>
            </w:r>
            <w:r w:rsidR="0004018E">
              <w:rPr>
                <w:rFonts w:ascii="新宋体" w:eastAsia="新宋体" w:hAnsi="新宋体" w:hint="eastAsia"/>
                <w:b/>
              </w:rPr>
              <w:t>1</w:t>
            </w:r>
            <w:r w:rsidR="0004018E">
              <w:rPr>
                <w:rFonts w:ascii="新宋体" w:eastAsia="新宋体" w:hAnsi="新宋体"/>
                <w:b/>
              </w:rPr>
              <w:t>00</w:t>
            </w:r>
            <w:r w:rsidR="0004018E">
              <w:rPr>
                <w:rFonts w:ascii="新宋体" w:eastAsia="新宋体" w:hAnsi="新宋体" w:hint="eastAsia"/>
                <w:b/>
              </w:rPr>
              <w:t>%归于投资者</w:t>
            </w:r>
            <w:r>
              <w:rPr>
                <w:rFonts w:ascii="新宋体" w:eastAsia="新宋体" w:hAnsi="新宋体" w:hint="eastAsia"/>
                <w:b/>
              </w:rPr>
              <w:t>。</w:t>
            </w:r>
          </w:p>
        </w:tc>
      </w:tr>
      <w:tr>
        <w:tblPrEx>
          <w:tblW w:w="0" w:type="auto"/>
          <w:tblInd w:w="108" w:type="dxa"/>
          <w:tblLayout w:type="fixed"/>
          <w:tblLook w:val="0000"/>
        </w:tblPrEx>
        <w:trPr>
          <w:trHeight w:val="247"/>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0367CE">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0367CE">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（A份额1.65%-2.45%、B份额1.75%-2.55%），则超出</w:t>
            </w:r>
            <w:r w:rsidR="0004018E">
              <w:rPr>
                <w:rFonts w:ascii="新宋体" w:eastAsia="新宋体" w:hAnsi="新宋体" w:hint="eastAsia"/>
                <w:szCs w:val="21"/>
              </w:rPr>
              <w:t>上限的</w:t>
            </w:r>
            <w:r>
              <w:rPr>
                <w:rFonts w:ascii="新宋体" w:eastAsia="新宋体" w:hAnsi="新宋体" w:hint="eastAsia"/>
                <w:szCs w:val="21"/>
              </w:rPr>
              <w:t>部分</w:t>
            </w:r>
            <w:r w:rsidR="0004018E">
              <w:rPr>
                <w:rFonts w:ascii="新宋体" w:eastAsia="新宋体" w:hAnsi="新宋体" w:hint="eastAsia"/>
                <w:szCs w:val="21"/>
              </w:rPr>
              <w:t>，1</w:t>
            </w:r>
            <w:r w:rsidR="0004018E">
              <w:rPr>
                <w:rFonts w:ascii="新宋体" w:eastAsia="新宋体" w:hAnsi="新宋体"/>
                <w:szCs w:val="21"/>
              </w:rPr>
              <w:t>00</w:t>
            </w:r>
            <w:r w:rsidR="0004018E">
              <w:rPr>
                <w:rFonts w:ascii="新宋体" w:eastAsia="新宋体" w:hAnsi="新宋体" w:hint="eastAsia"/>
                <w:szCs w:val="21"/>
              </w:rPr>
              <w:t>%归于投资者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sidR="0004018E">
              <w:rPr>
                <w:rFonts w:ascii="新宋体" w:eastAsia="新宋体" w:hAnsi="新宋体" w:hint="eastAsia"/>
                <w:szCs w:val="21"/>
              </w:rPr>
              <w:t>下限</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0367CE">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0367CE">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0367CE">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0367CE">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0367CE">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0367CE">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0367CE">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0367CE">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0367CE">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0367CE">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0367CE">
            <w:pPr>
              <w:spacing w:line="360" w:lineRule="auto"/>
              <w:jc w:val="center"/>
              <w:rPr>
                <w:rFonts w:ascii="新宋体" w:eastAsia="新宋体" w:hAnsi="新宋体"/>
                <w:szCs w:val="21"/>
              </w:rPr>
            </w:pPr>
            <w:r>
              <w:rPr>
                <w:rFonts w:ascii="新宋体" w:eastAsia="新宋体" w:hAnsi="新宋体" w:hint="eastAsia"/>
                <w:szCs w:val="21"/>
              </w:rPr>
              <w:t>0-20%</w:t>
            </w:r>
          </w:p>
        </w:tc>
      </w:tr>
    </w:tbl>
    <w:p w:rsidR="000367CE">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0367CE">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0367CE">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0367CE">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0367CE">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0367CE">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0367CE">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0367CE">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0367CE">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0367CE">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0367CE">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0367CE">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0367CE">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0367CE">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0367CE">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0367CE">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0367CE">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0367CE">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0367CE">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0367CE">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0367CE">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0367CE">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0367CE">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0367CE">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0367CE">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0367CE">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0367CE">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0367CE">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0367CE">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0367CE">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0367CE">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0367CE">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0367CE">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sidR="0004018E">
        <w:rPr>
          <w:rFonts w:ascii="新宋体" w:eastAsia="新宋体" w:hAnsi="新宋体" w:cs="新宋体" w:hint="eastAsia"/>
          <w:sz w:val="21"/>
          <w:szCs w:val="21"/>
        </w:rPr>
        <w:t>下限</w:t>
      </w:r>
      <w:r>
        <w:rPr>
          <w:rFonts w:ascii="新宋体" w:eastAsia="新宋体" w:hAnsi="新宋体" w:cs="新宋体" w:hint="eastAsia"/>
          <w:sz w:val="21"/>
          <w:szCs w:val="21"/>
        </w:rPr>
        <w:t>时，管理人将放弃计提的固定管理费，最高为已计提的全部固定管理费。</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0367CE">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本理财计划项下资产组合收益超出本理财计划业绩基准（A份额1.65%-2.45%、B份额1.75%-2.55%）</w:t>
      </w:r>
      <w:r w:rsidR="0004018E">
        <w:rPr>
          <w:rFonts w:ascii="新宋体" w:eastAsia="新宋体" w:hAnsi="新宋体" w:cs="新宋体" w:hint="eastAsia"/>
          <w:b/>
          <w:sz w:val="21"/>
          <w:szCs w:val="21"/>
        </w:rPr>
        <w:t>上限</w:t>
      </w:r>
      <w:r>
        <w:rPr>
          <w:rFonts w:ascii="新宋体" w:eastAsia="新宋体" w:hAnsi="新宋体" w:cs="新宋体" w:hint="eastAsia"/>
          <w:b/>
          <w:sz w:val="21"/>
          <w:szCs w:val="21"/>
        </w:rPr>
        <w:t>的部分，</w:t>
      </w:r>
      <w:r w:rsidR="0004018E">
        <w:rPr>
          <w:rFonts w:ascii="新宋体" w:eastAsia="新宋体" w:hAnsi="新宋体" w:cs="新宋体" w:hint="eastAsia"/>
          <w:b/>
          <w:sz w:val="21"/>
          <w:szCs w:val="21"/>
        </w:rPr>
        <w:t>1</w:t>
      </w:r>
      <w:r w:rsidR="0004018E">
        <w:rPr>
          <w:rFonts w:ascii="新宋体" w:eastAsia="新宋体" w:hAnsi="新宋体" w:cs="新宋体"/>
          <w:b/>
          <w:sz w:val="21"/>
          <w:szCs w:val="21"/>
        </w:rPr>
        <w:t>00</w:t>
      </w:r>
      <w:r w:rsidR="0004018E">
        <w:rPr>
          <w:rFonts w:ascii="新宋体" w:eastAsia="新宋体" w:hAnsi="新宋体" w:cs="新宋体" w:hint="eastAsia"/>
          <w:b/>
          <w:sz w:val="21"/>
          <w:szCs w:val="21"/>
        </w:rPr>
        <w:t>%归于投资者</w:t>
      </w:r>
      <w:r>
        <w:rPr>
          <w:rFonts w:ascii="新宋体" w:eastAsia="新宋体" w:hAnsi="新宋体" w:cs="新宋体" w:hint="eastAsia"/>
          <w:b/>
          <w:sz w:val="21"/>
          <w:szCs w:val="21"/>
        </w:rPr>
        <w:t>。业绩基准并不代表产品实际投资收益。</w:t>
      </w:r>
    </w:p>
    <w:p w:rsidR="000367CE">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0367CE">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0367CE">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0367CE">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0367CE">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0367CE">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0367CE">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0367CE">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0367CE">
      <w:pPr>
        <w:snapToGrid w:val="0"/>
        <w:spacing w:line="360" w:lineRule="auto"/>
        <w:ind w:firstLine="420" w:firstLineChars="200"/>
        <w:jc w:val="left"/>
        <w:rPr>
          <w:b/>
        </w:rPr>
      </w:pPr>
      <w:r>
        <w:rPr>
          <w:rFonts w:hint="eastAsia"/>
          <w:b/>
        </w:rPr>
        <w:t>（6）</w:t>
      </w:r>
      <w:r>
        <w:rPr>
          <w:b/>
        </w:rPr>
        <w:t>重大事项公告</w:t>
      </w:r>
      <w:r>
        <w:rPr>
          <w:rFonts w:hint="eastAsia"/>
          <w:b/>
        </w:rPr>
        <w:t>。</w:t>
      </w:r>
    </w:p>
    <w:p w:rsidR="000367CE">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0367CE">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0367CE">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0367CE">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0367CE">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0367CE">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0367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0367CE">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67CE"/>
    <w:rsid w:val="0003754E"/>
    <w:rsid w:val="000378AD"/>
    <w:rsid w:val="0004018E"/>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157259043</TotalTime>
  <Pages>13</Pages>
  <Words>1918</Words>
  <Characters>10938</Characters>
  <Application>Microsoft Office Word</Application>
  <DocSecurity>0</DocSecurity>
  <Lines>91</Lines>
  <Paragraphs>25</Paragraphs>
  <ScaleCrop>false</ScaleCrop>
  <Company>WwW.YlmF.CoM</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2025-09-12T01:12:00Z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