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杭银理财幸福99季添益1901期理财</w:t>
      </w:r>
      <w:r>
        <w:rPr>
          <w:rFonts w:hint="eastAsia" w:ascii="宋体" w:hAnsi="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w:t>
      </w:r>
      <w:r>
        <w:rPr>
          <w:rFonts w:hint="eastAsia" w:ascii="宋体" w:hAnsi="宋体" w:eastAsia="宋体" w:cs="宋体"/>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0"/>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杭银理财幸福99季添益1901期理财</w:t>
      </w:r>
      <w:r>
        <w:rPr>
          <w:rFonts w:hint="eastAsia" w:ascii="宋体" w:hAnsi="宋体" w:cs="宋体"/>
          <w:b/>
          <w:bCs/>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11"/>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杭银理财幸福99季添益1901期理财</w:t>
            </w:r>
            <w:r>
              <w:rPr>
                <w:rFonts w:hint="eastAsia" w:ascii="宋体" w:hAnsi="宋体" w:cs="宋体"/>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杭银理财幸福99季添益1901期理财</w:t>
            </w:r>
            <w:r>
              <w:rPr>
                <w:rFonts w:hint="eastAsia" w:ascii="宋体" w:hAnsi="宋体" w:cs="宋体"/>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outlineLvl w:val="0"/>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杭银理财幸福99季添益1901期理财</w:t>
      </w:r>
      <w:r>
        <w:rPr>
          <w:rFonts w:hint="eastAsia" w:ascii="宋体" w:hAnsi="宋体" w:cs="宋体"/>
          <w:b/>
          <w:bCs/>
          <w:sz w:val="44"/>
          <w:szCs w:val="44"/>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w:t>
      </w:r>
      <w:r>
        <w:rPr>
          <w:rFonts w:hint="eastAsia" w:ascii="宋体" w:hAnsi="宋体" w:cs="宋体"/>
          <w:b/>
          <w:bCs/>
          <w:sz w:val="24"/>
          <w:highlight w:val="none"/>
          <w:u w:val="single"/>
          <w:lang w:eastAsia="zh-CN"/>
        </w:rPr>
        <w:t>须</w:t>
      </w:r>
      <w:r>
        <w:rPr>
          <w:rFonts w:hint="eastAsia" w:ascii="宋体" w:hAnsi="宋体" w:cs="宋体"/>
          <w:b/>
          <w:bCs/>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w:t>
      </w:r>
      <w:r>
        <w:rPr>
          <w:rFonts w:hint="eastAsia" w:ascii="宋体" w:hAnsi="宋体" w:cs="宋体"/>
          <w:bCs/>
          <w:sz w:val="24"/>
          <w:highlight w:val="none"/>
          <w:lang w:val="en-US" w:eastAsia="zh-CN"/>
        </w:rPr>
        <w:t>代理销售</w:t>
      </w:r>
      <w:r>
        <w:rPr>
          <w:rFonts w:hint="eastAsia" w:ascii="宋体" w:hAnsi="宋体" w:cs="宋体"/>
          <w:bCs/>
          <w:sz w:val="24"/>
          <w:highlight w:val="none"/>
          <w:lang w:eastAsia="zh-CN"/>
        </w:rPr>
        <w:t>）销售协议书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1"/>
        <w:rPr>
          <w:rFonts w:hint="eastAsia" w:ascii="宋体" w:hAnsi="宋体" w:cs="宋体"/>
          <w:b/>
          <w:sz w:val="24"/>
          <w:highlight w:val="none"/>
        </w:rPr>
      </w:pPr>
      <w:r>
        <w:rPr>
          <w:rFonts w:hint="eastAsia" w:ascii="宋体" w:hAnsi="宋体" w:cs="宋体"/>
          <w:b/>
          <w:sz w:val="24"/>
          <w:highlight w:val="none"/>
        </w:rPr>
        <w:t>理财计划共性风险</w:t>
      </w:r>
    </w:p>
    <w:p>
      <w:pPr>
        <w:numPr>
          <w:ilvl w:val="0"/>
          <w:numId w:val="2"/>
        </w:numPr>
        <w:spacing w:line="360" w:lineRule="auto"/>
        <w:jc w:val="left"/>
        <w:outlineLvl w:val="2"/>
        <w:rPr>
          <w:rFonts w:ascii="宋体" w:hAnsi="宋体" w:cs="宋体"/>
          <w:b/>
          <w:sz w:val="24"/>
          <w:highlight w:val="none"/>
        </w:rPr>
      </w:pPr>
      <w:r>
        <w:rPr>
          <w:rFonts w:hint="eastAsia" w:ascii="宋体" w:hAnsi="宋体" w:cs="宋体"/>
          <w:b/>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2"/>
        <w:rPr>
          <w:rFonts w:ascii="宋体" w:hAnsi="宋体" w:cs="宋体"/>
          <w:b/>
          <w:sz w:val="24"/>
          <w:highlight w:val="none"/>
        </w:rPr>
      </w:pPr>
      <w:r>
        <w:rPr>
          <w:rFonts w:hint="eastAsia" w:ascii="宋体" w:hAnsi="宋体" w:cs="宋体"/>
          <w:b/>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rPr>
        <w:t>政策风险：理财计划根据当前的相关法规和政策设计，如国家宏观政策以及相关市场</w:t>
      </w:r>
      <w:r>
        <w:rPr>
          <w:rFonts w:hint="eastAsia" w:ascii="宋体" w:hAnsi="宋体" w:cs="宋体"/>
          <w:b/>
          <w:sz w:val="24"/>
          <w:highlight w:val="none"/>
          <w:lang w:val="en-US" w:eastAsia="zh-CN"/>
        </w:rPr>
        <w:t>法律、</w:t>
      </w:r>
      <w:r>
        <w:rPr>
          <w:rFonts w:hint="eastAsia" w:ascii="宋体" w:hAnsi="宋体" w:cs="宋体"/>
          <w:b/>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rPr>
        <w:t>信息传递风险：</w:t>
      </w:r>
      <w:r>
        <w:rPr>
          <w:rFonts w:hint="eastAsia" w:ascii="宋体" w:hAnsi="宋体" w:cs="宋体"/>
          <w:b/>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sz w:val="24"/>
          <w:highlight w:val="none"/>
        </w:rPr>
        <w:t>由于投资者未能及时主动了解理财计划信息</w:t>
      </w:r>
      <w:r>
        <w:rPr>
          <w:rFonts w:hint="eastAsia" w:ascii="宋体" w:hAnsi="宋体" w:cs="宋体"/>
          <w:b/>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sz w:val="24"/>
          <w:highlight w:val="none"/>
        </w:rPr>
        <w:t>。</w:t>
      </w:r>
      <w:r>
        <w:rPr>
          <w:rFonts w:hint="eastAsia" w:ascii="宋体" w:hAnsi="宋体" w:cs="宋体"/>
          <w:b/>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sz w:val="24"/>
          <w:highlight w:val="none"/>
          <w:lang w:eastAsia="zh-CN"/>
        </w:rPr>
        <w:t>理</w:t>
      </w:r>
      <w:r>
        <w:rPr>
          <w:rFonts w:hint="eastAsia" w:ascii="宋体" w:hAnsi="宋体" w:cs="宋体"/>
          <w:b/>
          <w:sz w:val="24"/>
          <w:highlight w:val="none"/>
        </w:rPr>
        <w:t>财计划本金或收益蒙受部分或全部损失的风险。</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lang w:eastAsia="zh-CN"/>
        </w:rPr>
        <w:t>关</w:t>
      </w:r>
      <w:r>
        <w:rPr>
          <w:rFonts w:ascii="宋体" w:hAnsi="宋体" w:cs="宋体"/>
          <w:b/>
          <w:sz w:val="24"/>
          <w:highlight w:val="none"/>
        </w:rPr>
        <w:t>联关系</w:t>
      </w:r>
      <w:r>
        <w:rPr>
          <w:rFonts w:hint="eastAsia" w:ascii="宋体" w:hAnsi="宋体" w:cs="宋体"/>
          <w:b/>
          <w:sz w:val="24"/>
          <w:highlight w:val="none"/>
          <w:lang w:val="en-US" w:eastAsia="zh-CN"/>
        </w:rPr>
        <w:t>及关联交易</w:t>
      </w:r>
      <w:r>
        <w:rPr>
          <w:rFonts w:ascii="宋体" w:hAnsi="宋体" w:cs="宋体"/>
          <w:b/>
          <w:sz w:val="24"/>
          <w:highlight w:val="none"/>
        </w:rPr>
        <w:t>风险：</w:t>
      </w:r>
      <w:r>
        <w:rPr>
          <w:rFonts w:hint="eastAsia" w:ascii="宋体" w:hAnsi="宋体" w:cs="宋体"/>
          <w:b/>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sz w:val="24"/>
          <w:highlight w:val="none"/>
        </w:rPr>
        <w:t>杭州银行股份有限公司</w:t>
      </w:r>
      <w:r>
        <w:rPr>
          <w:rFonts w:hint="eastAsia" w:ascii="宋体" w:hAnsi="宋体" w:cs="宋体"/>
          <w:b/>
          <w:sz w:val="24"/>
          <w:highlight w:val="none"/>
          <w:lang w:eastAsia="zh-CN"/>
        </w:rPr>
        <w:t>（</w:t>
      </w:r>
      <w:r>
        <w:rPr>
          <w:rFonts w:hint="eastAsia" w:ascii="宋体" w:hAnsi="宋体" w:cs="宋体"/>
          <w:b/>
          <w:sz w:val="24"/>
          <w:highlight w:val="none"/>
          <w:lang w:val="en-US" w:eastAsia="zh-CN"/>
        </w:rPr>
        <w:t>以下简称“杭州银行”</w:t>
      </w:r>
      <w:r>
        <w:rPr>
          <w:rFonts w:hint="eastAsia" w:ascii="宋体" w:hAnsi="宋体" w:cs="宋体"/>
          <w:b/>
          <w:sz w:val="24"/>
          <w:highlight w:val="none"/>
          <w:lang w:eastAsia="zh-CN"/>
        </w:rPr>
        <w:t>）</w:t>
      </w:r>
      <w:r>
        <w:rPr>
          <w:rFonts w:hint="eastAsia" w:ascii="宋体" w:hAnsi="宋体" w:cs="宋体"/>
          <w:b/>
          <w:sz w:val="24"/>
          <w:highlight w:val="none"/>
          <w:lang w:val="en-US" w:eastAsia="zh-CN"/>
        </w:rPr>
        <w:t>作为理财计划的销售服务机构</w:t>
      </w:r>
      <w:r>
        <w:rPr>
          <w:rFonts w:ascii="宋体" w:hAnsi="宋体" w:cs="宋体"/>
          <w:b/>
          <w:sz w:val="24"/>
          <w:highlight w:val="none"/>
        </w:rPr>
        <w:t>，</w:t>
      </w:r>
      <w:r>
        <w:rPr>
          <w:rFonts w:hint="eastAsia" w:ascii="宋体" w:hAnsi="宋体" w:cs="宋体"/>
          <w:b/>
          <w:sz w:val="24"/>
          <w:highlight w:val="none"/>
          <w:lang w:val="en-US" w:eastAsia="zh-CN"/>
        </w:rPr>
        <w:t>负责理财计划的代理销售工作。</w:t>
      </w:r>
      <w:r>
        <w:rPr>
          <w:rFonts w:ascii="宋体" w:hAnsi="宋体" w:cs="宋体"/>
          <w:b/>
          <w:sz w:val="24"/>
          <w:highlight w:val="none"/>
        </w:rPr>
        <w:t>杭银理财系杭州银行全资子公司，双方存在关联关系。</w:t>
      </w:r>
      <w:r>
        <w:rPr>
          <w:rFonts w:hint="eastAsia" w:ascii="宋体" w:hAnsi="宋体" w:cs="宋体"/>
          <w:b/>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2"/>
        <w:rPr>
          <w:rFonts w:ascii="宋体" w:hAnsi="宋体" w:cs="宋体"/>
          <w:b/>
          <w:sz w:val="24"/>
          <w:highlight w:val="none"/>
        </w:rPr>
      </w:pPr>
      <w:r>
        <w:rPr>
          <w:rFonts w:hint="eastAsia" w:ascii="宋体" w:hAnsi="宋体" w:cs="宋体"/>
          <w:b/>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1"/>
        <w:rPr>
          <w:rFonts w:ascii="宋体" w:hAnsi="宋体" w:cs="宋体"/>
          <w:b/>
          <w:sz w:val="24"/>
          <w:highlight w:val="none"/>
        </w:rPr>
      </w:pPr>
      <w:r>
        <w:rPr>
          <w:rFonts w:hint="eastAsia" w:ascii="宋体" w:hAnsi="宋体" w:cs="宋体"/>
          <w:b/>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资金流动性风险：本理财计划定期开放申购、赎回，非开放期内投资者不得提前交易。</w:t>
      </w:r>
    </w:p>
    <w:p>
      <w:pPr>
        <w:keepNext w:val="0"/>
        <w:keepLines w:val="0"/>
        <w:widowControl w:val="0"/>
        <w:numPr>
          <w:ilvl w:val="0"/>
          <w:numId w:val="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收益不达业绩比较基准风险：业绩比较基准并非预测收益，不代表产品的未来表现和实际收益；本理财计划的投资收益与投资者的申购、赎回时点密切相关，收益存在一定的波动性，产品本金出现损失的可能性不容忽视。</w:t>
      </w:r>
    </w:p>
    <w:p>
      <w:pPr>
        <w:keepNext w:val="0"/>
        <w:keepLines w:val="0"/>
        <w:widowControl w:val="0"/>
        <w:numPr>
          <w:ilvl w:val="0"/>
          <w:numId w:val="0"/>
        </w:numPr>
        <w:suppressLineNumbers w:val="0"/>
        <w:spacing w:before="0" w:beforeAutospacing="0" w:after="0" w:afterAutospacing="0" w:line="360" w:lineRule="auto"/>
        <w:ind w:left="0" w:leftChars="0" w:right="0"/>
        <w:jc w:val="both"/>
        <w:rPr>
          <w:rFonts w:hint="eastAsia" w:ascii="宋体" w:hAnsi="宋体" w:cs="宋体"/>
          <w:b/>
          <w:sz w:val="24"/>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 xml:space="preserve">    上述理财计划共性与特定风险发生时，投资者的本金及收益可能遭受损失，在最不利情形下，将损失全部本金及收益</w:t>
      </w:r>
      <w:r>
        <w:rPr>
          <w:rFonts w:hint="eastAsia" w:ascii="宋体" w:hAnsi="宋体" w:cs="宋体"/>
          <w:b/>
          <w:sz w:val="24"/>
          <w:highlight w:val="none"/>
          <w:lang w:eastAsia="zh-CN"/>
        </w:rPr>
        <w:t>（</w:t>
      </w:r>
      <w:r>
        <w:rPr>
          <w:rFonts w:hint="eastAsia" w:ascii="宋体" w:hAnsi="宋体" w:cs="宋体"/>
          <w:b/>
          <w:sz w:val="24"/>
          <w:highlight w:val="none"/>
          <w:lang w:val="en-US" w:eastAsia="zh-CN"/>
        </w:rPr>
        <w:t>如有</w:t>
      </w:r>
      <w:r>
        <w:rPr>
          <w:rFonts w:hint="eastAsia" w:ascii="宋体" w:hAnsi="宋体" w:cs="宋体"/>
          <w:b/>
          <w:sz w:val="24"/>
          <w:highlight w:val="none"/>
          <w:lang w:eastAsia="zh-CN"/>
        </w:rPr>
        <w:t>）</w:t>
      </w:r>
      <w:r>
        <w:rPr>
          <w:rFonts w:hint="eastAsia" w:ascii="宋体" w:hAnsi="宋体" w:cs="宋体"/>
          <w:b/>
          <w:sz w:val="24"/>
          <w:highlight w:val="none"/>
        </w:rPr>
        <w:t>，由此产生的风险及损失将由投资者自行承担。</w:t>
      </w:r>
    </w:p>
    <w:p>
      <w:pPr>
        <w:numPr>
          <w:ilvl w:val="0"/>
          <w:numId w:val="1"/>
        </w:numPr>
        <w:spacing w:line="360" w:lineRule="auto"/>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sz w:val="24"/>
          <w:highlight w:val="none"/>
        </w:rPr>
        <w:t xml:space="preserve">    </w:t>
      </w: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w:t>
      </w:r>
      <w:r>
        <w:rPr>
          <w:rFonts w:hint="eastAsia" w:ascii="宋体" w:hAnsi="宋体" w:eastAsia="宋体" w:cs="宋体"/>
          <w:b/>
          <w:kern w:val="2"/>
          <w:sz w:val="24"/>
          <w:szCs w:val="24"/>
          <w:highlight w:val="none"/>
          <w:lang w:val="en-US" w:eastAsia="zh-CN" w:bidi="ar-SA"/>
        </w:rPr>
        <w:t>公募</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开放式</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固定收益类</w:t>
      </w:r>
      <w:r>
        <w:rPr>
          <w:rFonts w:hint="eastAsia" w:ascii="宋体" w:hAnsi="宋体" w:cs="宋体"/>
          <w:b/>
          <w:sz w:val="24"/>
          <w:highlight w:val="none"/>
        </w:rPr>
        <w:t>〗净值型理财计划，〖</w:t>
      </w:r>
      <w:r>
        <w:rPr>
          <w:rFonts w:hint="eastAsia" w:ascii="宋体" w:hAnsi="宋体" w:cs="宋体"/>
          <w:b/>
          <w:sz w:val="24"/>
          <w:highlight w:val="none"/>
          <w:lang w:eastAsia="zh"/>
        </w:rPr>
        <w:t>无固定期限</w:t>
      </w:r>
      <w:r>
        <w:rPr>
          <w:rFonts w:hint="eastAsia" w:ascii="宋体" w:hAnsi="宋体" w:cs="宋体"/>
          <w:b/>
          <w:sz w:val="24"/>
          <w:highlight w:val="none"/>
        </w:rPr>
        <w:t>〗</w:t>
      </w:r>
      <w:r>
        <w:rPr>
          <w:rFonts w:hint="eastAsia" w:ascii="宋体" w:hAnsi="宋体" w:cs="宋体"/>
          <w:bCs/>
          <w:color w:val="000000"/>
          <w:sz w:val="24"/>
          <w:highlight w:val="none"/>
          <w:lang w:eastAsia="zh-CN"/>
        </w:rPr>
        <w:t>，</w:t>
      </w:r>
      <w:r>
        <w:rPr>
          <w:rFonts w:hint="eastAsia" w:ascii="宋体" w:hAnsi="宋体" w:cs="宋体"/>
          <w:b/>
          <w:sz w:val="24"/>
          <w:highlight w:val="none"/>
        </w:rPr>
        <w:t>不保证本金与收益。</w:t>
      </w:r>
      <w:r>
        <w:rPr>
          <w:rFonts w:hint="eastAsia" w:ascii="宋体" w:hAnsi="宋体" w:cs="宋体"/>
          <w:b/>
          <w:sz w:val="24"/>
          <w:highlight w:val="none"/>
          <w:lang w:val="en-US" w:eastAsia="zh-CN"/>
        </w:rPr>
        <w:t>理财计划过往业绩不代表其未来表现，不等于理财计划实际收益，投资须谨慎！</w:t>
      </w:r>
      <w:r>
        <w:rPr>
          <w:rFonts w:hint="eastAsia" w:ascii="宋体" w:hAnsi="宋体" w:cs="宋体"/>
          <w:b/>
          <w:sz w:val="24"/>
          <w:highlight w:val="none"/>
        </w:rPr>
        <w:t>根据本公司理财产品内部风险评级，该理财计划风险评级结果为〖</w:t>
      </w:r>
      <w:r>
        <w:rPr>
          <w:rFonts w:hint="eastAsia" w:ascii="宋体" w:hAnsi="宋体" w:eastAsia="宋体" w:cs="宋体"/>
          <w:b/>
          <w:kern w:val="2"/>
          <w:sz w:val="24"/>
          <w:szCs w:val="24"/>
          <w:highlight w:val="none"/>
          <w:lang w:val="en-US" w:eastAsia="zh-CN" w:bidi="ar-SA"/>
        </w:rPr>
        <w:t>R2</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w:t>
      </w:r>
      <w:r>
        <w:rPr>
          <w:rFonts w:hint="eastAsia" w:ascii="宋体" w:hAnsi="宋体" w:eastAsia="宋体" w:cs="宋体"/>
          <w:b/>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w:t>
      </w:r>
      <w:r>
        <w:rPr>
          <w:rFonts w:hint="eastAsia" w:ascii="宋体" w:hAnsi="宋体" w:eastAsia="宋体" w:cs="宋体"/>
          <w:b/>
          <w:kern w:val="2"/>
          <w:sz w:val="24"/>
          <w:szCs w:val="24"/>
          <w:highlight w:val="none"/>
          <w:lang w:val="en-US" w:eastAsia="zh-CN" w:bidi="ar-SA"/>
        </w:rPr>
        <w:t>〖机构投资者〗以及〖稳健型、平衡型、成长型、进取型〗的个人投资者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val="0"/>
          <w:bCs/>
          <w:sz w:val="24"/>
          <w:highlight w:val="none"/>
          <w:lang w:val="en-US" w:eastAsia="zh-CN"/>
        </w:rPr>
        <w:t>本理财计划投资者适当性评估由销售机构负责，销售机构</w:t>
      </w:r>
      <w:r>
        <w:rPr>
          <w:rFonts w:hint="eastAsia" w:ascii="宋体" w:hAnsi="宋体" w:cs="宋体"/>
          <w:bCs/>
          <w:sz w:val="24"/>
          <w:highlight w:val="none"/>
        </w:rPr>
        <w:t>应确保个人投资者的风险承受能力不低于本理财计划风险评级。</w:t>
      </w:r>
      <w:r>
        <w:rPr>
          <w:rFonts w:hint="eastAsia" w:ascii="宋体" w:hAnsi="宋体" w:cs="宋体"/>
          <w:bCs/>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sz w:val="24"/>
          <w:highlight w:val="none"/>
        </w:rPr>
        <w:t>风险提示方：杭银理财有限责任公司</w:t>
      </w:r>
    </w:p>
    <w:p>
      <w:pPr>
        <w:pStyle w:val="20"/>
        <w:pageBreakBefore/>
        <w:widowControl/>
        <w:spacing w:line="360" w:lineRule="auto"/>
        <w:ind w:left="0" w:leftChars="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20"/>
        <w:spacing w:line="360" w:lineRule="auto"/>
        <w:jc w:val="both"/>
        <w:rPr>
          <w:rFonts w:hint="eastAsia" w:ascii="宋体" w:hAnsi="宋体" w:cs="宋体"/>
          <w:b/>
          <w:color w:val="auto"/>
          <w:highlight w:val="none"/>
        </w:rPr>
      </w:pPr>
    </w:p>
    <w:p>
      <w:pPr>
        <w:pStyle w:val="20"/>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20"/>
        <w:spacing w:line="360" w:lineRule="auto"/>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20"/>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如超过一年未进行风险承受能力评估或影响本人风险承受能力的因素发生变化，本人将于再次购买理财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20"/>
        <w:spacing w:line="360" w:lineRule="auto"/>
        <w:ind w:firstLine="472" w:firstLineChars="196"/>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20"/>
        <w:spacing w:line="360" w:lineRule="auto"/>
        <w:ind w:firstLine="472" w:firstLineChars="196"/>
        <w:jc w:val="both"/>
        <w:rPr>
          <w:rFonts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20"/>
        <w:spacing w:line="360" w:lineRule="auto"/>
        <w:ind w:firstLine="360" w:firstLineChars="15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20"/>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pStyle w:val="20"/>
        <w:spacing w:line="360" w:lineRule="auto"/>
        <w:jc w:val="both"/>
        <w:rPr>
          <w:rFonts w:hint="eastAsia" w:ascii="宋体" w:hAnsi="宋体" w:cs="宋体"/>
          <w:color w:val="auto"/>
          <w:highlight w:val="none"/>
        </w:rPr>
      </w:pP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snapToGrid w:val="0"/>
        <w:rPr>
          <w:rFonts w:hint="eastAsia" w:ascii="宋体" w:hAnsi="宋体"/>
          <w:kern w:val="0"/>
          <w:szCs w:val="21"/>
          <w:highlight w:val="none"/>
          <w:u w:val="single"/>
        </w:rPr>
      </w:pPr>
    </w:p>
    <w:p>
      <w:pPr>
        <w:autoSpaceDE w:val="0"/>
        <w:autoSpaceDN w:val="0"/>
        <w:adjustRightInd w:val="0"/>
        <w:spacing w:line="420" w:lineRule="exact"/>
        <w:jc w:val="center"/>
        <w:rPr>
          <w:rFonts w:hint="eastAsia" w:ascii="宋体" w:hAnsi="宋体"/>
          <w:b/>
          <w:kern w:val="0"/>
          <w:szCs w:val="21"/>
          <w:highlight w:val="none"/>
        </w:rPr>
      </w:pPr>
    </w:p>
    <w:p>
      <w:pPr>
        <w:autoSpaceDE w:val="0"/>
        <w:autoSpaceDN w:val="0"/>
        <w:adjustRightInd w:val="0"/>
        <w:spacing w:line="360" w:lineRule="auto"/>
        <w:jc w:val="center"/>
        <w:rPr>
          <w:rFonts w:hint="eastAsia" w:ascii="宋体" w:hAnsi="宋体"/>
          <w:b/>
          <w:kern w:val="0"/>
          <w:szCs w:val="21"/>
          <w:highlight w:val="none"/>
        </w:rPr>
      </w:pPr>
    </w:p>
    <w:p>
      <w:pPr>
        <w:autoSpaceDE w:val="0"/>
        <w:autoSpaceDN w:val="0"/>
        <w:adjustRightInd w:val="0"/>
        <w:spacing w:line="360" w:lineRule="auto"/>
        <w:jc w:val="center"/>
        <w:rPr>
          <w:rFonts w:hint="eastAsia" w:ascii="宋体" w:hAnsi="宋体"/>
          <w:b/>
          <w:kern w:val="0"/>
          <w:szCs w:val="21"/>
          <w:highlight w:val="none"/>
        </w:rPr>
      </w:pPr>
    </w:p>
    <w:p>
      <w:pPr>
        <w:autoSpaceDE w:val="0"/>
        <w:autoSpaceDN w:val="0"/>
        <w:adjustRightInd w:val="0"/>
        <w:spacing w:line="360" w:lineRule="auto"/>
        <w:jc w:val="center"/>
        <w:rPr>
          <w:rFonts w:hint="eastAsia" w:ascii="宋体" w:hAnsi="宋体"/>
          <w:b/>
          <w:kern w:val="0"/>
          <w:szCs w:val="21"/>
          <w:highlight w:val="none"/>
        </w:rPr>
      </w:pPr>
    </w:p>
    <w:p>
      <w:pPr>
        <w:pStyle w:val="20"/>
        <w:pageBreakBefore/>
        <w:widowControl/>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20"/>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20"/>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20"/>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20"/>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20"/>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20"/>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20"/>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20"/>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20"/>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20"/>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20"/>
        <w:spacing w:line="360" w:lineRule="auto"/>
        <w:ind w:firstLine="480" w:firstLineChars="200"/>
        <w:jc w:val="right"/>
        <w:rPr>
          <w:rFonts w:ascii="宋体" w:hAnsi="宋体" w:cs="宋体"/>
          <w:bCs/>
          <w:color w:val="000000"/>
          <w:sz w:val="24"/>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0"/>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杭银理财幸福99季添益1901期理财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宋体" w:eastAsia="宋体" w:cs="宋体"/>
          <w:bCs/>
          <w:kern w:val="2"/>
          <w:sz w:val="24"/>
          <w:szCs w:val="24"/>
          <w:highlight w:val="none"/>
          <w:lang w:val="en-US" w:eastAsia="zh-CN" w:bidi="ar-SA"/>
        </w:rPr>
        <w:t>Z7002221000272</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w:t>
      </w:r>
      <w:r>
        <w:rPr>
          <w:rFonts w:hint="eastAsia" w:ascii="宋体" w:hAnsi="宋体" w:cs="宋体"/>
          <w:bCs/>
          <w:sz w:val="24"/>
          <w:highlight w:val="none"/>
          <w:lang w:val="en-US" w:eastAsia="zh-CN"/>
        </w:rPr>
        <w:t>销售文件</w:t>
      </w:r>
      <w:r>
        <w:rPr>
          <w:rFonts w:hint="eastAsia" w:ascii="宋体" w:hAnsi="宋体" w:cs="宋体"/>
          <w:bCs/>
          <w:sz w:val="24"/>
          <w:highlight w:val="none"/>
        </w:rPr>
        <w:t>。</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在本理财计划存续期内，如因监管政策或法律法规发生变化，在不损害投资者利益的前提下，管理人有权对</w:t>
      </w:r>
      <w:r>
        <w:rPr>
          <w:rFonts w:hint="eastAsia" w:ascii="宋体" w:hAnsi="宋体" w:cs="宋体"/>
          <w:bCs/>
          <w:sz w:val="24"/>
          <w:highlight w:val="none"/>
          <w:lang w:val="en-US" w:eastAsia="zh-CN"/>
        </w:rPr>
        <w:t>因上述变化导致的</w:t>
      </w:r>
      <w:r>
        <w:rPr>
          <w:rFonts w:hint="eastAsia" w:ascii="宋体" w:hAnsi="宋体" w:cs="宋体"/>
          <w:bCs/>
          <w:sz w:val="24"/>
          <w:highlight w:val="none"/>
        </w:rPr>
        <w:t>本理财计划说明书条款</w:t>
      </w:r>
      <w:r>
        <w:rPr>
          <w:rFonts w:hint="eastAsia" w:ascii="宋体" w:hAnsi="宋体" w:cs="宋体"/>
          <w:bCs/>
          <w:sz w:val="24"/>
          <w:highlight w:val="none"/>
          <w:lang w:val="en-US" w:eastAsia="zh-CN"/>
        </w:rPr>
        <w:t>变化</w:t>
      </w:r>
      <w:r>
        <w:rPr>
          <w:rFonts w:hint="eastAsia" w:ascii="宋体" w:hAnsi="宋体" w:cs="宋体"/>
          <w:bCs/>
          <w:sz w:val="24"/>
          <w:highlight w:val="none"/>
        </w:rPr>
        <w:t>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20"/>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lang w:eastAsia="zh-CN"/>
        </w:rPr>
        <w:t>，</w:t>
      </w:r>
      <w:r>
        <w:rPr>
          <w:rFonts w:hint="eastAsia" w:ascii="宋体" w:hAnsi="宋体" w:cs="宋体"/>
          <w:bCs/>
          <w:color w:val="auto"/>
          <w:kern w:val="2"/>
          <w:highlight w:val="none"/>
          <w:u w:val="none"/>
          <w:lang w:val="en-US" w:eastAsia="zh-CN"/>
        </w:rPr>
        <w:t>客服电话400-8950-999</w:t>
      </w:r>
      <w:r>
        <w:rPr>
          <w:rFonts w:hint="eastAsia" w:ascii="宋体" w:hAnsi="宋体" w:cs="宋体"/>
          <w:bCs/>
          <w:color w:val="auto"/>
          <w:kern w:val="2"/>
          <w:highlight w:val="none"/>
          <w:u w:val="none"/>
        </w:rPr>
        <w:t>。</w:t>
      </w:r>
    </w:p>
    <w:p>
      <w:pPr>
        <w:pStyle w:val="20"/>
        <w:numPr>
          <w:ilvl w:val="0"/>
          <w:numId w:val="13"/>
        </w:numPr>
        <w:adjustRightInd/>
        <w:spacing w:line="360" w:lineRule="auto"/>
        <w:ind w:firstLine="482" w:firstLineChars="200"/>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000000"/>
          <w:kern w:val="2"/>
          <w:highlight w:val="none"/>
          <w:u w:val="none"/>
        </w:rPr>
        <w:fldChar w:fldCharType="begin"/>
      </w:r>
      <w:r>
        <w:rPr>
          <w:rFonts w:hint="eastAsia" w:ascii="宋体" w:hAnsi="宋体" w:cs="宋体"/>
          <w:bCs/>
          <w:color w:val="000000"/>
          <w:kern w:val="2"/>
          <w:highlight w:val="none"/>
          <w:u w:val="none"/>
        </w:rPr>
        <w:instrText xml:space="preserve"> HYPERLINK "http://www.hzbank.com.cn" </w:instrText>
      </w:r>
      <w:r>
        <w:rPr>
          <w:rFonts w:hint="eastAsia" w:ascii="宋体" w:hAnsi="宋体" w:cs="宋体"/>
          <w:bCs/>
          <w:color w:val="000000"/>
          <w:kern w:val="2"/>
          <w:highlight w:val="none"/>
          <w:u w:val="none"/>
        </w:rP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20"/>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杭银理财幸福99季添益1901期理财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杭银理财幸福99季添益1901期理财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杭银理财幸福99季添益1901期理财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投资协议书：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杭银理财幸福99季添益1901期理财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w:t>
      </w:r>
      <w:r>
        <w:rPr>
          <w:rFonts w:hint="eastAsia" w:ascii="宋体" w:hAnsi="宋体" w:cs="宋体"/>
          <w:b/>
          <w:bCs w:val="0"/>
          <w:color w:val="auto"/>
          <w:kern w:val="2"/>
          <w:highlight w:val="none"/>
          <w:lang w:val="en-US" w:eastAsia="zh-CN"/>
        </w:rPr>
        <w:t>计划</w:t>
      </w:r>
      <w:r>
        <w:rPr>
          <w:rFonts w:hint="eastAsia" w:ascii="宋体" w:hAnsi="宋体" w:cs="宋体"/>
          <w:b/>
          <w:bCs w:val="0"/>
          <w:color w:val="auto"/>
          <w:kern w:val="2"/>
          <w:highlight w:val="none"/>
          <w:lang w:eastAsia="zh-CN"/>
        </w:rPr>
        <w:t>销售协议书：</w:t>
      </w:r>
      <w:r>
        <w:rPr>
          <w:rFonts w:hint="eastAsia" w:ascii="宋体" w:hAnsi="宋体" w:cs="宋体"/>
          <w:bCs/>
          <w:color w:val="auto"/>
          <w:kern w:val="2"/>
          <w:highlight w:val="none"/>
          <w:lang w:eastAsia="zh-CN"/>
        </w:rPr>
        <w:t>指作为</w:t>
      </w:r>
      <w:r>
        <w:rPr>
          <w:rFonts w:hint="eastAsia" w:ascii="宋体" w:hAnsi="宋体" w:eastAsia="宋体" w:cs="宋体"/>
          <w:bCs/>
          <w:color w:val="auto"/>
          <w:kern w:val="2"/>
          <w:sz w:val="24"/>
          <w:szCs w:val="24"/>
          <w:highlight w:val="none"/>
          <w:lang w:val="en-US" w:eastAsia="zh-CN" w:bidi="ar-SA"/>
        </w:rPr>
        <w:t>杭银理财幸福99季添益1901期理财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合同/销售文件：</w:t>
      </w:r>
      <w:r>
        <w:rPr>
          <w:rFonts w:hint="eastAsia" w:ascii="宋体" w:hAnsi="宋体" w:cs="宋体"/>
          <w:bCs/>
          <w:color w:val="auto"/>
          <w:kern w:val="2"/>
          <w:highlight w:val="none"/>
        </w:rPr>
        <w:t>指《理财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产品说明书</w:t>
      </w:r>
      <w:r>
        <w:rPr>
          <w:rFonts w:hint="eastAsia" w:ascii="宋体" w:hAnsi="宋体" w:cs="宋体"/>
          <w:bCs/>
          <w:color w:val="auto"/>
          <w:kern w:val="2"/>
          <w:highlight w:val="none"/>
        </w:rPr>
        <w:t>》《投资者权益须知》《理财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rPr>
        <w:t>投资协议书》</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20"/>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杭银理财幸福99季添益1901期理财</w:t>
      </w:r>
      <w:r>
        <w:rPr>
          <w:rFonts w:hint="eastAsia" w:ascii="宋体" w:hAnsi="宋体" w:cs="宋体"/>
          <w:bCs/>
          <w:highlight w:val="none"/>
        </w:rPr>
        <w:t>。</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20"/>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20"/>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20"/>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20"/>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20"/>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20"/>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20"/>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20"/>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摆动定价机制：</w:t>
      </w:r>
      <w:r>
        <w:rPr>
          <w:rFonts w:hint="eastAsia" w:ascii="宋体" w:hAnsi="宋体" w:cs="宋体"/>
          <w:b w:val="0"/>
          <w:bCs/>
          <w:color w:val="auto"/>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20"/>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短期赎回费机制：</w:t>
      </w:r>
      <w:r>
        <w:rPr>
          <w:rFonts w:hint="eastAsia" w:ascii="宋体" w:hAnsi="宋体" w:cs="宋体"/>
          <w:b w:val="0"/>
          <w:bCs/>
          <w:color w:val="auto"/>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20"/>
        <w:numPr>
          <w:ilvl w:val="0"/>
          <w:numId w:val="0"/>
        </w:numPr>
        <w:adjustRightInd/>
        <w:spacing w:line="360" w:lineRule="auto"/>
        <w:rPr>
          <w:rFonts w:hint="eastAsia" w:ascii="宋体" w:hAnsi="宋体" w:cs="宋体"/>
          <w:b/>
          <w:color w:val="auto"/>
          <w:kern w:val="2"/>
          <w:highlight w:val="none"/>
        </w:rPr>
      </w:pPr>
    </w:p>
    <w:p>
      <w:pPr>
        <w:pStyle w:val="20"/>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w:t>
      </w:r>
      <w:r>
        <w:rPr>
          <w:rFonts w:hint="eastAsia" w:ascii="宋体" w:hAnsi="宋体" w:eastAsia="宋体" w:cs="宋体"/>
          <w:b/>
          <w:color w:val="auto"/>
          <w:kern w:val="2"/>
          <w:sz w:val="24"/>
          <w:szCs w:val="24"/>
          <w:highlight w:val="none"/>
          <w:lang w:val="en-US" w:eastAsia="zh-CN" w:bidi="ar-SA"/>
        </w:rPr>
        <w:t>R2</w:t>
      </w:r>
      <w:r>
        <w:rPr>
          <w:rFonts w:hint="eastAsia" w:ascii="宋体" w:hAnsi="宋体" w:cs="宋体"/>
          <w:b/>
          <w:color w:val="auto"/>
          <w:kern w:val="2"/>
          <w:highlight w:val="none"/>
        </w:rPr>
        <w:t>〗，〖</w:t>
      </w:r>
      <w:r>
        <w:rPr>
          <w:rFonts w:hint="eastAsia" w:ascii="宋体" w:hAnsi="宋体" w:eastAsia="宋体" w:cs="宋体"/>
          <w:b/>
          <w:color w:val="auto"/>
          <w:kern w:val="2"/>
          <w:sz w:val="24"/>
          <w:szCs w:val="24"/>
          <w:highlight w:val="none"/>
          <w:lang w:val="en-US" w:eastAsia="zh-CN" w:bidi="ar-SA"/>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 w:val="0"/>
                <w:bCs/>
                <w:color w:val="auto"/>
                <w:kern w:val="2"/>
                <w:highlight w:val="none"/>
              </w:rPr>
            </w:pPr>
            <w:bookmarkStart w:id="0" w:name="_GoBack" w:colFirst="0" w:colLast="2"/>
            <w:r>
              <w:rPr>
                <w:rFonts w:hint="eastAsia" w:ascii="宋体" w:hAnsi="宋体" w:cs="宋体"/>
                <w:b w:val="0"/>
                <w:bCs/>
                <w:color w:val="auto"/>
                <w:kern w:val="2"/>
                <w:highlight w:val="none"/>
              </w:rPr>
              <w:t>R2</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 w:val="0"/>
                <w:bCs/>
                <w:color w:val="auto"/>
                <w:kern w:val="2"/>
                <w:highlight w:val="none"/>
              </w:rPr>
            </w:pPr>
            <w:r>
              <w:rPr>
                <w:rFonts w:hint="eastAsia" w:ascii="宋体" w:hAnsi="宋体" w:cs="宋体"/>
                <w:b w:val="0"/>
                <w:bCs/>
                <w:color w:val="auto"/>
                <w:kern w:val="2"/>
                <w:highlight w:val="none"/>
              </w:rPr>
              <w:t>中低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 w:val="0"/>
                <w:bCs/>
                <w:color w:val="auto"/>
                <w:kern w:val="2"/>
                <w:highlight w:val="none"/>
              </w:rPr>
            </w:pPr>
            <w:r>
              <w:rPr>
                <w:rFonts w:hint="eastAsia" w:ascii="宋体" w:hAnsi="宋体" w:cs="宋体"/>
                <w:b w:val="0"/>
                <w:bCs/>
                <w:color w:val="auto"/>
                <w:kern w:val="2"/>
                <w:highlight w:val="none"/>
              </w:rPr>
              <w:t>稳健型</w:t>
            </w:r>
            <w:r>
              <w:rPr>
                <w:rFonts w:hint="eastAsia" w:ascii="宋体" w:hAnsi="宋体" w:cs="宋体"/>
                <w:b w:val="0"/>
                <w:bCs/>
                <w:color w:val="auto"/>
                <w:kern w:val="2"/>
                <w:highlight w:val="none"/>
                <w:lang w:eastAsia="zh-CN"/>
              </w:rPr>
              <w:t>、</w:t>
            </w:r>
            <w:r>
              <w:rPr>
                <w:rFonts w:hint="eastAsia" w:ascii="宋体" w:hAnsi="宋体" w:cs="宋体"/>
                <w:b w:val="0"/>
                <w:bCs/>
                <w:color w:val="auto"/>
                <w:kern w:val="2"/>
                <w:highlight w:val="none"/>
              </w:rPr>
              <w:t>平衡型</w:t>
            </w:r>
            <w:r>
              <w:rPr>
                <w:rFonts w:hint="eastAsia" w:ascii="宋体" w:hAnsi="宋体" w:cs="宋体"/>
                <w:b w:val="0"/>
                <w:bCs/>
                <w:color w:val="auto"/>
                <w:kern w:val="2"/>
                <w:highlight w:val="none"/>
                <w:lang w:eastAsia="zh-CN"/>
              </w:rPr>
              <w:t>、成长</w:t>
            </w:r>
            <w:r>
              <w:rPr>
                <w:rFonts w:hint="eastAsia" w:ascii="宋体" w:hAnsi="宋体" w:cs="宋体"/>
                <w:b w:val="0"/>
                <w:bCs/>
                <w:color w:val="auto"/>
                <w:kern w:val="2"/>
                <w:highlight w:val="none"/>
              </w:rPr>
              <w:t>型</w:t>
            </w:r>
            <w:r>
              <w:rPr>
                <w:rFonts w:hint="eastAsia" w:ascii="宋体" w:hAnsi="宋体" w:cs="宋体"/>
                <w:b w:val="0"/>
                <w:bCs/>
                <w:color w:val="auto"/>
                <w:kern w:val="2"/>
                <w:highlight w:val="none"/>
                <w:lang w:eastAsia="zh-CN"/>
              </w:rPr>
              <w:t>、进取型</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20"/>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20"/>
        <w:adjustRightInd/>
        <w:spacing w:line="360" w:lineRule="auto"/>
        <w:rPr>
          <w:rFonts w:hint="eastAsia" w:ascii="宋体" w:hAnsi="宋体" w:cs="宋体"/>
          <w:b/>
          <w:color w:val="auto"/>
          <w:kern w:val="2"/>
          <w:highlight w:val="none"/>
        </w:rPr>
      </w:pPr>
    </w:p>
    <w:p>
      <w:pPr>
        <w:pStyle w:val="20"/>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kern w:val="2"/>
                <w:sz w:val="21"/>
                <w:szCs w:val="21"/>
                <w:highlight w:val="none"/>
                <w:lang w:val="en-US" w:eastAsia="zh-CN" w:bidi="ar-SA"/>
              </w:rPr>
              <w:t>杭银理财幸福99季添益1901期理财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bidi="ar-SA"/>
              </w:rPr>
              <w:t>季添益1901期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eastAsia="宋体" w:cs="宋体"/>
                <w:kern w:val="2"/>
                <w:sz w:val="21"/>
                <w:szCs w:val="21"/>
                <w:highlight w:val="none"/>
                <w:lang w:val="en-US" w:eastAsia="zh-CN" w:bidi="ar-SA"/>
              </w:rPr>
              <w:t>TYG3M1901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Z7002221000272</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本理财计划适合</w:t>
            </w:r>
            <w:r>
              <w:rPr>
                <w:rFonts w:hint="eastAsia" w:ascii="宋体" w:hAnsi="宋体" w:eastAsia="宋体" w:cs="宋体"/>
                <w:b/>
                <w:bCs/>
                <w:color w:val="000000"/>
                <w:kern w:val="2"/>
                <w:sz w:val="21"/>
                <w:szCs w:val="21"/>
                <w:highlight w:val="none"/>
                <w:lang w:val="en-US" w:eastAsia="zh-CN" w:bidi="ar-SA"/>
              </w:rPr>
              <w:t>〖机构投资者〗以及〖稳健型、平衡型、成长型、进取型〗的个人投资者</w:t>
            </w:r>
            <w:r>
              <w:rPr>
                <w:rFonts w:hint="eastAsia" w:ascii="宋体" w:hAnsi="宋体" w:cs="宋体"/>
                <w:b/>
                <w:color w:val="000000"/>
                <w:sz w:val="21"/>
                <w:szCs w:val="21"/>
                <w:highlight w:val="none"/>
              </w:rPr>
              <w:t>。</w:t>
            </w:r>
            <w:r>
              <w:rPr>
                <w:rFonts w:hint="eastAsia" w:ascii="宋体" w:hAnsi="宋体" w:cs="宋体"/>
                <w:bCs/>
                <w:color w:val="auto"/>
                <w:kern w:val="2"/>
                <w:sz w:val="21"/>
                <w:szCs w:val="21"/>
                <w:highlight w:val="none"/>
                <w:lang w:eastAsia="zh-CN"/>
              </w:rPr>
              <w:t>投资者风险承受能力评级水平以销售机构评估为准。</w:t>
            </w:r>
          </w:p>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A份额（销售代码〖TYG3M1901〗）：普通个人投资者和机构客户。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B份额（销售代码〖TYG3M1901B〗）：高净值等特邀客户专属。</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C份额（销售代码〖TYG3M1901C〗）：特定客群专属。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eastAsia="宋体" w:cs="宋体"/>
                <w:kern w:val="2"/>
                <w:sz w:val="21"/>
                <w:szCs w:val="21"/>
                <w:highlight w:val="none"/>
                <w:lang w:val="en-US" w:eastAsia="zh-CN" w:bidi="ar-SA"/>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cs="宋体"/>
                <w:sz w:val="21"/>
                <w:szCs w:val="21"/>
                <w:highlight w:val="none"/>
              </w:rPr>
              <w:t>〖</w:t>
            </w:r>
            <w:r>
              <w:rPr>
                <w:rFonts w:hint="eastAsia" w:ascii="宋体" w:hAnsi="宋体" w:eastAsia="宋体" w:cs="宋体"/>
                <w:kern w:val="2"/>
                <w:sz w:val="21"/>
                <w:szCs w:val="21"/>
                <w:highlight w:val="none"/>
                <w:lang w:val="en-US" w:eastAsia="zh-CN" w:bidi="ar-SA"/>
              </w:rPr>
              <w:t>否</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销售机构的〖营业网点、网上银行、手机银行〗等渠道购买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eastAsia="宋体" w:cs="宋体"/>
                <w:kern w:val="2"/>
                <w:sz w:val="21"/>
                <w:szCs w:val="21"/>
                <w:highlight w:val="none"/>
                <w:lang w:val="en-US" w:eastAsia="zh-CN" w:bidi="ar-SA"/>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〖100〗亿元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22</w:t>
            </w:r>
            <w:r>
              <w:rPr>
                <w:rFonts w:hint="eastAsia" w:ascii="宋体" w:hAnsi="宋体" w:cs="宋体"/>
                <w:color w:val="000000"/>
                <w:sz w:val="21"/>
                <w:szCs w:val="21"/>
                <w:highlight w:val="none"/>
              </w:rPr>
              <w:t>〗日-〖</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28</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29</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无固定期限</w:t>
            </w:r>
            <w:r>
              <w:rPr>
                <w:rFonts w:hint="eastAsia" w:ascii="宋体" w:hAnsi="宋体" w:cs="宋体"/>
                <w:color w:val="000000"/>
                <w:sz w:val="21"/>
                <w:szCs w:val="21"/>
                <w:highlight w:val="none"/>
              </w:rPr>
              <w:t>（实际理财期限受制于管理人提前终止权等条款）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封闭期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eastAsia="宋体" w:cs="宋体"/>
                <w:color w:val="000000"/>
                <w:kern w:val="2"/>
                <w:sz w:val="21"/>
                <w:szCs w:val="21"/>
                <w:highlight w:val="none"/>
                <w:lang w:val="en-US" w:eastAsia="zh-CN" w:bidi="ar-S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〖A份额〗起点〖1〗元整，超过认购/申购起点部分，应为〖1〗元的整数倍</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〖B份额〗起点〖20〗万元整，超过认购/申购起点部分，应为〖1〗元的整数倍</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〖C份额〗起点〖1〗元整，超过认购/申购起点部分，应为〖1〗元的整数倍</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投资者全部赎回不再持有本理财计划份额后再次申购，视同首次申购处理。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〖2〗千万元</w:t>
            </w:r>
            <w:r>
              <w:rPr>
                <w:rFonts w:hint="eastAsia" w:ascii="宋体" w:hAnsi="宋体" w:cs="宋体"/>
                <w:color w:val="000000"/>
                <w:sz w:val="21"/>
                <w:szCs w:val="21"/>
                <w:highlight w:val="none"/>
              </w:rPr>
              <w:t>，则管理人可宣布本理财计划不成立并在原定理财计划成立日后</w:t>
            </w:r>
            <w:r>
              <w:rPr>
                <w:rFonts w:hint="eastAsia" w:ascii="宋体" w:hAnsi="宋体" w:cs="宋体"/>
                <w:sz w:val="21"/>
                <w:szCs w:val="21"/>
                <w:highlight w:val="none"/>
              </w:rPr>
              <w:t>〖</w:t>
            </w:r>
            <w:r>
              <w:rPr>
                <w:rFonts w:hint="eastAsia" w:ascii="宋体" w:hAnsi="宋体" w:cs="宋体"/>
                <w:color w:val="000000"/>
                <w:sz w:val="21"/>
                <w:szCs w:val="21"/>
                <w:highlight w:val="none"/>
              </w:rPr>
              <w:t>2</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rPr>
              <w:t>理财计划</w:t>
            </w:r>
            <w:r>
              <w:rPr>
                <w:rFonts w:hint="eastAsia" w:ascii="宋体" w:hAnsi="宋体" w:cs="宋体"/>
                <w:sz w:val="21"/>
                <w:szCs w:val="21"/>
                <w:highlight w:val="none"/>
              </w:rPr>
              <w:t>〖</w:t>
            </w:r>
            <w:r>
              <w:rPr>
                <w:rFonts w:hint="eastAsia" w:ascii="宋体" w:hAnsi="宋体" w:eastAsia="宋体" w:cs="宋体"/>
                <w:kern w:val="2"/>
                <w:sz w:val="21"/>
                <w:szCs w:val="21"/>
                <w:highlight w:val="none"/>
                <w:lang w:val="en-US" w:eastAsia="zh-CN" w:bidi="ar-SA"/>
              </w:rPr>
              <w:t>每季</w:t>
            </w:r>
            <w:r>
              <w:rPr>
                <w:rFonts w:hint="eastAsia" w:ascii="宋体" w:hAnsi="宋体" w:cs="宋体"/>
                <w:sz w:val="21"/>
                <w:szCs w:val="21"/>
                <w:highlight w:val="none"/>
              </w:rPr>
              <w:t>〗</w:t>
            </w:r>
            <w:r>
              <w:rPr>
                <w:rFonts w:hint="eastAsia" w:ascii="宋体" w:hAnsi="宋体" w:cs="宋体"/>
                <w:sz w:val="21"/>
                <w:szCs w:val="21"/>
                <w:highlight w:val="none"/>
                <w:lang w:val="en-US" w:eastAsia="zh-CN"/>
              </w:rPr>
              <w:t>开放一次，</w:t>
            </w:r>
            <w:r>
              <w:rPr>
                <w:rFonts w:hint="eastAsia" w:ascii="宋体" w:hAnsi="宋体" w:cs="宋体"/>
                <w:sz w:val="21"/>
                <w:szCs w:val="21"/>
                <w:highlight w:val="none"/>
              </w:rPr>
              <w:t>具体开放期将以管理人公告为准。</w:t>
            </w:r>
            <w:r>
              <w:rPr>
                <w:rFonts w:hint="eastAsia" w:ascii="宋体" w:hAnsi="宋体" w:cs="宋体"/>
                <w:sz w:val="21"/>
                <w:szCs w:val="21"/>
                <w:highlight w:val="none"/>
                <w:lang w:val="en-US" w:eastAsia="zh-CN"/>
              </w:rPr>
              <w:t>首个开放期为</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22</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至</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28</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首个开放确认日为</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29</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如遇开放确认日为非工作日，则顺延至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FF0000"/>
                <w:sz w:val="21"/>
                <w:szCs w:val="21"/>
                <w:highlight w:val="none"/>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申请将在确认日，即开放期后的第〖1〗个〖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进行确认。</w:t>
            </w:r>
            <w:r>
              <w:rPr>
                <w:rFonts w:hint="eastAsia" w:ascii="宋体" w:hAnsi="宋体" w:cs="宋体"/>
                <w:color w:val="000000"/>
                <w:sz w:val="21"/>
                <w:szCs w:val="21"/>
                <w:highlight w:val="none"/>
              </w:rPr>
              <w:t>确认日如遇非〖</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〗，则顺延至〖下一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w:t>
            </w:r>
            <w:r>
              <w:rPr>
                <w:rFonts w:hint="eastAsia" w:ascii="宋体" w:hAnsi="宋体" w:cs="宋体"/>
                <w:sz w:val="21"/>
                <w:szCs w:val="21"/>
                <w:highlight w:val="none"/>
              </w:rPr>
              <w:t>〖</w:t>
            </w:r>
            <w:r>
              <w:rPr>
                <w:rFonts w:hint="eastAsia" w:ascii="宋体" w:hAnsi="宋体" w:eastAsia="宋体" w:cs="宋体"/>
                <w:kern w:val="2"/>
                <w:sz w:val="21"/>
                <w:szCs w:val="21"/>
                <w:highlight w:val="none"/>
                <w:lang w:val="en-US" w:eastAsia="zh-CN" w:bidi="ar-SA"/>
              </w:rPr>
              <w:t>工作日</w:t>
            </w:r>
            <w:r>
              <w:rPr>
                <w:rFonts w:hint="eastAsia" w:ascii="宋体" w:hAnsi="宋体" w:cs="宋体"/>
                <w:sz w:val="21"/>
                <w:szCs w:val="21"/>
                <w:highlight w:val="none"/>
              </w:rPr>
              <w:t>〗</w:t>
            </w:r>
            <w:r>
              <w:rPr>
                <w:rFonts w:hint="eastAsia" w:ascii="宋体" w:hAnsi="宋体" w:cs="宋体"/>
                <w:color w:val="000000"/>
                <w:sz w:val="21"/>
                <w:szCs w:val="21"/>
                <w:highlight w:val="none"/>
              </w:rPr>
              <w:t>上午〖9:00〗至下午〖17:00〗。确认日如遇非</w:t>
            </w:r>
            <w:r>
              <w:rPr>
                <w:rFonts w:hint="eastAsia" w:ascii="宋体" w:hAnsi="宋体" w:cs="宋体"/>
                <w:sz w:val="21"/>
                <w:szCs w:val="21"/>
                <w:highlight w:val="none"/>
              </w:rPr>
              <w:t>〖</w:t>
            </w:r>
            <w:r>
              <w:rPr>
                <w:rFonts w:hint="eastAsia" w:ascii="宋体" w:hAnsi="宋体" w:eastAsia="宋体" w:cs="宋体"/>
                <w:kern w:val="2"/>
                <w:sz w:val="21"/>
                <w:szCs w:val="21"/>
                <w:highlight w:val="none"/>
                <w:lang w:val="en-US" w:eastAsia="zh-CN" w:bidi="ar-SA"/>
              </w:rPr>
              <w:t>工作日</w:t>
            </w:r>
            <w:r>
              <w:rPr>
                <w:rFonts w:hint="eastAsia" w:ascii="宋体" w:hAnsi="宋体" w:cs="宋体"/>
                <w:sz w:val="21"/>
                <w:szCs w:val="21"/>
                <w:highlight w:val="none"/>
              </w:rPr>
              <w:t>〗</w:t>
            </w:r>
            <w:r>
              <w:rPr>
                <w:rFonts w:hint="eastAsia" w:ascii="宋体" w:hAnsi="宋体" w:cs="宋体"/>
                <w:color w:val="000000"/>
                <w:sz w:val="21"/>
                <w:szCs w:val="21"/>
                <w:highlight w:val="none"/>
              </w:rPr>
              <w:t>，则顺延至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3.认购/开放期内提交的交易申请，在理财计划成立日/确认日前一日下午</w:t>
            </w:r>
            <w:r>
              <w:rPr>
                <w:rFonts w:hint="eastAsia" w:ascii="宋体" w:hAnsi="宋体" w:cs="宋体"/>
                <w:color w:val="000000"/>
                <w:sz w:val="21"/>
                <w:szCs w:val="21"/>
                <w:highlight w:val="none"/>
              </w:rPr>
              <w:t>〖17:00〗</w:t>
            </w:r>
            <w:r>
              <w:rPr>
                <w:rFonts w:hint="eastAsia" w:ascii="宋体" w:hAnsi="宋体" w:cs="宋体"/>
                <w:color w:val="000000"/>
                <w:kern w:val="0"/>
                <w:sz w:val="21"/>
                <w:szCs w:val="21"/>
                <w:highlight w:val="none"/>
                <w:lang w:val="en-US" w:eastAsia="zh-CN"/>
              </w:rPr>
              <w:t>之前可以撤单。</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5.如投资者在一个投资周期开放期内未提出赎回申请，则该投资周期终止后，投资者的理财资金继续进入下一个投资周期进行理财运作。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000000"/>
                <w:sz w:val="21"/>
                <w:szCs w:val="21"/>
                <w:highlight w:val="none"/>
              </w:rPr>
            </w:pPr>
            <w:r>
              <w:rPr>
                <w:rFonts w:hint="eastAsia" w:ascii="宋体" w:hAnsi="宋体" w:cs="宋体"/>
                <w:color w:val="000000"/>
                <w:sz w:val="21"/>
                <w:szCs w:val="21"/>
                <w:highlight w:val="none"/>
                <w:lang w:val="en-US" w:eastAsia="zh-CN"/>
              </w:rPr>
              <w:t>1.单户持有份额</w:t>
            </w:r>
            <w:r>
              <w:rPr>
                <w:rFonts w:hint="eastAsia" w:ascii="宋体" w:hAnsi="宋体" w:cs="宋体"/>
                <w:color w:val="000000"/>
                <w:sz w:val="21"/>
                <w:szCs w:val="21"/>
                <w:highlight w:val="none"/>
              </w:rPr>
              <w:t>〖</w:t>
            </w:r>
            <w:r>
              <w:rPr>
                <w:rFonts w:hint="eastAsia"/>
                <w:color w:val="000000"/>
                <w:lang w:eastAsia="zh"/>
              </w:rPr>
              <w:t>b</w:t>
            </w:r>
            <w:r>
              <w:rPr>
                <w:rFonts w:hint="eastAsia" w:ascii="宋体" w:hAnsi="宋体" w:cs="宋体"/>
                <w:color w:val="000000"/>
                <w:sz w:val="21"/>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a.可以超过理财计划总份额的50%，但理财计划不得向个人投资者公开销售。</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b.不得超过理财计划总份额的50%。</w:t>
            </w:r>
          </w:p>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kern w:val="2"/>
                <w:sz w:val="21"/>
                <w:szCs w:val="21"/>
                <w:highlight w:val="none"/>
                <w:lang w:val="en-US" w:eastAsia="zh" w:bidi="ar-SA"/>
              </w:rPr>
            </w:pPr>
            <w:r>
              <w:rPr>
                <w:rFonts w:hint="eastAsia" w:ascii="宋体" w:hAnsi="宋体" w:cs="宋体"/>
                <w:color w:val="000000"/>
                <w:sz w:val="21"/>
                <w:szCs w:val="21"/>
                <w:highlight w:val="none"/>
                <w:lang w:val="en-US" w:eastAsia="zh-CN"/>
              </w:rPr>
              <w:t>2.</w:t>
            </w:r>
            <w:r>
              <w:rPr>
                <w:rFonts w:hint="eastAsia" w:ascii="宋体" w:hAnsi="宋体" w:eastAsia="宋体" w:cs="宋体"/>
                <w:color w:val="000000"/>
                <w:kern w:val="2"/>
                <w:sz w:val="21"/>
                <w:szCs w:val="21"/>
                <w:highlight w:val="none"/>
                <w:lang w:val="en-US" w:eastAsia="zh-CN" w:bidi="ar-SA"/>
              </w:rPr>
              <w:t>〖A份额〗单户持有上限为〖1〗亿元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〖B份额〗单户持有上限为〖1〗亿元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〖C份额〗单户持有上限为〖1〗亿元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w:t>
            </w:r>
            <w:r>
              <w:rPr>
                <w:rFonts w:hint="eastAsia" w:ascii="宋体" w:hAnsi="宋体" w:cs="宋体"/>
                <w:bCs/>
                <w:color w:val="000000"/>
                <w:sz w:val="21"/>
                <w:szCs w:val="21"/>
                <w:highlight w:val="none"/>
              </w:rPr>
              <w:t>÷</w:t>
            </w:r>
            <w:r>
              <w:rPr>
                <w:rFonts w:hint="eastAsia" w:ascii="宋体" w:hAnsi="宋体" w:cs="宋体"/>
                <w:bCs/>
                <w:sz w:val="21"/>
                <w:szCs w:val="21"/>
                <w:highlight w:val="none"/>
              </w:rPr>
              <w:t>确认日</w:t>
            </w:r>
            <w:r>
              <w:rPr>
                <w:rFonts w:hint="eastAsia" w:ascii="宋体" w:hAnsi="宋体" w:cs="宋体"/>
                <w:bCs/>
                <w:sz w:val="21"/>
                <w:szCs w:val="21"/>
                <w:highlight w:val="none"/>
                <w:lang w:eastAsia="zh-CN"/>
              </w:rPr>
              <w:t>前一</w:t>
            </w:r>
            <w:r>
              <w:rPr>
                <w:rFonts w:hint="eastAsia" w:ascii="宋体" w:hAnsi="宋体" w:cs="宋体"/>
                <w:sz w:val="21"/>
                <w:szCs w:val="21"/>
                <w:highlight w:val="none"/>
              </w:rPr>
              <w:t>〖</w:t>
            </w:r>
            <w:r>
              <w:rPr>
                <w:rFonts w:hint="eastAsia" w:ascii="宋体" w:hAnsi="宋体" w:eastAsia="宋体" w:cs="宋体"/>
                <w:kern w:val="2"/>
                <w:sz w:val="21"/>
                <w:szCs w:val="21"/>
                <w:highlight w:val="none"/>
                <w:lang w:val="en-US" w:eastAsia="zh-CN" w:bidi="ar-SA"/>
              </w:rPr>
              <w:t>工作日</w:t>
            </w:r>
            <w:r>
              <w:rPr>
                <w:rFonts w:hint="eastAsia" w:ascii="宋体" w:hAnsi="宋体" w:cs="宋体"/>
                <w:sz w:val="21"/>
                <w:szCs w:val="21"/>
                <w:highlight w:val="none"/>
              </w:rPr>
              <w:t>〗</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w:t>
            </w:r>
            <w:r>
              <w:rPr>
                <w:rFonts w:hint="eastAsia" w:ascii="宋体" w:hAnsi="宋体" w:cs="宋体"/>
                <w:sz w:val="21"/>
                <w:szCs w:val="21"/>
                <w:highlight w:val="none"/>
              </w:rPr>
              <w:t>〖</w:t>
            </w:r>
            <w:r>
              <w:rPr>
                <w:rFonts w:hint="eastAsia" w:ascii="宋体" w:hAnsi="宋体" w:eastAsia="宋体" w:cs="宋体"/>
                <w:kern w:val="2"/>
                <w:sz w:val="21"/>
                <w:szCs w:val="21"/>
                <w:highlight w:val="none"/>
                <w:lang w:val="en-US" w:eastAsia="zh-CN" w:bidi="ar-SA"/>
              </w:rPr>
              <w:t>工作日</w:t>
            </w:r>
            <w:r>
              <w:rPr>
                <w:rFonts w:hint="eastAsia" w:ascii="宋体" w:hAnsi="宋体" w:cs="宋体"/>
                <w:sz w:val="21"/>
                <w:szCs w:val="21"/>
                <w:highlight w:val="none"/>
              </w:rPr>
              <w:t>〗</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 w:val="21"/>
                <w:szCs w:val="21"/>
                <w:highlight w:val="none"/>
                <w:lang w:eastAsia="zh"/>
              </w:rPr>
            </w:pPr>
            <w:r>
              <w:rPr>
                <w:rFonts w:hint="eastAsia" w:ascii="宋体" w:hAnsi="宋体" w:cs="宋体"/>
                <w:color w:val="000000"/>
                <w:sz w:val="21"/>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保留小数点后四位</w:t>
            </w: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四位后去尾</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eastAsia="宋体" w:cs="宋体"/>
                <w:color w:val="000000"/>
                <w:kern w:val="2"/>
                <w:sz w:val="21"/>
                <w:szCs w:val="21"/>
                <w:highlight w:val="none"/>
                <w:lang w:val="en-US" w:eastAsia="zh-CN" w:bidi="ar-SA"/>
              </w:rPr>
              <w:t>〖确认日当日〗</w:t>
            </w:r>
            <w:r>
              <w:rPr>
                <w:rFonts w:hint="eastAsia" w:ascii="宋体" w:hAnsi="宋体" w:cs="宋体"/>
                <w:color w:val="000000"/>
                <w:sz w:val="21"/>
                <w:szCs w:val="21"/>
                <w:highlight w:val="none"/>
              </w:rPr>
              <w:t>，最晚</w:t>
            </w:r>
            <w:r>
              <w:rPr>
                <w:rFonts w:hint="eastAsia" w:ascii="宋体" w:hAnsi="宋体" w:eastAsia="宋体" w:cs="宋体"/>
                <w:color w:val="000000"/>
                <w:kern w:val="2"/>
                <w:sz w:val="21"/>
                <w:szCs w:val="21"/>
                <w:highlight w:val="none"/>
                <w:lang w:val="en-US" w:eastAsia="zh-CN" w:bidi="ar-SA"/>
              </w:rPr>
              <w:t>确认日后〖2〗个〖工作日〗内</w:t>
            </w:r>
            <w:r>
              <w:rPr>
                <w:rFonts w:hint="eastAsia" w:ascii="宋体" w:hAnsi="宋体" w:cs="宋体"/>
                <w:color w:val="000000"/>
                <w:sz w:val="21"/>
                <w:szCs w:val="21"/>
                <w:highlight w:val="none"/>
              </w:rPr>
              <w:t>（遇节假日顺延）支付。如遇资金在途或法定工作日调整，实际资金到账日以公告为准。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w:t>
            </w:r>
            <w:r>
              <w:rPr>
                <w:rFonts w:hint="eastAsia" w:ascii="宋体" w:hAnsi="宋体" w:cs="宋体"/>
                <w:color w:val="000000"/>
                <w:sz w:val="21"/>
                <w:szCs w:val="21"/>
                <w:highlight w:val="none"/>
                <w:lang w:eastAsia="zh-CN"/>
              </w:rPr>
              <w:t>确认</w:t>
            </w:r>
            <w:r>
              <w:rPr>
                <w:rFonts w:hint="eastAsia" w:ascii="宋体" w:hAnsi="宋体" w:cs="宋体"/>
                <w:color w:val="000000"/>
                <w:sz w:val="21"/>
                <w:szCs w:val="21"/>
                <w:highlight w:val="none"/>
              </w:rPr>
              <w:t>后，最快</w:t>
            </w:r>
            <w:r>
              <w:rPr>
                <w:rFonts w:hint="eastAsia" w:ascii="宋体" w:hAnsi="宋体" w:eastAsia="宋体" w:cs="宋体"/>
                <w:kern w:val="2"/>
                <w:sz w:val="21"/>
                <w:szCs w:val="21"/>
                <w:lang w:val="en-US" w:eastAsia="zh-CN" w:bidi="ar"/>
              </w:rPr>
              <w:t>〖1〗</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cs="宋体"/>
                <w:color w:val="000000"/>
                <w:sz w:val="21"/>
                <w:szCs w:val="21"/>
                <w:highlight w:val="none"/>
              </w:rPr>
              <w:t>，最晚</w:t>
            </w:r>
            <w:r>
              <w:rPr>
                <w:rFonts w:hint="eastAsia" w:ascii="宋体" w:hAnsi="宋体" w:eastAsia="宋体" w:cs="宋体"/>
                <w:kern w:val="2"/>
                <w:sz w:val="21"/>
                <w:szCs w:val="21"/>
                <w:lang w:val="en-US" w:eastAsia="zh-CN" w:bidi="ar"/>
              </w:rPr>
              <w:t>〖3〗</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cs="宋体"/>
                <w:color w:val="000000"/>
                <w:sz w:val="21"/>
                <w:szCs w:val="21"/>
                <w:highlight w:val="none"/>
              </w:rPr>
              <w:t>内（遇节假日顺延）支付。如遇资金在途或法定工作日调整，实际资金到账日以公告为准。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在满足收益分配基准日理财计划份额净值大于1元的情况下，管理人将</w:t>
            </w:r>
            <w:r>
              <w:rPr>
                <w:rFonts w:hint="eastAsia" w:ascii="宋体" w:hAnsi="宋体" w:cs="宋体"/>
                <w:sz w:val="21"/>
                <w:szCs w:val="21"/>
                <w:highlight w:val="none"/>
              </w:rPr>
              <w:t>〖</w:t>
            </w:r>
            <w:r>
              <w:rPr>
                <w:rFonts w:hint="eastAsia" w:ascii="宋体" w:hAnsi="宋体" w:cs="宋体"/>
                <w:color w:val="000000"/>
                <w:sz w:val="21"/>
                <w:szCs w:val="21"/>
                <w:highlight w:val="none"/>
                <w:lang w:eastAsia="zh"/>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i w:val="0"/>
                <w:caps w:val="0"/>
                <w:strike w:val="0"/>
                <w:dstrike w:val="0"/>
                <w:shadow w:val="0"/>
                <w:emboss w:val="0"/>
                <w:imprint w:val="0"/>
                <w:color w:val="auto"/>
                <w:kern w:val="2"/>
                <w:position w:val="-1"/>
                <w:sz w:val="21"/>
                <w:u w:val="none"/>
                <w:vertAlign w:val="baseline"/>
              </w:rPr>
              <w:t>本理财计划〖A份额〗业绩比较基准为〖中国人民银行公布的1年期定期存款利率〗（年化）。</w:t>
            </w:r>
            <w:r>
              <w:rPr>
                <w:rFonts w:hint="default" w:ascii="宋体" w:hAnsi="宋体" w:eastAsia="宋体" w:cs="宋体"/>
                <w:b/>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i w:val="0"/>
                <w:caps w:val="0"/>
                <w:strike w:val="0"/>
                <w:dstrike w:val="0"/>
                <w:shadow w:val="0"/>
                <w:emboss w:val="0"/>
                <w:imprint w:val="0"/>
                <w:color w:val="auto"/>
                <w:kern w:val="2"/>
                <w:position w:val="-1"/>
                <w:sz w:val="21"/>
                <w:u w:val="none"/>
                <w:vertAlign w:val="baseline"/>
              </w:rPr>
              <w:t>本理财计划〖B份额〗业绩比较基准为〖中国人民银行公布的1年期定期存款利率〗（年化）。</w:t>
            </w:r>
            <w:r>
              <w:rPr>
                <w:rFonts w:hint="default" w:ascii="宋体" w:hAnsi="宋体" w:eastAsia="宋体" w:cs="宋体"/>
                <w:b/>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i w:val="0"/>
                <w:caps w:val="0"/>
                <w:strike w:val="0"/>
                <w:dstrike w:val="0"/>
                <w:shadow w:val="0"/>
                <w:emboss w:val="0"/>
                <w:imprint w:val="0"/>
                <w:color w:val="auto"/>
                <w:kern w:val="2"/>
                <w:position w:val="-1"/>
                <w:sz w:val="21"/>
                <w:u w:val="none"/>
                <w:vertAlign w:val="baseline"/>
              </w:rPr>
              <w:t>本理财计划〖C份额〗业绩比较基准为〖中国人民银行公布的1年期定期存款利率〗（年化）。</w:t>
            </w:r>
          </w:p>
          <w:p>
            <w:pPr>
              <w:keepNext w:val="0"/>
              <w:keepLines w:val="0"/>
              <w:widowControl w:val="0"/>
              <w:suppressLineNumbers w:val="0"/>
              <w:spacing w:before="0" w:beforeAutospacing="0" w:after="0" w:afterAutospacing="0" w:line="360" w:lineRule="auto"/>
              <w:ind w:left="0" w:right="0"/>
              <w:jc w:val="both"/>
              <w:rPr>
                <w:rFonts w:hint="eastAsia" w:ascii="宋体" w:hAnsi="宋体" w:cs="宋体"/>
                <w:b/>
                <w:bCs/>
                <w:color w:val="FF0000"/>
                <w:sz w:val="21"/>
                <w:szCs w:val="21"/>
                <w:highlight w:val="none"/>
              </w:rPr>
            </w:pPr>
            <w:r>
              <w:rPr>
                <w:rFonts w:hint="eastAsia" w:ascii="宋体" w:hAnsi="宋体" w:cs="宋体"/>
                <w:b/>
                <w:bCs/>
                <w:color w:val="000000"/>
                <w:sz w:val="21"/>
                <w:szCs w:val="21"/>
                <w:highlight w:val="none"/>
              </w:rPr>
              <w:t>业绩基准测算依据：</w:t>
            </w:r>
            <w:r>
              <w:rPr>
                <w:rFonts w:hint="eastAsia" w:ascii="宋体" w:hAnsi="宋体" w:eastAsia="宋体" w:cs="宋体"/>
                <w:b/>
                <w:bCs/>
                <w:kern w:val="2"/>
                <w:sz w:val="21"/>
                <w:szCs w:val="21"/>
                <w:lang w:val="en-US" w:eastAsia="zh-CN" w:bidi="ar"/>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r>
              <w:rPr>
                <w:rFonts w:hint="eastAsia" w:ascii="宋体" w:hAnsi="宋体" w:cs="宋体"/>
                <w:b/>
                <w:bCs/>
                <w:color w:val="000000"/>
                <w:sz w:val="21"/>
                <w:szCs w:val="21"/>
                <w:highlight w:val="none"/>
              </w:rPr>
              <w:t>。</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color w:val="000000"/>
                <w:kern w:val="0"/>
                <w:sz w:val="21"/>
                <w:szCs w:val="21"/>
                <w:highlight w:val="none"/>
                <w:lang w:val="en-US" w:eastAsia="zh-CN"/>
              </w:rPr>
              <w:t>2</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本理财计划为净值型理财产品，其业绩表现将随市场波动具有不确定性。本公司提醒投资者关注，业绩比较基准</w:t>
            </w:r>
            <w:r>
              <w:rPr>
                <w:rFonts w:hint="eastAsia" w:ascii="宋体" w:hAnsi="宋体" w:cs="宋体"/>
                <w:b/>
                <w:sz w:val="21"/>
                <w:szCs w:val="21"/>
                <w:highlight w:val="none"/>
                <w:lang w:eastAsia="zh-CN"/>
              </w:rPr>
              <w:t>不是预期收益率，</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〖B份额〗收取年化〖0.25%〗的销售服务费, 〖C份额〗收取年化〖0.20%〗的销售服务费。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eastAsia="宋体" w:cs="宋体"/>
                <w:kern w:val="2"/>
                <w:sz w:val="21"/>
                <w:szCs w:val="21"/>
                <w:highlight w:val="none"/>
                <w:lang w:val="en-US" w:eastAsia="zh-CN" w:bidi="ar-SA"/>
              </w:rPr>
              <w:t>0.025</w:t>
            </w:r>
            <w:r>
              <w:rPr>
                <w:rFonts w:hint="eastAsia" w:ascii="宋体" w:hAnsi="宋体" w:cs="宋体"/>
                <w:sz w:val="21"/>
                <w:szCs w:val="21"/>
                <w:highlight w:val="none"/>
                <w:lang w:eastAsia="zh"/>
              </w:rPr>
              <w:t>%</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〖A份额〗收取年化〖0.30%〗的固定管理费, 〖B份额〗收取年化〖0.30%〗的固定管理费, 〖C份额〗收取年化〖0.30%〗的固定管理费。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管理人根据理财计划投资情况计算浮动管理费，</w:t>
            </w:r>
            <w:r>
              <w:rPr>
                <w:rFonts w:hint="eastAsia" w:ascii="宋体" w:hAnsi="宋体" w:cs="宋体"/>
                <w:color w:val="000000"/>
                <w:sz w:val="21"/>
                <w:szCs w:val="21"/>
              </w:rPr>
              <w:t>〖A份额〗客户份额投资周期的〖折合年化收益率超过</w:t>
            </w:r>
            <w:r>
              <w:rPr>
                <w:rFonts w:hint="eastAsia" w:ascii="宋体" w:hAnsi="宋体" w:cs="宋体"/>
                <w:color w:val="000000"/>
                <w:sz w:val="21"/>
                <w:szCs w:val="21"/>
                <w:lang w:val="en-US" w:eastAsia="zh-CN"/>
              </w:rPr>
              <w:t>2.25</w:t>
            </w:r>
            <w:r>
              <w:rPr>
                <w:rFonts w:hint="eastAsia" w:ascii="宋体" w:hAnsi="宋体" w:cs="宋体"/>
                <w:color w:val="000000"/>
                <w:sz w:val="21"/>
                <w:szCs w:val="21"/>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val="0"/>
                <w:bCs/>
                <w:color w:val="000000"/>
                <w:sz w:val="21"/>
                <w:szCs w:val="21"/>
                <w:highlight w:val="none"/>
                <w:lang w:eastAsia="zh-CN"/>
              </w:rPr>
              <w:t>；</w:t>
            </w:r>
            <w:r>
              <w:rPr>
                <w:rFonts w:hint="eastAsia" w:ascii="宋体" w:hAnsi="宋体" w:cs="宋体"/>
                <w:color w:val="000000"/>
                <w:sz w:val="21"/>
                <w:szCs w:val="21"/>
              </w:rPr>
              <w:t>〖</w:t>
            </w:r>
            <w:r>
              <w:rPr>
                <w:rFonts w:hint="eastAsia" w:ascii="宋体" w:hAnsi="宋体" w:cs="宋体"/>
                <w:color w:val="000000"/>
                <w:sz w:val="21"/>
                <w:szCs w:val="21"/>
                <w:lang w:val="en-US" w:eastAsia="zh-CN"/>
              </w:rPr>
              <w:t>B</w:t>
            </w:r>
            <w:r>
              <w:rPr>
                <w:rFonts w:hint="eastAsia" w:ascii="宋体" w:hAnsi="宋体" w:cs="宋体"/>
                <w:color w:val="000000"/>
                <w:sz w:val="21"/>
                <w:szCs w:val="21"/>
              </w:rPr>
              <w:t>份额〗客户份额投资周期的〖折合年化收益率超过</w:t>
            </w:r>
            <w:r>
              <w:rPr>
                <w:rFonts w:hint="eastAsia" w:ascii="宋体" w:hAnsi="宋体" w:cs="宋体"/>
                <w:color w:val="000000"/>
                <w:sz w:val="21"/>
                <w:szCs w:val="21"/>
                <w:lang w:val="en-US" w:eastAsia="zh-CN"/>
              </w:rPr>
              <w:t>2.30</w:t>
            </w:r>
            <w:r>
              <w:rPr>
                <w:rFonts w:hint="eastAsia" w:ascii="宋体" w:hAnsi="宋体" w:cs="宋体"/>
                <w:color w:val="000000"/>
                <w:sz w:val="21"/>
                <w:szCs w:val="21"/>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val="0"/>
                <w:bCs/>
                <w:color w:val="000000"/>
                <w:sz w:val="21"/>
                <w:szCs w:val="21"/>
                <w:highlight w:val="none"/>
                <w:lang w:eastAsia="zh-CN"/>
              </w:rPr>
              <w:t>；</w:t>
            </w:r>
            <w:r>
              <w:rPr>
                <w:rFonts w:hint="eastAsia" w:ascii="宋体" w:hAnsi="宋体" w:cs="宋体"/>
                <w:color w:val="000000"/>
                <w:sz w:val="21"/>
                <w:szCs w:val="21"/>
              </w:rPr>
              <w:t>〖</w:t>
            </w:r>
            <w:r>
              <w:rPr>
                <w:rFonts w:hint="eastAsia" w:ascii="宋体" w:hAnsi="宋体" w:cs="宋体"/>
                <w:color w:val="000000"/>
                <w:sz w:val="21"/>
                <w:szCs w:val="21"/>
                <w:lang w:val="en-US" w:eastAsia="zh-CN"/>
              </w:rPr>
              <w:t>C</w:t>
            </w:r>
            <w:r>
              <w:rPr>
                <w:rFonts w:hint="eastAsia" w:ascii="宋体" w:hAnsi="宋体" w:cs="宋体"/>
                <w:color w:val="000000"/>
                <w:sz w:val="21"/>
                <w:szCs w:val="21"/>
              </w:rPr>
              <w:t>份额〗客户份额投资周期的〖折合年化收益率超过</w:t>
            </w:r>
            <w:r>
              <w:rPr>
                <w:rFonts w:hint="eastAsia" w:ascii="宋体" w:hAnsi="宋体" w:cs="宋体"/>
                <w:color w:val="000000"/>
                <w:sz w:val="21"/>
                <w:szCs w:val="21"/>
                <w:lang w:val="en-US" w:eastAsia="zh-CN"/>
              </w:rPr>
              <w:t>2.35</w:t>
            </w:r>
            <w:r>
              <w:rPr>
                <w:rFonts w:hint="eastAsia" w:ascii="宋体" w:hAnsi="宋体" w:cs="宋体"/>
                <w:color w:val="000000"/>
                <w:sz w:val="21"/>
                <w:szCs w:val="21"/>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color w:val="00000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 w:val="21"/>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1"/>
        <w:rPr>
          <w:rFonts w:hint="eastAsia" w:ascii="宋体" w:hAnsi="宋体" w:cs="宋体"/>
          <w:b/>
          <w:color w:val="000000"/>
          <w:sz w:val="24"/>
          <w:highlight w:val="none"/>
        </w:rPr>
      </w:pPr>
      <w:r>
        <w:rPr>
          <w:rFonts w:hint="eastAsia" w:ascii="宋体" w:hAnsi="宋体" w:eastAsia="宋体" w:cs="宋体"/>
          <w:bCs/>
          <w:color w:val="auto"/>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auto"/>
          <w:kern w:val="2"/>
          <w:position w:val="-1"/>
          <w:sz w:val="24"/>
          <w:u w:val="none"/>
          <w:vertAlign w:val="baseline"/>
        </w:rPr>
        <w:t>1. 固定收益类资产：包括但不限于各类债券、存款、货币市场金融工具、债券基金、质押式及买断式回购，其他符合监管要求的固定收益类资产及资产管理产品。</w:t>
      </w:r>
      <w:r>
        <w:rPr>
          <w:rFonts w:ascii="宋体" w:hAnsi="宋体" w:eastAsia="宋体" w:cs="宋体"/>
          <w:b w:val="0"/>
          <w:i w:val="0"/>
          <w:caps w:val="0"/>
          <w:strike w:val="0"/>
          <w:dstrike w:val="0"/>
          <w:shadow w:val="0"/>
          <w:emboss w:val="0"/>
          <w:imprint w:val="0"/>
          <w:color w:val="auto"/>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auto"/>
          <w:kern w:val="2"/>
          <w:position w:val="-1"/>
          <w:sz w:val="24"/>
          <w:u w:val="none"/>
          <w:vertAlign w:val="baseline"/>
        </w:rPr>
        <w:t xml:space="preserve">    2. 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eastAsia="zh-CN"/>
        </w:rPr>
        <w:t>总</w:t>
      </w:r>
      <w:r>
        <w:rPr>
          <w:rFonts w:hint="eastAsia" w:ascii="宋体" w:hAnsi="宋体" w:cs="宋体"/>
          <w:bCs/>
          <w:sz w:val="24"/>
          <w:highlight w:val="none"/>
        </w:rPr>
        <w:t>资产的配置比例如下：</w:t>
      </w:r>
    </w:p>
    <w:tbl>
      <w:tblPr>
        <w:tblStyle w:val="1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4500"/>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Align w:val="center"/>
          </w:tcPr>
          <w:p>
            <w:pPr>
              <w:keepNext w:val="0"/>
              <w:keepLines w:val="0"/>
              <w:suppressLineNumbers w:val="0"/>
              <w:spacing w:before="0" w:beforeAutospacing="0" w:after="0" w:afterAutospacing="0"/>
              <w:ind w:left="0" w:right="0"/>
              <w:jc w:val="center"/>
              <w:textAlignment w:val="center"/>
              <w:rPr>
                <w:rFonts w:hint="default"/>
              </w:rPr>
            </w:pPr>
          </w:p>
        </w:tc>
        <w:tc>
          <w:tcPr>
            <w:tcW w:w="4500" w:type="dxa"/>
            <w:vAlign w:val="center"/>
          </w:tcPr>
          <w:p>
            <w:pPr>
              <w:keepNext w:val="0"/>
              <w:keepLines w:val="0"/>
              <w:suppressLineNumbers w:val="0"/>
              <w:spacing w:before="0" w:beforeAutospacing="0" w:after="0" w:afterAutospacing="0"/>
              <w:ind w:left="0" w:right="0"/>
              <w:jc w:val="center"/>
              <w:textAlignment w:val="center"/>
              <w:rPr>
                <w:rFonts w:hint="default"/>
              </w:rPr>
            </w:pPr>
            <w:r>
              <w:rPr>
                <w:rFonts w:hint="default" w:ascii="宋体" w:hAnsi="宋体" w:eastAsia="宋体" w:cs="宋体"/>
              </w:rPr>
              <w:t>投资资产</w:t>
            </w:r>
          </w:p>
        </w:tc>
        <w:tc>
          <w:tcPr>
            <w:tcW w:w="2000" w:type="dxa"/>
            <w:vAlign w:val="center"/>
          </w:tcPr>
          <w:p>
            <w:pPr>
              <w:keepNext w:val="0"/>
              <w:keepLines w:val="0"/>
              <w:suppressLineNumbers w:val="0"/>
              <w:spacing w:before="0" w:beforeAutospacing="0" w:after="0" w:afterAutospacing="0"/>
              <w:ind w:left="0" w:right="0"/>
              <w:jc w:val="center"/>
              <w:textAlignment w:val="center"/>
              <w:rPr>
                <w:rFonts w:hint="default"/>
              </w:rPr>
            </w:pPr>
            <w:r>
              <w:rPr>
                <w:rFonts w:hint="default" w:ascii="宋体" w:hAnsi="宋体" w:eastAsia="宋体" w:cs="宋体"/>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Merge w:val="restart"/>
            <w:vAlign w:val="center"/>
          </w:tcPr>
          <w:p>
            <w:pPr>
              <w:keepNext w:val="0"/>
              <w:keepLines w:val="0"/>
              <w:suppressLineNumbers w:val="0"/>
              <w:spacing w:before="0" w:beforeAutospacing="0" w:after="0" w:afterAutospacing="0"/>
              <w:ind w:left="0" w:right="0"/>
              <w:jc w:val="center"/>
              <w:textAlignment w:val="center"/>
              <w:rPr>
                <w:rFonts w:hint="default"/>
              </w:rPr>
            </w:pPr>
            <w:r>
              <w:rPr>
                <w:rFonts w:hint="default" w:ascii="宋体" w:hAnsi="宋体" w:eastAsia="宋体" w:cs="宋体"/>
              </w:rPr>
              <w:t>大类资产类型</w:t>
            </w:r>
          </w:p>
        </w:tc>
        <w:tc>
          <w:tcPr>
            <w:tcW w:w="4500" w:type="dxa"/>
            <w:vAlign w:val="center"/>
          </w:tcPr>
          <w:p>
            <w:pPr>
              <w:keepNext w:val="0"/>
              <w:keepLines w:val="0"/>
              <w:suppressLineNumbers w:val="0"/>
              <w:spacing w:before="0" w:beforeAutospacing="0" w:after="0" w:afterAutospacing="0"/>
              <w:ind w:left="0" w:right="0"/>
              <w:jc w:val="center"/>
              <w:textAlignment w:val="center"/>
              <w:rPr>
                <w:rFonts w:hint="default"/>
              </w:rPr>
            </w:pPr>
            <w:r>
              <w:rPr>
                <w:rFonts w:hint="default" w:ascii="宋体" w:hAnsi="宋体" w:eastAsia="宋体" w:cs="宋体"/>
              </w:rPr>
              <w:t>固定收益类资产</w:t>
            </w:r>
          </w:p>
        </w:tc>
        <w:tc>
          <w:tcPr>
            <w:tcW w:w="2000" w:type="dxa"/>
            <w:vAlign w:val="center"/>
          </w:tcPr>
          <w:p>
            <w:pPr>
              <w:keepNext w:val="0"/>
              <w:keepLines w:val="0"/>
              <w:suppressLineNumbers w:val="0"/>
              <w:spacing w:before="0" w:beforeAutospacing="0" w:after="0" w:afterAutospacing="0"/>
              <w:ind w:left="0" w:right="0"/>
              <w:jc w:val="center"/>
              <w:textAlignment w:val="center"/>
              <w:rPr>
                <w:rFonts w:hint="default"/>
              </w:rPr>
            </w:pPr>
            <w:r>
              <w:rPr>
                <w:rFonts w:hint="default" w:ascii="宋体" w:hAnsi="宋体" w:eastAsia="宋体" w:cs="宋体"/>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Merge w:val="continue"/>
            <w:vAlign w:val="center"/>
          </w:tcPr>
          <w:p>
            <w:pPr>
              <w:keepNext w:val="0"/>
              <w:keepLines w:val="0"/>
              <w:suppressLineNumbers w:val="0"/>
              <w:spacing w:before="0" w:beforeAutospacing="0" w:after="0" w:afterAutospacing="0"/>
              <w:ind w:left="0" w:right="0"/>
              <w:jc w:val="center"/>
              <w:textAlignment w:val="center"/>
              <w:rPr>
                <w:rFonts w:hint="default"/>
              </w:rPr>
            </w:pPr>
            <w:r>
              <w:rPr>
                <w:rFonts w:hint="default" w:ascii="宋体" w:hAnsi="宋体" w:eastAsia="宋体" w:cs="宋体"/>
              </w:rPr>
              <w:t>大类资产类型</w:t>
            </w:r>
          </w:p>
        </w:tc>
        <w:tc>
          <w:tcPr>
            <w:tcW w:w="4500" w:type="dxa"/>
            <w:vAlign w:val="center"/>
          </w:tcPr>
          <w:p>
            <w:pPr>
              <w:keepNext w:val="0"/>
              <w:keepLines w:val="0"/>
              <w:suppressLineNumbers w:val="0"/>
              <w:spacing w:before="0" w:beforeAutospacing="0" w:after="0" w:afterAutospacing="0"/>
              <w:ind w:left="0" w:right="0"/>
              <w:jc w:val="center"/>
              <w:textAlignment w:val="center"/>
              <w:rPr>
                <w:rFonts w:hint="default"/>
              </w:rPr>
            </w:pPr>
            <w:r>
              <w:rPr>
                <w:rFonts w:hint="default" w:ascii="宋体" w:hAnsi="宋体" w:eastAsia="宋体" w:cs="宋体"/>
              </w:rPr>
              <w:t>权益类资产</w:t>
            </w:r>
          </w:p>
        </w:tc>
        <w:tc>
          <w:tcPr>
            <w:tcW w:w="2000" w:type="dxa"/>
            <w:vAlign w:val="center"/>
          </w:tcPr>
          <w:p>
            <w:pPr>
              <w:keepNext w:val="0"/>
              <w:keepLines w:val="0"/>
              <w:suppressLineNumbers w:val="0"/>
              <w:spacing w:before="0" w:beforeAutospacing="0" w:after="0" w:afterAutospacing="0"/>
              <w:ind w:left="0" w:right="0"/>
              <w:jc w:val="center"/>
              <w:textAlignment w:val="center"/>
              <w:rPr>
                <w:rFonts w:hint="default"/>
              </w:rPr>
            </w:pPr>
            <w:r>
              <w:rPr>
                <w:rFonts w:hint="default" w:ascii="宋体" w:hAnsi="宋体" w:eastAsia="宋体" w:cs="宋体"/>
              </w:rPr>
              <w:t>0%-20%</w:t>
            </w:r>
          </w:p>
        </w:tc>
      </w:tr>
    </w:tbl>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本理财计划特殊资产类型为基于大类资产类型项下的进一步细化分类，其配置比例不得超过大类资产配置比例。</w:t>
      </w:r>
    </w:p>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在</w:t>
      </w:r>
      <w:r>
        <w:rPr>
          <w:rFonts w:hint="eastAsia" w:ascii="宋体" w:hAnsi="宋体" w:cs="宋体"/>
          <w:bCs/>
          <w:color w:val="auto"/>
          <w:kern w:val="2"/>
          <w:highlight w:val="none"/>
        </w:rPr>
        <w:t>理财计划存续期间如遇市场变化导致各类投资品投资比例暂时超出以上范围，为保护投资者利益，管理人将在流动性受限资产可出售、可转让或者恢复交易的15个交易日内调整至上述比例范围。</w:t>
      </w:r>
    </w:p>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本理财计划存在投资退出期，投资退出期至理财计划到期终止期间，为保障投资管理平稳运作，投资组合比例可能超出约定投资范围比例。</w:t>
      </w:r>
    </w:p>
    <w:p>
      <w:pPr>
        <w:pStyle w:val="20"/>
        <w:numPr>
          <w:ilvl w:val="0"/>
          <w:numId w:val="21"/>
        </w:numPr>
        <w:adjustRightInd/>
        <w:spacing w:line="360" w:lineRule="auto"/>
        <w:ind w:firstLine="458" w:firstLineChars="190"/>
        <w:rPr>
          <w:rFonts w:hint="eastAsia" w:ascii="宋体" w:hAnsi="宋体" w:cs="宋体"/>
          <w:bCs/>
          <w:color w:val="auto"/>
          <w:kern w:val="2"/>
          <w:highlight w:val="none"/>
          <w:lang w:val="en-US" w:eastAsia="zh-CN"/>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eastAsia="宋体" w:cs="宋体"/>
          <w:kern w:val="2"/>
          <w:sz w:val="24"/>
          <w:szCs w:val="24"/>
          <w:lang w:val="en-US" w:eastAsia="zh-CN" w:bidi="ar"/>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hAnsi="宋体" w:eastAsia="宋体" w:cs="宋体"/>
          <w:b/>
          <w:bCs/>
          <w:kern w:val="2"/>
          <w:sz w:val="24"/>
          <w:szCs w:val="24"/>
          <w:lang w:val="en-US" w:eastAsia="zh-CN" w:bidi="ar"/>
        </w:rPr>
        <w:t>本产品还可能根据市场行情，在监管政策允许的范围内，在适当的时机投资不高于理财产品总资产的</w:t>
      </w:r>
      <w:r>
        <w:rPr>
          <w:rFonts w:hint="eastAsia" w:ascii="宋体" w:hAnsi="Calibri" w:eastAsia="宋体" w:cs="宋体"/>
          <w:b/>
          <w:bCs/>
          <w:kern w:val="2"/>
          <w:sz w:val="24"/>
          <w:szCs w:val="24"/>
          <w:lang w:val="en-US" w:eastAsia="zh-CN" w:bidi="ar"/>
        </w:rPr>
        <w:t>20%的资金于其他资产</w:t>
      </w:r>
      <w:r>
        <w:rPr>
          <w:rFonts w:hint="eastAsia" w:ascii="宋体" w:hAnsi="宋体" w:cs="宋体"/>
          <w:bCs/>
          <w:color w:val="000000"/>
          <w:sz w:val="24"/>
          <w:highlight w:val="none"/>
        </w:rPr>
        <w:t>。</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eastAsia="宋体" w:cs="宋体"/>
          <w:b w:val="0"/>
          <w:bCs/>
          <w:sz w:val="24"/>
          <w:highlight w:val="none"/>
          <w:lang w:val="en-US" w:eastAsia="zh-CN"/>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本理财计划还应满足以下限制</w:t>
      </w:r>
      <w:r>
        <w:rPr>
          <w:rFonts w:hint="eastAsia" w:ascii="宋体" w:hAnsi="宋体" w:cs="宋体"/>
          <w:bCs/>
          <w:color w:val="000000"/>
          <w:sz w:val="24"/>
          <w:highlight w:val="none"/>
        </w:rPr>
        <w:t>【</w:t>
      </w:r>
      <w:r>
        <w:rPr>
          <w:rFonts w:hint="eastAsia" w:ascii="宋体" w:hAnsi="宋体" w:cs="宋体"/>
          <w:bCs/>
          <w:color w:val="000000"/>
          <w:sz w:val="24"/>
          <w:highlight w:val="none"/>
          <w:lang w:eastAsia="zh"/>
        </w:rPr>
        <w:t>b</w:t>
      </w:r>
      <w:r>
        <w:rPr>
          <w:rFonts w:hint="eastAsia" w:ascii="宋体" w:hAnsi="宋体" w:cs="宋体"/>
          <w:bCs/>
          <w:color w:val="000000"/>
          <w:sz w:val="24"/>
          <w:highlight w:val="none"/>
        </w:rPr>
        <w:t>】</w:t>
      </w:r>
    </w:p>
    <w:p>
      <w:pPr>
        <w:numPr>
          <w:ilvl w:val="0"/>
          <w:numId w:val="26"/>
        </w:numPr>
        <w:spacing w:line="360" w:lineRule="auto"/>
        <w:ind w:firstLine="720" w:firstLineChars="3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本理财计划</w:t>
      </w:r>
      <w:r>
        <w:rPr>
          <w:rFonts w:hint="eastAsia" w:ascii="宋体" w:hAnsi="宋体" w:cs="宋体"/>
          <w:bCs/>
          <w:color w:val="000000"/>
          <w:sz w:val="24"/>
          <w:highlight w:val="none"/>
        </w:rPr>
        <w:t>应当持有不低于该理财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资产净值5%的现金或者到期日在一年以内的国债、中央银行票据和政策性金融债券。</w:t>
      </w:r>
    </w:p>
    <w:p>
      <w:pPr>
        <w:numPr>
          <w:ilvl w:val="0"/>
          <w:numId w:val="26"/>
        </w:numPr>
        <w:spacing w:line="360" w:lineRule="auto"/>
        <w:ind w:firstLine="720" w:firstLineChars="3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本理财计划应当在开放日及开放日前7个工作日内持有不低于该理财计划资产净值5%的现金或者到期日在一年以内的国债、中央银行票据和政策性金融债券。</w:t>
      </w:r>
    </w:p>
    <w:p>
      <w:pPr>
        <w:numPr>
          <w:ilvl w:val="0"/>
          <w:numId w:val="26"/>
        </w:numPr>
        <w:spacing w:line="360" w:lineRule="auto"/>
        <w:ind w:firstLine="720" w:firstLineChars="300"/>
        <w:jc w:val="left"/>
        <w:rPr>
          <w:rFonts w:hint="default" w:ascii="宋体" w:hAnsi="宋体" w:eastAsia="宋体" w:cs="宋体"/>
          <w:bCs/>
          <w:sz w:val="24"/>
          <w:highlight w:val="none"/>
          <w:lang w:val="en-US" w:eastAsia="zh-CN"/>
        </w:rPr>
      </w:pPr>
      <w:r>
        <w:rPr>
          <w:rFonts w:hint="eastAsia" w:ascii="宋体" w:hAnsi="宋体" w:cs="宋体"/>
          <w:bCs/>
          <w:sz w:val="24"/>
          <w:highlight w:val="none"/>
          <w:lang w:val="en-US" w:eastAsia="zh-CN"/>
        </w:rPr>
        <w:t>本理财计划不存在活跃交易市场，并且需要采用估值技术确定公允价值的资产比例不得超过理财产品净资产50%以上。</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sz w:val="21"/>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 w:val="21"/>
                <w:szCs w:val="21"/>
                <w:highlight w:val="none"/>
              </w:rPr>
            </w:pPr>
            <w:r>
              <w:rPr>
                <w:rFonts w:hint="eastAsia" w:ascii="宋体" w:hAnsi="宋体" w:eastAsia="宋体" w:cs="宋体"/>
                <w:bCs/>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sz w:val="21"/>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sz w:val="21"/>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kern w:val="2"/>
                <w:sz w:val="21"/>
                <w:szCs w:val="21"/>
                <w:highlight w:val="none"/>
                <w:lang w:val="en-US" w:eastAsia="zh-CN" w:bidi="ar-SA"/>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7556" w:type="dxa"/>
        <w:tblInd w:w="3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33"/>
        <w:gridCol w:w="1688"/>
        <w:gridCol w:w="1325"/>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销售机构信息</w:t>
            </w:r>
          </w:p>
        </w:tc>
        <w:tc>
          <w:tcPr>
            <w:tcW w:w="1688" w:type="dxa"/>
            <w:vMerge w:val="restar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杭州银行股份有限公司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兴业银行股份有限公司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江苏银行股份有限公司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厦门银行股份有限公司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厦门国际银行股份有限公司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富邦华一银行有限公司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宁波鄞州农村商业银行股份有限公司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深圳前海微众银行股份有限公司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吉林亿联银行股份有限公司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重庆富民银行股份有限公司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中信百信银行股份有限公司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aps w:val="0"/>
                <w:color w:val="000000"/>
                <w:spacing w:val="0"/>
                <w:kern w:val="0"/>
                <w:sz w:val="21"/>
                <w:szCs w:val="21"/>
                <w:lang w:val="en-US" w:eastAsia="zh-CN" w:bidi="ar"/>
              </w:rPr>
              <w:t>江苏苏商银行股份有限公司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aps w:val="0"/>
                <w:color w:val="000000"/>
                <w:spacing w:val="0"/>
                <w:kern w:val="0"/>
                <w:sz w:val="21"/>
                <w:szCs w:val="21"/>
                <w:lang w:val="en-US" w:eastAsia="zh-CN"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石嘴山银行股份有限公司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中信银行股份有限公司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齐鲁银行股份有限公司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广东南粤银行股份有限公司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东莞银行股份有限公司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日照银行股份有限公司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苏州银行股份有限公司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杭银理财有限责任公司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澳门国际银行股份有限公司广州分行</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江苏常熟农村商业银行股份有限公司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浙商银行股份有限公司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九江银行股份有限公司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北京农村商业银行股份有限公司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浙江舟山定海海洋农村商业银行股份有限公司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浙江临安农村商业银行股份有限公司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浙江青田农村商业银行股份有限公司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南洋商业银行（中国）有限公司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中邮邮惠万家银行有限责任公司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温州银行股份有限公司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浙江新昌农村商业银行股份有限公司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浙江永嘉农村商业银行股份有限公司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浙江永康农村商业银行股份有限公司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绍兴银行股份有限公司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浙江衢州衢江农村商业银行股份有限公司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新韩银行（中国）有限公司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浙江开化农村商业银行股份有限公司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秦皇岛银行股份有限公司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潍坊银行股份有限公司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浙江江山农村商业银行股份有限公司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浙江常山农村商业银行股份有限公司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浙江武义农村商业银行股份有限公司</w:t>
            </w: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住所</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688"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3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客服热线</w:t>
            </w:r>
          </w:p>
        </w:tc>
        <w:tc>
          <w:tcPr>
            <w:tcW w:w="341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rPr>
            </w:pPr>
            <w:r>
              <w:rPr>
                <w:rFonts w:hint="eastAsia" w:ascii="宋体" w:hAnsi="宋体" w:eastAsia="宋体" w:cs="宋体"/>
                <w:i w:val="0"/>
                <w:iCs w:val="0"/>
                <w:color w:val="000000"/>
                <w:kern w:val="0"/>
                <w:sz w:val="21"/>
                <w:szCs w:val="21"/>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销售机构职责</w:t>
            </w:r>
          </w:p>
        </w:tc>
        <w:tc>
          <w:tcPr>
            <w:tcW w:w="642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主要负责理财计划推广、投资者风险承受能力评估、投资者适当性管理、理财计划份额认购、申购及赎回办理。</w:t>
            </w:r>
            <w:r>
              <w:rPr>
                <w:rFonts w:hint="eastAsia" w:ascii="宋体" w:hAnsi="宋体" w:eastAsia="宋体" w:cs="宋体"/>
                <w:kern w:val="2"/>
                <w:sz w:val="21"/>
                <w:szCs w:val="21"/>
                <w:lang w:val="en-US" w:eastAsia="zh-CN" w:bidi="ar"/>
              </w:rPr>
              <w:br w:type="textWrapping"/>
            </w:r>
            <w:r>
              <w:rPr>
                <w:rFonts w:hint="eastAsia" w:ascii="宋体" w:hAnsi="宋体" w:eastAsia="宋体" w:cs="宋体"/>
                <w:kern w:val="2"/>
                <w:sz w:val="21"/>
                <w:szCs w:val="21"/>
                <w:lang w:val="en-US" w:eastAsia="zh-CN" w:bidi="ar"/>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20"/>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20"/>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20"/>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20"/>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20"/>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lang w:val="en-US" w:eastAsia="zh-CN"/>
        </w:rPr>
        <w:t>以</w:t>
      </w:r>
      <w:r>
        <w:rPr>
          <w:rFonts w:hint="eastAsia" w:ascii="宋体" w:hAnsi="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cs="宋体"/>
          <w:bCs/>
          <w:color w:val="000000"/>
          <w:sz w:val="24"/>
          <w:szCs w:val="24"/>
          <w:highlight w:val="none"/>
          <w:lang w:val="en-US" w:eastAsia="zh-CN"/>
        </w:rPr>
        <w:t>份额</w:t>
      </w:r>
      <w:r>
        <w:rPr>
          <w:rFonts w:hint="eastAsia" w:ascii="宋体" w:hAnsi="宋体" w:cs="宋体"/>
          <w:bCs/>
          <w:color w:val="000000"/>
          <w:sz w:val="24"/>
          <w:szCs w:val="24"/>
          <w:highlight w:val="none"/>
        </w:rPr>
        <w:t>〗为例</w:t>
      </w:r>
      <w:r>
        <w:rPr>
          <w:rFonts w:hint="eastAsia" w:ascii="宋体" w:hAnsi="宋体" w:cs="宋体"/>
          <w:bCs/>
          <w:color w:val="000000"/>
          <w:sz w:val="24"/>
          <w:szCs w:val="24"/>
          <w:highlight w:val="none"/>
          <w:lang w:eastAsia="zh-CN"/>
        </w:rPr>
        <w:t>，</w:t>
      </w:r>
      <w:r>
        <w:rPr>
          <w:rFonts w:hint="eastAsia" w:ascii="宋体" w:hAnsi="宋体" w:cs="宋体"/>
          <w:bCs/>
          <w:color w:val="000000"/>
          <w:sz w:val="24"/>
          <w:szCs w:val="24"/>
          <w:highlight w:val="none"/>
        </w:rPr>
        <w:t>理财计划财产的年化</w:t>
      </w:r>
      <w:r>
        <w:rPr>
          <w:rFonts w:hint="eastAsia" w:ascii="宋体" w:hAnsi="宋体" w:cs="宋体"/>
          <w:bCs/>
          <w:color w:val="000000"/>
          <w:sz w:val="24"/>
          <w:szCs w:val="24"/>
          <w:highlight w:val="none"/>
          <w:lang w:eastAsia="zh-CN"/>
        </w:rPr>
        <w:t>销售服务费</w:t>
      </w:r>
      <w:r>
        <w:rPr>
          <w:rFonts w:hint="eastAsia" w:ascii="宋体" w:hAnsi="宋体" w:cs="宋体"/>
          <w:bCs/>
          <w:color w:val="000000"/>
          <w:sz w:val="24"/>
          <w:szCs w:val="24"/>
          <w:highlight w:val="none"/>
        </w:rPr>
        <w:t>率为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eastAsia="宋体" w:cs="宋体"/>
          <w:bCs/>
          <w:color w:val="000000"/>
          <w:sz w:val="24"/>
          <w:szCs w:val="24"/>
          <w:highlight w:val="none"/>
          <w:lang w:eastAsia="zh-CN"/>
        </w:rPr>
      </w:pPr>
      <w:r>
        <w:rPr>
          <w:rFonts w:hint="eastAsia" w:ascii="宋体" w:hAnsi="宋体" w:cs="宋体"/>
          <w:bCs/>
          <w:color w:val="000000"/>
          <w:sz w:val="24"/>
          <w:szCs w:val="24"/>
          <w:highlight w:val="none"/>
        </w:rPr>
        <w:t>H为每日应计提的</w:t>
      </w:r>
      <w:r>
        <w:rPr>
          <w:rFonts w:hint="eastAsia" w:ascii="宋体" w:hAnsi="宋体" w:cs="宋体"/>
          <w:bCs/>
          <w:color w:val="000000"/>
          <w:sz w:val="24"/>
          <w:szCs w:val="24"/>
          <w:highlight w:val="none"/>
          <w:lang w:eastAsia="zh-CN"/>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lang w:eastAsia="zh-CN"/>
        </w:rPr>
        <w:t>销售服务费</w:t>
      </w:r>
      <w:r>
        <w:rPr>
          <w:rFonts w:hint="eastAsia" w:ascii="宋体" w:hAnsi="宋体" w:cs="宋体"/>
          <w:bCs/>
          <w:color w:val="000000"/>
          <w:sz w:val="24"/>
          <w:szCs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理财计划财产的年化托管费为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H为每日应计提的托管费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以</w:t>
      </w:r>
      <w:r>
        <w:rPr>
          <w:rFonts w:hint="eastAsia" w:ascii="宋体" w:hAnsi="宋体" w:eastAsia="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eastAsia="宋体" w:cs="宋体"/>
          <w:bCs/>
          <w:color w:val="000000"/>
          <w:sz w:val="24"/>
          <w:szCs w:val="24"/>
          <w:highlight w:val="none"/>
          <w:lang w:val="en-US" w:eastAsia="zh-CN"/>
        </w:rPr>
        <w:t>份额</w:t>
      </w:r>
      <w:r>
        <w:rPr>
          <w:rFonts w:hint="eastAsia" w:ascii="宋体" w:hAnsi="宋体" w:eastAsia="宋体" w:cs="宋体"/>
          <w:bCs/>
          <w:color w:val="000000"/>
          <w:sz w:val="24"/>
          <w:szCs w:val="24"/>
          <w:highlight w:val="none"/>
        </w:rPr>
        <w:t>〗为例</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理财计划财产的年化固定管理费率为</w:t>
      </w:r>
      <w:r>
        <w:rPr>
          <w:rFonts w:hint="eastAsia" w:ascii="宋体" w:hAnsi="宋体" w:eastAsia="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w:t>
      </w:r>
      <w:r>
        <w:rPr>
          <w:rFonts w:hint="eastAsia" w:ascii="宋体" w:hAnsi="宋体" w:eastAsia="宋体" w:cs="宋体"/>
          <w:bCs/>
          <w:color w:val="000000"/>
          <w:sz w:val="24"/>
          <w:szCs w:val="24"/>
          <w:highlight w:val="none"/>
        </w:rPr>
        <w:t>，计算方法如下：</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H＝E×</w:t>
      </w:r>
      <w:r>
        <w:rPr>
          <w:rFonts w:hint="eastAsia" w:ascii="宋体" w:hAnsi="宋体" w:eastAsia="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w:t>
      </w:r>
      <w:r>
        <w:rPr>
          <w:rFonts w:hint="eastAsia" w:ascii="宋体" w:hAnsi="宋体" w:eastAsia="宋体" w:cs="宋体"/>
          <w:bCs/>
          <w:color w:val="000000"/>
          <w:sz w:val="24"/>
          <w:szCs w:val="24"/>
          <w:highlight w:val="none"/>
        </w:rPr>
        <w:t>÷365</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H为每日应计提的</w:t>
      </w:r>
      <w:r>
        <w:rPr>
          <w:rFonts w:hint="eastAsia" w:ascii="宋体" w:hAnsi="宋体" w:eastAsia="宋体" w:cs="宋体"/>
          <w:bCs/>
          <w:color w:val="000000"/>
          <w:sz w:val="24"/>
          <w:szCs w:val="24"/>
          <w:highlight w:val="none"/>
          <w:lang w:eastAsia="zh-CN"/>
        </w:rPr>
        <w:t>固定</w:t>
      </w:r>
      <w:r>
        <w:rPr>
          <w:rFonts w:hint="eastAsia" w:ascii="宋体" w:hAnsi="宋体" w:eastAsia="宋体" w:cs="宋体"/>
          <w:bCs/>
          <w:color w:val="000000"/>
          <w:sz w:val="24"/>
          <w:szCs w:val="24"/>
          <w:highlight w:val="none"/>
        </w:rPr>
        <w:t>管理费</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eastAsia="宋体" w:cs="宋体"/>
          <w:bCs/>
          <w:color w:val="000000"/>
          <w:sz w:val="24"/>
          <w:szCs w:val="24"/>
          <w:highlight w:val="none"/>
        </w:rPr>
        <w:t>固定管理费原则上按日计提</w:t>
      </w:r>
      <w:r>
        <w:rPr>
          <w:rFonts w:hint="eastAsia" w:ascii="宋体" w:hAnsi="宋体" w:eastAsia="宋体" w:cs="宋体"/>
          <w:bCs/>
          <w:color w:val="000000"/>
          <w:sz w:val="24"/>
          <w:szCs w:val="24"/>
          <w:highlight w:val="none"/>
          <w:lang w:eastAsia="zh-CN"/>
        </w:rPr>
        <w:t>，管理人有权</w:t>
      </w:r>
      <w:r>
        <w:rPr>
          <w:rFonts w:hint="eastAsia" w:ascii="宋体" w:hAnsi="宋体" w:eastAsia="宋体" w:cs="宋体"/>
          <w:bCs/>
          <w:color w:val="000000"/>
          <w:sz w:val="24"/>
          <w:szCs w:val="24"/>
          <w:highlight w:val="none"/>
          <w:lang w:val="en-US" w:eastAsia="zh-CN"/>
        </w:rPr>
        <w:t>根据实际运作情况</w:t>
      </w:r>
      <w:r>
        <w:rPr>
          <w:rFonts w:hint="eastAsia" w:ascii="宋体" w:hAnsi="宋体" w:eastAsia="宋体" w:cs="宋体"/>
          <w:bCs/>
          <w:color w:val="000000"/>
          <w:sz w:val="24"/>
          <w:szCs w:val="24"/>
          <w:highlight w:val="none"/>
          <w:lang w:eastAsia="zh-CN"/>
        </w:rPr>
        <w:t>减免固定管理费</w:t>
      </w:r>
      <w:r>
        <w:rPr>
          <w:rFonts w:hint="eastAsia" w:ascii="宋体" w:hAnsi="宋体" w:eastAsia="宋体" w:cs="宋体"/>
          <w:bCs/>
          <w:color w:val="000000"/>
          <w:sz w:val="24"/>
          <w:szCs w:val="24"/>
          <w:highlight w:val="none"/>
          <w:lang w:eastAsia="zh"/>
        </w:rPr>
        <w:t>。</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color w:val="FF0000"/>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color w:val="FF0000"/>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理财管理人根据理财计划投资情况计算浮动管理费，本理财计划</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A</w:t>
      </w:r>
      <w:r>
        <w:rPr>
          <w:rFonts w:hint="eastAsia" w:ascii="宋体" w:hAnsi="宋体" w:cs="宋体"/>
          <w:color w:val="000000"/>
          <w:sz w:val="24"/>
          <w:szCs w:val="24"/>
          <w:highlight w:val="none"/>
          <w:lang w:val="en-US" w:eastAsia="zh-CN"/>
        </w:rPr>
        <w:t>份额</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投资周期的</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折合年化收益率超</w:t>
      </w:r>
      <w:r>
        <w:rPr>
          <w:rFonts w:hint="eastAsia" w:ascii="宋体" w:hAnsi="宋体" w:cs="宋体"/>
          <w:bCs/>
          <w:color w:val="000000"/>
          <w:sz w:val="24"/>
          <w:szCs w:val="24"/>
          <w:highlight w:val="none"/>
          <w:lang w:eastAsia="zh"/>
        </w:rPr>
        <w:t>过</w:t>
      </w:r>
      <w:r>
        <w:rPr>
          <w:rFonts w:hint="eastAsia" w:ascii="宋体" w:hAnsi="宋体" w:eastAsia="宋体" w:cs="宋体"/>
          <w:bCs/>
          <w:color w:val="000000"/>
          <w:kern w:val="2"/>
          <w:sz w:val="24"/>
          <w:szCs w:val="24"/>
          <w:highlight w:val="none"/>
          <w:lang w:val="en-US" w:eastAsia="zh" w:bidi="ar-SA"/>
        </w:rPr>
        <w:t>2.25</w:t>
      </w:r>
      <w:r>
        <w:rPr>
          <w:rFonts w:hint="eastAsia" w:ascii="宋体" w:hAnsi="宋体" w:cs="宋体"/>
          <w:bCs/>
          <w:color w:val="000000"/>
          <w:sz w:val="24"/>
          <w:szCs w:val="24"/>
          <w:highlight w:val="none"/>
          <w:lang w:eastAsia="zh"/>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的部分管理人提取</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50</w:t>
      </w:r>
      <w:r>
        <w:rPr>
          <w:rFonts w:hint="eastAsia" w:ascii="宋体" w:hAnsi="宋体" w:cs="宋体"/>
          <w:color w:val="000000"/>
          <w:sz w:val="24"/>
          <w:szCs w:val="24"/>
          <w:highlight w:val="none"/>
          <w:lang w:eastAsia="zh"/>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作为浮动管理费，每个投资周期结束后收取。本理财计划投资周期的折合年化收益率若小于或等于</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2.25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则不收取浮动管理费。</w:t>
      </w:r>
      <w:r>
        <w:rPr>
          <w:rFonts w:hint="eastAsia" w:ascii="宋体" w:hAnsi="宋体" w:cs="宋体"/>
          <w:bCs/>
          <w:color w:val="000000"/>
          <w:sz w:val="24"/>
          <w:szCs w:val="24"/>
          <w:highlight w:val="none"/>
          <w:lang w:eastAsia="zh-CN"/>
        </w:rPr>
        <w:t>浮动管理费原则上按估值日计提，</w:t>
      </w:r>
      <w:r>
        <w:rPr>
          <w:rFonts w:hint="eastAsia" w:ascii="宋体" w:hAnsi="宋体" w:cs="宋体"/>
          <w:bCs/>
          <w:color w:val="000000"/>
          <w:sz w:val="24"/>
          <w:szCs w:val="24"/>
          <w:highlight w:val="none"/>
          <w:lang w:val="en-US" w:eastAsia="zh-CN"/>
        </w:rPr>
        <w:t>赎回/理财计划</w:t>
      </w:r>
      <w:r>
        <w:rPr>
          <w:rFonts w:hint="eastAsia" w:ascii="宋体" w:hAnsi="宋体" w:cs="宋体"/>
          <w:bCs/>
          <w:color w:val="000000"/>
          <w:sz w:val="24"/>
          <w:szCs w:val="24"/>
          <w:highlight w:val="none"/>
          <w:lang w:eastAsia="zh-CN"/>
        </w:rPr>
        <w:t>到期收取。以</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A</w:t>
      </w:r>
      <w:r>
        <w:rPr>
          <w:rFonts w:hint="eastAsia" w:ascii="宋体" w:hAnsi="宋体" w:cs="宋体"/>
          <w:color w:val="000000"/>
          <w:sz w:val="24"/>
          <w:szCs w:val="24"/>
          <w:highlight w:val="none"/>
          <w:lang w:val="en-US" w:eastAsia="zh-CN"/>
        </w:rPr>
        <w:t>份额</w:t>
      </w:r>
      <w:r>
        <w:rPr>
          <w:rFonts w:hint="eastAsia" w:ascii="宋体" w:hAnsi="宋体" w:cs="宋体"/>
          <w:color w:val="000000"/>
          <w:sz w:val="24"/>
          <w:szCs w:val="24"/>
          <w:highlight w:val="none"/>
        </w:rPr>
        <w:t>〗</w:t>
      </w:r>
      <w:r>
        <w:rPr>
          <w:rFonts w:hint="eastAsia" w:ascii="宋体" w:hAnsi="宋体" w:cs="宋体"/>
          <w:color w:val="000000"/>
          <w:sz w:val="24"/>
          <w:szCs w:val="24"/>
          <w:highlight w:val="none"/>
          <w:lang w:eastAsia="zh-CN"/>
        </w:rPr>
        <w:t>为例，</w:t>
      </w:r>
      <w:r>
        <w:rPr>
          <w:rFonts w:hint="eastAsia" w:ascii="宋体" w:hAnsi="宋体" w:cs="宋体"/>
          <w:bCs/>
          <w:color w:val="000000"/>
          <w:sz w:val="24"/>
          <w:szCs w:val="24"/>
          <w:highlight w:val="none"/>
        </w:rPr>
        <w:t>具体计算方法如下：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H＝E×NAV0×(K-R)×〖</w:t>
      </w:r>
      <w:r>
        <w:rPr>
          <w:rFonts w:hint="eastAsia" w:ascii="宋体" w:hAnsi="宋体" w:eastAsia="宋体" w:cs="宋体"/>
          <w:bCs/>
          <w:color w:val="000000"/>
          <w:kern w:val="2"/>
          <w:sz w:val="24"/>
          <w:szCs w:val="24"/>
          <w:highlight w:val="none"/>
          <w:lang w:val="en-US" w:eastAsia="zh-CN" w:bidi="ar-SA"/>
        </w:rPr>
        <w:t>50</w:t>
      </w:r>
      <w:r>
        <w:rPr>
          <w:rFonts w:hint="eastAsia" w:ascii="宋体" w:hAnsi="宋体" w:cs="宋体"/>
          <w:bCs/>
          <w:color w:val="000000"/>
          <w:sz w:val="24"/>
          <w:szCs w:val="24"/>
          <w:highlight w:val="none"/>
        </w:rPr>
        <w:t>%〗×N÷365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其中，K=(NAV1-NAV0+T)÷NAV0×365÷N</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H为当前确认日应收取浮动管理费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w:t>
      </w:r>
      <w:r>
        <w:rPr>
          <w:rFonts w:hint="eastAsia" w:ascii="宋体" w:hAnsi="宋体" w:cs="宋体"/>
          <w:bCs/>
          <w:color w:val="000000"/>
          <w:sz w:val="24"/>
          <w:szCs w:val="24"/>
          <w:highlight w:val="none"/>
          <w:lang w:val="en-US" w:eastAsia="zh-CN"/>
        </w:rPr>
        <w:t>理财计划</w:t>
      </w:r>
      <w:r>
        <w:rPr>
          <w:rFonts w:hint="eastAsia" w:ascii="宋体" w:hAnsi="宋体" w:cs="宋体"/>
          <w:bCs/>
          <w:color w:val="000000"/>
          <w:sz w:val="24"/>
          <w:szCs w:val="24"/>
          <w:highlight w:val="none"/>
        </w:rPr>
        <w:t>上一个确认日的存续份额</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K为收取浮动管理费前投资者赎回份额对应持有区间折合年化收益率</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R为本次投资周期的</w:t>
      </w:r>
      <w:r>
        <w:rPr>
          <w:rFonts w:hint="eastAsia" w:ascii="宋体" w:hAnsi="宋体" w:cs="宋体"/>
          <w:bCs/>
          <w:color w:val="000000"/>
          <w:sz w:val="24"/>
          <w:szCs w:val="24"/>
          <w:highlight w:val="none"/>
          <w:lang w:val="en-US" w:eastAsia="zh-CN"/>
        </w:rPr>
        <w:t>浮动管理费计提基数</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rPr>
        <w:t>T为当前投资周期内每单位份额的实际分红金额的合计（如有）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0"/>
        </w:numPr>
        <w:spacing w:line="360" w:lineRule="auto"/>
        <w:ind w:left="420" w:leftChars="0"/>
        <w:jc w:val="left"/>
        <w:outlineLvl w:val="2"/>
        <w:rPr>
          <w:rFonts w:hint="eastAsia" w:ascii="宋体" w:hAnsi="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扣除托管费、固定管理费、销售服务费（如有）后，投资收益率超过浮动管理费计提基</w:t>
      </w:r>
      <w:r>
        <w:rPr>
          <w:rFonts w:hint="eastAsia" w:ascii="宋体" w:hAnsi="宋体" w:eastAsia="宋体" w:cs="宋体"/>
          <w:b/>
          <w:bCs/>
          <w:color w:val="000000"/>
          <w:kern w:val="2"/>
          <w:sz w:val="24"/>
          <w:szCs w:val="24"/>
          <w:lang w:val="en-US" w:eastAsia="zh" w:bidi="ar"/>
        </w:rPr>
        <w:t>数</w:t>
      </w:r>
      <w:r>
        <w:rPr>
          <w:rFonts w:hint="eastAsia" w:ascii="宋体" w:hAnsi="宋体" w:eastAsia="宋体" w:cs="宋体"/>
          <w:b/>
          <w:bCs/>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w:t>
      </w:r>
      <w:r>
        <w:rPr>
          <w:rFonts w:hint="eastAsia" w:ascii="宋体" w:hAnsi="宋体" w:eastAsia="宋体" w:cs="宋体"/>
          <w:kern w:val="2"/>
          <w:sz w:val="24"/>
          <w:szCs w:val="24"/>
          <w:lang w:val="en-US" w:eastAsia="zh-CN" w:bidi="ar"/>
        </w:rPr>
        <w:t>赎回份额</w:t>
      </w:r>
      <w:r>
        <w:rPr>
          <w:rFonts w:hint="eastAsia" w:ascii="宋体" w:hAnsi="宋体" w:eastAsia="宋体" w:cs="宋体"/>
          <w:color w:val="000000"/>
          <w:kern w:val="2"/>
          <w:sz w:val="24"/>
          <w:szCs w:val="24"/>
          <w:lang w:val="en-US" w:eastAsia="zh-CN" w:bidi="ar"/>
        </w:rPr>
        <w:t>100,000.00</w:t>
      </w:r>
      <w:r>
        <w:rPr>
          <w:rFonts w:hint="eastAsia" w:ascii="宋体" w:hAnsi="宋体" w:eastAsia="宋体" w:cs="宋体"/>
          <w:kern w:val="2"/>
          <w:sz w:val="24"/>
          <w:szCs w:val="24"/>
          <w:lang w:val="en-US" w:eastAsia="zh-CN" w:bidi="ar"/>
        </w:rPr>
        <w:t>份</w:t>
      </w:r>
      <w:r>
        <w:rPr>
          <w:rFonts w:hint="eastAsia" w:ascii="宋体" w:hAnsi="宋体" w:eastAsia="宋体" w:cs="宋体"/>
          <w:color w:val="000000"/>
          <w:kern w:val="2"/>
          <w:sz w:val="24"/>
          <w:szCs w:val="24"/>
          <w:lang w:val="en-US" w:eastAsia="zh-CN" w:bidi="ar"/>
        </w:rPr>
        <w:t>。假设管理人提取超过5.00%的50%作为浮动管理费，浮动管理费计提基</w:t>
      </w:r>
      <w:r>
        <w:rPr>
          <w:rFonts w:hint="eastAsia" w:ascii="宋体" w:hAnsi="宋体" w:eastAsia="宋体" w:cs="宋体"/>
          <w:color w:val="000000"/>
          <w:kern w:val="2"/>
          <w:sz w:val="24"/>
          <w:szCs w:val="24"/>
          <w:lang w:val="en-US" w:eastAsia="zh" w:bidi="ar"/>
        </w:rPr>
        <w:t>数</w:t>
      </w:r>
      <w:r>
        <w:rPr>
          <w:rFonts w:hint="eastAsia" w:ascii="宋体" w:hAnsi="宋体" w:eastAsia="宋体" w:cs="宋体"/>
          <w:color w:val="000000"/>
          <w:kern w:val="2"/>
          <w:sz w:val="24"/>
          <w:szCs w:val="24"/>
          <w:lang w:val="en-US" w:eastAsia="zh-CN" w:bidi="ar"/>
        </w:rPr>
        <w:t>为5.00%，期间无分红。赎回时扣除托管费、固定管理费、销售服务费（如有）后，如理财计划净值为1.0615，此时，(1.0615/1.00-1)×365/362=6.20%&gt;5.00%，即投资收益超过〖5.00%〗，则投资管理人对超过〖5.00%〗部分收益收取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（100,000.00×1.0615-100,000.00×1.0000-100,000.00×1.0000×5.00%×362/365）×50%=595.55（元）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100,000.00×（1.0615-1.00）-595.55 =5,554.45（元），理财计划赎回时，投资者获得的实际收益相当于达到年化收益率水平为：5,554.45/100,000.00×365/362=5.60%。</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扣除托管费、固定管理费、销售服务费（如有）后，投资收益率未达到浮动管理费计提基</w:t>
      </w:r>
      <w:r>
        <w:rPr>
          <w:rFonts w:hint="eastAsia" w:ascii="宋体" w:hAnsi="宋体" w:eastAsia="宋体" w:cs="宋体"/>
          <w:b/>
          <w:bCs/>
          <w:color w:val="000000"/>
          <w:kern w:val="2"/>
          <w:sz w:val="24"/>
          <w:szCs w:val="24"/>
          <w:lang w:val="en-US" w:eastAsia="zh" w:bidi="ar"/>
        </w:rPr>
        <w:t>数</w:t>
      </w:r>
      <w:r>
        <w:rPr>
          <w:rFonts w:hint="eastAsia" w:ascii="宋体" w:hAnsi="宋体" w:eastAsia="宋体" w:cs="宋体"/>
          <w:b/>
          <w:bCs/>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w:t>
      </w:r>
      <w:r>
        <w:rPr>
          <w:rFonts w:hint="eastAsia" w:ascii="宋体" w:hAnsi="宋体" w:eastAsia="宋体" w:cs="宋体"/>
          <w:kern w:val="2"/>
          <w:sz w:val="24"/>
          <w:szCs w:val="24"/>
          <w:lang w:val="en-US" w:eastAsia="zh-CN" w:bidi="ar"/>
        </w:rPr>
        <w:t>赎回份额</w:t>
      </w:r>
      <w:r>
        <w:rPr>
          <w:rFonts w:hint="eastAsia" w:ascii="宋体" w:hAnsi="宋体" w:eastAsia="宋体" w:cs="宋体"/>
          <w:color w:val="000000"/>
          <w:kern w:val="2"/>
          <w:sz w:val="24"/>
          <w:szCs w:val="24"/>
          <w:lang w:val="en-US" w:eastAsia="zh-CN" w:bidi="ar"/>
        </w:rPr>
        <w:t>100,000.00</w:t>
      </w:r>
      <w:r>
        <w:rPr>
          <w:rFonts w:hint="eastAsia" w:ascii="宋体" w:hAnsi="宋体" w:eastAsia="宋体" w:cs="宋体"/>
          <w:kern w:val="2"/>
          <w:sz w:val="24"/>
          <w:szCs w:val="24"/>
          <w:lang w:val="en-US" w:eastAsia="zh-CN" w:bidi="ar"/>
        </w:rPr>
        <w:t>份</w:t>
      </w:r>
      <w:r>
        <w:rPr>
          <w:rFonts w:hint="eastAsia" w:ascii="宋体" w:hAnsi="宋体" w:eastAsia="宋体" w:cs="宋体"/>
          <w:color w:val="000000"/>
          <w:kern w:val="2"/>
          <w:sz w:val="24"/>
          <w:szCs w:val="24"/>
          <w:lang w:val="en-US" w:eastAsia="zh-CN" w:bidi="ar"/>
        </w:rPr>
        <w:t>。假设管理人提取超过5.00%的50%作为浮动管理费，</w:t>
      </w:r>
      <w:r>
        <w:rPr>
          <w:rFonts w:hint="eastAsia" w:ascii="宋体" w:hAnsi="宋体" w:eastAsia="宋体" w:cs="宋体"/>
          <w:b w:val="0"/>
          <w:bCs w:val="0"/>
          <w:kern w:val="2"/>
          <w:sz w:val="24"/>
          <w:szCs w:val="24"/>
          <w:lang w:val="en-US" w:eastAsia="zh-CN" w:bidi="ar"/>
        </w:rPr>
        <w:t>浮动管理费计提基</w:t>
      </w:r>
      <w:r>
        <w:rPr>
          <w:rFonts w:hint="eastAsia" w:ascii="宋体" w:hAnsi="宋体" w:eastAsia="宋体" w:cs="宋体"/>
          <w:b w:val="0"/>
          <w:bCs w:val="0"/>
          <w:kern w:val="2"/>
          <w:sz w:val="24"/>
          <w:szCs w:val="24"/>
          <w:lang w:val="en-US" w:eastAsia="zh" w:bidi="ar"/>
        </w:rPr>
        <w:t>数</w:t>
      </w:r>
      <w:r>
        <w:rPr>
          <w:rFonts w:hint="eastAsia" w:ascii="宋体" w:hAnsi="宋体" w:eastAsia="宋体" w:cs="宋体"/>
          <w:kern w:val="2"/>
          <w:sz w:val="24"/>
          <w:szCs w:val="24"/>
          <w:lang w:val="en-US" w:eastAsia="zh-CN" w:bidi="ar"/>
        </w:rPr>
        <w:t>为5.00%</w:t>
      </w:r>
      <w:r>
        <w:rPr>
          <w:rFonts w:hint="eastAsia" w:ascii="宋体" w:hAnsi="宋体" w:eastAsia="宋体" w:cs="宋体"/>
          <w:color w:val="000000"/>
          <w:kern w:val="2"/>
          <w:sz w:val="24"/>
          <w:szCs w:val="24"/>
          <w:lang w:val="en-US" w:eastAsia="zh-CN" w:bidi="ar"/>
        </w:rPr>
        <w:t>，期间无分红。赎回时扣除托管费、固定管理费、销售服务费（如有）后，如理财计划净值为1.0426，此时，(1.0426/1.00-1)×365/362=4.30%&lt;5.00%，即投资收益未达到〖5.00%〗，则投资管理人不收取浮动管理费，投资者最终收益为：100,000.00×(1.0426-1.00）=4,260.00（元）</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lang w:val="en-US" w:eastAsia="zh-CN" w:bidi="ar"/>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bCs/>
          <w:color w:val="000000"/>
          <w:kern w:val="2"/>
          <w:sz w:val="24"/>
          <w:szCs w:val="24"/>
          <w:lang w:val="en-US" w:eastAsia="zh" w:bidi="ar"/>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w:t>
      </w:r>
      <w:r>
        <w:rPr>
          <w:rFonts w:hint="eastAsia" w:ascii="宋体" w:hAnsi="宋体" w:eastAsia="宋体" w:cs="宋体"/>
          <w:kern w:val="2"/>
          <w:sz w:val="24"/>
          <w:szCs w:val="24"/>
          <w:lang w:val="en-US" w:eastAsia="zh-CN" w:bidi="ar"/>
        </w:rPr>
        <w:t>赎回份额</w:t>
      </w:r>
      <w:r>
        <w:rPr>
          <w:rFonts w:hint="eastAsia" w:ascii="宋体" w:hAnsi="宋体" w:eastAsia="宋体" w:cs="宋体"/>
          <w:color w:val="000000"/>
          <w:kern w:val="2"/>
          <w:sz w:val="24"/>
          <w:szCs w:val="24"/>
          <w:lang w:val="en-US" w:eastAsia="zh-CN" w:bidi="ar"/>
        </w:rPr>
        <w:t>100,000.00</w:t>
      </w:r>
      <w:r>
        <w:rPr>
          <w:rFonts w:hint="eastAsia" w:ascii="宋体" w:hAnsi="宋体" w:eastAsia="宋体" w:cs="宋体"/>
          <w:kern w:val="2"/>
          <w:sz w:val="24"/>
          <w:szCs w:val="24"/>
          <w:lang w:val="en-US" w:eastAsia="zh-CN" w:bidi="ar"/>
        </w:rPr>
        <w:t>份</w:t>
      </w:r>
      <w:r>
        <w:rPr>
          <w:rFonts w:hint="eastAsia" w:ascii="宋体" w:hAnsi="宋体" w:eastAsia="宋体" w:cs="宋体"/>
          <w:color w:val="000000"/>
          <w:kern w:val="2"/>
          <w:sz w:val="24"/>
          <w:szCs w:val="24"/>
          <w:lang w:val="en-US" w:eastAsia="zh-CN" w:bidi="ar"/>
        </w:rPr>
        <w:t>。假设管理人提取超过5.00%的50%作为浮动管理费，</w:t>
      </w:r>
      <w:r>
        <w:rPr>
          <w:rFonts w:hint="eastAsia" w:ascii="宋体" w:hAnsi="宋体" w:eastAsia="宋体" w:cs="宋体"/>
          <w:b w:val="0"/>
          <w:bCs w:val="0"/>
          <w:kern w:val="2"/>
          <w:sz w:val="24"/>
          <w:szCs w:val="24"/>
          <w:lang w:val="en-US" w:eastAsia="zh-CN" w:bidi="ar"/>
        </w:rPr>
        <w:t>浮动管理费计提基准</w:t>
      </w:r>
      <w:r>
        <w:rPr>
          <w:rFonts w:hint="eastAsia" w:ascii="宋体" w:hAnsi="宋体" w:eastAsia="宋体" w:cs="宋体"/>
          <w:kern w:val="2"/>
          <w:sz w:val="24"/>
          <w:szCs w:val="24"/>
          <w:lang w:val="en-US" w:eastAsia="zh-CN" w:bidi="ar"/>
        </w:rPr>
        <w:t>为5.00%</w:t>
      </w:r>
      <w:r>
        <w:rPr>
          <w:rFonts w:hint="eastAsia" w:ascii="宋体" w:hAnsi="宋体" w:eastAsia="宋体" w:cs="宋体"/>
          <w:color w:val="000000"/>
          <w:kern w:val="2"/>
          <w:sz w:val="24"/>
          <w:szCs w:val="24"/>
          <w:lang w:val="en-US" w:eastAsia="zh-CN" w:bidi="ar"/>
        </w:rPr>
        <w:t>，期间无分红。赎回时扣除托管费、固定管理费、销售服务费（如有）后，如理财计划净值为0.9975，则投资管理人不收取浮动管理费，投资者最终收益为：100,000.00×（0.9975-1.00）=-250.00（元）</w:t>
      </w:r>
      <w:r>
        <w:rPr>
          <w:rFonts w:hint="eastAsia" w:ascii="宋体" w:hAnsi="宋体" w:eastAsia="宋体" w:cs="宋体"/>
          <w:color w:val="000000"/>
          <w:kern w:val="2"/>
          <w:sz w:val="24"/>
          <w:szCs w:val="24"/>
          <w:lang w:val="en-US" w:eastAsia="zh" w:bidi="ar"/>
        </w:rPr>
        <w:t>。</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w:t>
      </w:r>
      <w:r>
        <w:rPr>
          <w:rFonts w:hint="eastAsia" w:ascii="宋体" w:hAnsi="宋体" w:cs="宋体"/>
          <w:bCs/>
          <w:color w:val="000000"/>
          <w:sz w:val="24"/>
          <w:highlight w:val="none"/>
        </w:rPr>
        <w:t>1</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〗上午〖</w:t>
      </w:r>
      <w:r>
        <w:rPr>
          <w:rFonts w:hint="eastAsia" w:ascii="宋体" w:hAnsi="宋体" w:cs="宋体"/>
          <w:bCs/>
          <w:color w:val="000000"/>
          <w:sz w:val="24"/>
          <w:highlight w:val="none"/>
        </w:rPr>
        <w:t>9:00</w:t>
      </w:r>
      <w:r>
        <w:rPr>
          <w:rFonts w:hint="eastAsia" w:ascii="宋体" w:hAnsi="宋体" w:cs="宋体"/>
          <w:bCs/>
          <w:sz w:val="24"/>
          <w:highlight w:val="none"/>
        </w:rPr>
        <w:t>〗至下午〖</w:t>
      </w:r>
      <w:r>
        <w:rPr>
          <w:rFonts w:hint="eastAsia" w:ascii="宋体" w:hAnsi="宋体" w:cs="宋体"/>
          <w:bCs/>
          <w:color w:val="000000"/>
          <w:sz w:val="24"/>
          <w:highlight w:val="none"/>
        </w:rPr>
        <w:t>17:00〗</w:t>
      </w:r>
      <w:r>
        <w:rPr>
          <w:rFonts w:hint="eastAsia" w:ascii="宋体" w:hAnsi="宋体" w:cs="宋体"/>
          <w:bCs/>
          <w:sz w:val="24"/>
          <w:highlight w:val="none"/>
        </w:rPr>
        <w:t>。</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lang w:eastAsia="zh-CN"/>
        </w:rPr>
        <w:t>如新增申</w:t>
      </w:r>
      <w:r>
        <w:rPr>
          <w:rFonts w:hint="eastAsia" w:ascii="宋体" w:hAnsi="宋体" w:cs="宋体"/>
          <w:bCs/>
          <w:color w:val="000000"/>
          <w:sz w:val="24"/>
          <w:highlight w:val="none"/>
          <w:lang w:val="en-US" w:eastAsia="zh-CN"/>
        </w:rPr>
        <w:t>购使得单一投资者持有份额比例超过理财计划总份额的50％，管理人将不再接受超出部分的申购申请。非因投资管理人主观因素导致突破前款规定比例限制的，在单一投资者持有比例降至50％以下之前，管理人将不再接受该投资者对该理财计划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eastAsia="宋体" w:cs="宋体"/>
          <w:bCs/>
          <w:kern w:val="2"/>
          <w:sz w:val="24"/>
          <w:szCs w:val="24"/>
          <w:highlight w:val="none"/>
          <w:lang w:val="en-US" w:eastAsia="zh-CN" w:bidi="ar-SA"/>
        </w:rPr>
        <w:t>〖确认日当日〗</w:t>
      </w:r>
      <w:r>
        <w:rPr>
          <w:rFonts w:hint="eastAsia" w:ascii="宋体" w:hAnsi="宋体" w:cs="宋体"/>
          <w:bCs/>
          <w:sz w:val="24"/>
          <w:highlight w:val="none"/>
        </w:rPr>
        <w:t>，最晚</w:t>
      </w:r>
      <w:r>
        <w:rPr>
          <w:rFonts w:hint="eastAsia" w:ascii="宋体" w:hAnsi="宋体" w:eastAsia="宋体" w:cs="宋体"/>
          <w:bCs/>
          <w:kern w:val="2"/>
          <w:sz w:val="24"/>
          <w:szCs w:val="24"/>
          <w:highlight w:val="none"/>
          <w:lang w:val="en-US" w:eastAsia="zh-CN" w:bidi="ar-SA"/>
        </w:rPr>
        <w:t>确认日后〖2〗个〖工作日〗内</w:t>
      </w:r>
      <w:r>
        <w:rPr>
          <w:rFonts w:hint="eastAsia" w:ascii="宋体" w:hAnsi="宋体" w:cs="宋体"/>
          <w:bCs/>
          <w:sz w:val="24"/>
          <w:highlight w:val="none"/>
        </w:rPr>
        <w:t>（遇节假日顺延）支付。如遇资金在途或法定工作日调整，实际资金到账日以公告为准。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w:t>
      </w:r>
      <w:r>
        <w:rPr>
          <w:rFonts w:hint="eastAsia" w:ascii="宋体" w:hAnsi="宋体" w:cs="宋体"/>
          <w:bCs/>
          <w:color w:val="000000"/>
          <w:sz w:val="24"/>
          <w:highlight w:val="none"/>
        </w:rPr>
        <w:t>10%</w:t>
      </w:r>
      <w:r>
        <w:rPr>
          <w:rFonts w:hint="eastAsia" w:ascii="宋体" w:hAnsi="宋体" w:cs="宋体"/>
          <w:bCs/>
          <w:sz w:val="24"/>
          <w:highlight w:val="none"/>
        </w:rPr>
        <w:t>〗时，即构成巨额赎回。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如连续2日（含）以上开放日发生巨额赎回，对于已经接受的赎回申请，管理人可以延缓支付赎回款项，但延缓期限不得超过20个工作日。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w:t>
      </w:r>
      <w:r>
        <w:rPr>
          <w:rFonts w:hint="eastAsia" w:ascii="宋体" w:hAnsi="宋体" w:cs="宋体"/>
          <w:bCs/>
          <w:color w:val="000000"/>
          <w:sz w:val="24"/>
          <w:highlight w:val="none"/>
        </w:rPr>
        <w:t>10%</w:t>
      </w:r>
      <w:r>
        <w:rPr>
          <w:rFonts w:hint="eastAsia" w:ascii="宋体" w:hAnsi="宋体" w:cs="宋体"/>
          <w:bCs/>
          <w:sz w:val="24"/>
          <w:highlight w:val="none"/>
        </w:rPr>
        <w:t>〗的前提下，对其余赎回申请予以拒绝，但投资者可于下一赎回开放期重新进行赎回申请。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bCs/>
          <w:kern w:val="2"/>
          <w:sz w:val="24"/>
          <w:szCs w:val="24"/>
          <w:highlight w:val="none"/>
          <w:lang w:val="en-US" w:eastAsia="zh-CN" w:bidi="ar-SA"/>
        </w:rPr>
        <w:t>1</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〗、最晚〖</w:t>
      </w:r>
      <w:r>
        <w:rPr>
          <w:rFonts w:hint="eastAsia" w:ascii="宋体" w:hAnsi="宋体" w:eastAsia="宋体" w:cs="宋体"/>
          <w:bCs/>
          <w:kern w:val="2"/>
          <w:sz w:val="24"/>
          <w:szCs w:val="24"/>
          <w:highlight w:val="none"/>
          <w:lang w:val="en-US" w:eastAsia="zh-CN" w:bidi="ar-SA"/>
        </w:rPr>
        <w:t>3</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bCs/>
          <w:color w:val="000000"/>
          <w:sz w:val="24"/>
          <w:highlight w:val="none"/>
        </w:rPr>
        <w:t>2〗</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〗通过管理人或销售机构发布提前终止公告，并于终止日后</w:t>
      </w:r>
      <w:r>
        <w:rPr>
          <w:rFonts w:hint="eastAsia" w:ascii="宋体" w:hAnsi="宋体" w:cs="宋体"/>
          <w:sz w:val="24"/>
          <w:szCs w:val="24"/>
          <w:highlight w:val="none"/>
        </w:rPr>
        <w:t>〖</w:t>
      </w:r>
      <w:r>
        <w:rPr>
          <w:rFonts w:hint="eastAsia" w:ascii="宋体" w:hAnsi="宋体" w:cs="宋体"/>
          <w:kern w:val="2"/>
          <w:sz w:val="24"/>
          <w:szCs w:val="24"/>
          <w:highlight w:val="none"/>
          <w:lang w:val="en-US" w:eastAsia="zh" w:bidi="ar-SA"/>
        </w:rPr>
        <w:t>3</w:t>
      </w:r>
      <w:r>
        <w:rPr>
          <w:rFonts w:hint="eastAsia" w:ascii="宋体" w:hAnsi="宋体" w:cs="宋体"/>
          <w:bCs/>
          <w:color w:val="000000"/>
          <w:sz w:val="24"/>
          <w:highlight w:val="none"/>
        </w:rPr>
        <w:t>〗</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r>
        <w:rPr>
          <w:rFonts w:hint="eastAsia" w:ascii="宋体" w:hAnsi="宋体" w:cs="宋体"/>
          <w:bCs/>
          <w:color w:val="000000"/>
          <w:sz w:val="24"/>
          <w:highlight w:val="none"/>
          <w:lang w:eastAsia="zh"/>
        </w:rPr>
        <w:t>公募开放式产品至少每周披露净值。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
          <w:bCs/>
          <w:color w:val="000000"/>
          <w:sz w:val="44"/>
          <w:szCs w:val="4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br w:type="page"/>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numPr>
          <w:ilvl w:val="0"/>
          <w:numId w:val="64"/>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w:t>
      </w:r>
      <w:r>
        <w:rPr>
          <w:rFonts w:hint="eastAsia" w:ascii="宋体" w:hAnsi="宋体" w:cs="宋体"/>
          <w:kern w:val="0"/>
          <w:sz w:val="24"/>
          <w:highlight w:val="none"/>
          <w:lang w:val="en-US" w:eastAsia="zh-CN"/>
        </w:rPr>
        <w:t>代理销售</w:t>
      </w:r>
      <w:r>
        <w:rPr>
          <w:rFonts w:hint="eastAsia" w:ascii="宋体" w:hAnsi="宋体" w:cs="宋体"/>
          <w:kern w:val="0"/>
          <w:sz w:val="24"/>
          <w:highlight w:val="none"/>
          <w:lang w:eastAsia="zh-CN"/>
        </w:rPr>
        <w:t>）销售协议书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r>
        <w:rPr>
          <w:rFonts w:hint="eastAsia" w:ascii="宋体" w:hAnsi="宋体" w:cs="宋体"/>
          <w:kern w:val="0"/>
          <w:sz w:val="24"/>
          <w:highlight w:val="none"/>
          <w:lang w:val="en-US" w:eastAsia="zh-CN"/>
        </w:rPr>
        <w:t>在没有销售人员推介的情况下，投资者通过自助终端等电子设备进行自主购买的情况除外。</w:t>
      </w:r>
    </w:p>
    <w:p>
      <w:pPr>
        <w:numPr>
          <w:ilvl w:val="0"/>
          <w:numId w:val="64"/>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pStyle w:val="20"/>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投资者如认为理财</w:t>
      </w:r>
      <w:r>
        <w:rPr>
          <w:rFonts w:hint="eastAsia" w:ascii="宋体" w:hAnsi="宋体" w:cs="宋体"/>
          <w:kern w:val="0"/>
          <w:sz w:val="24"/>
          <w:highlight w:val="none"/>
          <w:lang w:val="en-US" w:eastAsia="zh-CN"/>
        </w:rPr>
        <w:t>计划</w:t>
      </w:r>
      <w:r>
        <w:rPr>
          <w:rFonts w:hint="eastAsia" w:ascii="宋体" w:hAnsi="宋体" w:cs="宋体"/>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kern w:val="0"/>
          <w:sz w:val="24"/>
          <w:highlight w:val="none"/>
          <w:lang w:val="en-US" w:eastAsia="zh-CN"/>
        </w:rPr>
        <w:t>或管理人</w:t>
      </w:r>
      <w:r>
        <w:rPr>
          <w:rFonts w:hint="eastAsia" w:ascii="宋体" w:hAnsi="宋体" w:cs="宋体"/>
          <w:kern w:val="0"/>
          <w:sz w:val="24"/>
          <w:highlight w:val="none"/>
        </w:rPr>
        <w:t>热线或客服电话进行反馈</w:t>
      </w:r>
      <w:r>
        <w:rPr>
          <w:rFonts w:hint="eastAsia" w:ascii="宋体" w:hAnsi="宋体" w:cs="宋体"/>
          <w:kern w:val="0"/>
          <w:sz w:val="24"/>
          <w:highlight w:val="none"/>
          <w:lang w:eastAsia="zh-CN"/>
        </w:rPr>
        <w:t>，</w:t>
      </w:r>
      <w:r>
        <w:rPr>
          <w:rFonts w:hint="eastAsia" w:ascii="宋体" w:hAnsi="宋体" w:cs="宋体"/>
          <w:kern w:val="0"/>
          <w:sz w:val="24"/>
          <w:highlight w:val="none"/>
        </w:rPr>
        <w:t>将由专人接听、记录您的意见建议，并由双方协商共同解决。</w:t>
      </w:r>
    </w:p>
    <w:p>
      <w:pPr>
        <w:numPr>
          <w:ilvl w:val="0"/>
          <w:numId w:val="70"/>
        </w:numPr>
        <w:spacing w:line="360" w:lineRule="auto"/>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杭银理财联络方式：</w:t>
      </w:r>
    </w:p>
    <w:p>
      <w:pPr>
        <w:numPr>
          <w:ilvl w:val="0"/>
          <w:numId w:val="71"/>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r>
        <w:rPr>
          <w:rFonts w:ascii="宋体" w:hAnsi="宋体" w:cs="宋体"/>
          <w:bCs/>
          <w:color w:val="000000"/>
          <w:sz w:val="24"/>
          <w:highlight w:val="none"/>
        </w:rPr>
        <w:br w:type="page"/>
      </w:r>
    </w:p>
    <w:p>
      <w:pPr>
        <w:jc w:val="center"/>
        <w:outlineLvl w:val="0"/>
        <w:rPr>
          <w:rFonts w:hint="eastAsia"/>
          <w:b/>
          <w:sz w:val="44"/>
          <w:szCs w:val="44"/>
          <w:highlight w:val="none"/>
        </w:rPr>
      </w:pP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contextualSpacing/>
        <w:outlineLvl w:val="2"/>
        <w:rPr>
          <w:rFonts w:ascii="宋体" w:hAnsi="宋体"/>
          <w:sz w:val="24"/>
          <w:highlight w:val="none"/>
        </w:rPr>
      </w:pPr>
      <w:r>
        <w:rPr>
          <w:rFonts w:hint="eastAsia" w:ascii="宋体" w:hAnsi="宋体"/>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74"/>
        </w:numPr>
        <w:spacing w:line="360" w:lineRule="auto"/>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val="en-US" w:eastAsia="zh-CN"/>
        </w:rPr>
        <w:t>被告人</w:t>
      </w:r>
      <w:r>
        <w:rPr>
          <w:rFonts w:hint="eastAsia" w:ascii="宋体" w:hAnsi="宋体"/>
          <w:sz w:val="24"/>
          <w:highlight w:val="none"/>
        </w:rPr>
        <w:t>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w:t>
      </w:r>
      <w:r>
        <w:rPr>
          <w:rFonts w:hint="eastAsia" w:ascii="宋体" w:hAnsi="宋体"/>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sz w:val="24"/>
          <w:highlight w:val="none"/>
        </w:rPr>
        <w:t>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9"/>
        <w:widowControl/>
        <w:spacing w:line="360" w:lineRule="auto"/>
        <w:jc w:val="right"/>
        <w:rPr>
          <w:rFonts w:ascii="宋体" w:hAnsi="宋体" w:cs="宋体"/>
          <w:bCs/>
          <w:color w:val="000000"/>
          <w:sz w:val="24"/>
          <w:highlight w:val="none"/>
        </w:rPr>
      </w:pPr>
      <w:r>
        <w:rPr>
          <w:rFonts w:hint="eastAsia" w:ascii="宋体" w:hAnsi="宋体" w:cs="宋体"/>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sz w:val="24"/>
          <w:highlight w:val="none"/>
        </w:rPr>
        <w:t>本页为纸质形式（如有）</w:t>
      </w:r>
      <w:r>
        <w:rPr>
          <w:rFonts w:hint="eastAsia" w:ascii="宋体" w:hAnsi="宋体"/>
          <w:sz w:val="24"/>
          <w:highlight w:val="none"/>
          <w:lang w:val="en-US" w:eastAsia="zh-CN"/>
        </w:rPr>
        <w:t>投资</w:t>
      </w:r>
      <w:r>
        <w:rPr>
          <w:rFonts w:hint="eastAsia" w:ascii="宋体" w:hAnsi="宋体"/>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sz w:val="24"/>
          <w:highlight w:val="none"/>
        </w:rPr>
        <w:t>投资者（签字</w:t>
      </w:r>
      <w:r>
        <w:rPr>
          <w:rFonts w:hint="eastAsia" w:ascii="宋体" w:hAnsi="宋体" w:eastAsia="宋体" w:cs="黑体"/>
          <w:b/>
          <w:bCs/>
          <w:sz w:val="24"/>
          <w:highlight w:val="none"/>
          <w:lang w:eastAsia="zh-CN"/>
        </w:rPr>
        <w:t>或签章</w:t>
      </w:r>
      <w:r>
        <w:rPr>
          <w:rFonts w:hint="eastAsia" w:ascii="宋体" w:hAnsi="宋体"/>
          <w:b/>
          <w:bCs/>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sz w:val="24"/>
          <w:highlight w:val="none"/>
        </w:rPr>
        <w:t xml:space="preserve">   年   月   日</w:t>
      </w:r>
    </w:p>
    <w:p>
      <w:pPr>
        <w:pageBreakBefore/>
        <w:widowControl/>
        <w:spacing w:line="120" w:lineRule="auto"/>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202502</w:t>
      </w:r>
      <w:r>
        <w:rPr>
          <w:rFonts w:hint="eastAsia" w:ascii="宋体" w:hAnsi="宋体" w:eastAsia="宋体" w:cs="宋体"/>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（202502</w:t>
      </w:r>
      <w:r>
        <w:rPr>
          <w:rFonts w:hint="eastAsia" w:ascii="Calibri" w:hAnsi="Calibri" w:eastAsia="宋体" w:cs="黑体"/>
          <w:b/>
          <w:bCs/>
          <w:sz w:val="24"/>
          <w:highlight w:val="none"/>
          <w:lang w:val="en-US" w:eastAsia="zh-CN"/>
        </w:rPr>
        <w:t>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20" w:firstLineChars="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20" w:firstLineChars="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20" w:firstLineChars="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20" w:firstLineChars="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20" w:firstLineChars="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20" w:firstLineChars="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20" w:firstLineChars="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20" w:firstLineChars="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20" w:firstLineChars="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20" w:firstLineChars="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20" w:firstLineChars="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20" w:firstLineChars="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20" w:firstLineChars="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20" w:firstLineChars="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被告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w:t>
      </w:r>
      <w:r>
        <w:rPr>
          <w:rFonts w:hint="eastAsia" w:ascii="宋体" w:hAnsi="宋体"/>
          <w:sz w:val="24"/>
          <w:highlight w:val="none"/>
        </w:rPr>
        <w:t>以纸质书面形式订立的，自投资者签</w:t>
      </w:r>
      <w:r>
        <w:rPr>
          <w:rFonts w:hint="eastAsia" w:ascii="宋体" w:hAnsi="宋体"/>
          <w:sz w:val="24"/>
          <w:highlight w:val="none"/>
          <w:lang w:val="en-US" w:eastAsia="zh-CN"/>
        </w:rPr>
        <w:t>署（如投资者为个人，应签字；如投资者为机构，应法定代表人或授权代理人签字或盖章并加盖公章或有效授权印章）</w:t>
      </w:r>
      <w:r>
        <w:rPr>
          <w:rFonts w:hint="eastAsia" w:ascii="宋体" w:hAnsi="宋体"/>
          <w:sz w:val="24"/>
          <w:highlight w:val="none"/>
        </w:rPr>
        <w:t>和</w:t>
      </w:r>
      <w:r>
        <w:rPr>
          <w:rFonts w:hint="eastAsia" w:ascii="宋体" w:hAnsi="宋体"/>
          <w:sz w:val="24"/>
          <w:highlight w:val="none"/>
          <w:lang w:eastAsia="zh-CN"/>
        </w:rPr>
        <w:t>销售机构</w:t>
      </w:r>
      <w:r>
        <w:rPr>
          <w:rFonts w:hint="eastAsia" w:ascii="宋体" w:hAnsi="宋体"/>
          <w:sz w:val="24"/>
          <w:highlight w:val="none"/>
        </w:rPr>
        <w:t>签章之后立即生效。协议一式叁份，投资者、管理人和</w:t>
      </w:r>
      <w:r>
        <w:rPr>
          <w:rFonts w:hint="eastAsia" w:ascii="宋体" w:hAnsi="宋体"/>
          <w:sz w:val="24"/>
          <w:highlight w:val="none"/>
          <w:lang w:eastAsia="zh-CN"/>
        </w:rPr>
        <w:t>销售机构</w:t>
      </w:r>
      <w:r>
        <w:rPr>
          <w:rFonts w:hint="eastAsia" w:ascii="宋体" w:hAnsi="宋体"/>
          <w:sz w:val="24"/>
          <w:highlight w:val="none"/>
        </w:rPr>
        <w:t>各执壹份，具有同等法律效力。</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sz w:val="24"/>
          <w:highlight w:val="none"/>
        </w:rPr>
        <w:t xml:space="preserve">   年   月   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pPr>
    <w:r>
      <w:rPr>
        <w:rFonts w:hint="eastAsia"/>
        <w:b/>
        <w:bCs/>
      </w:rPr>
      <w:t>理财非存款 产品有风险 投资须谨慎</w:t>
    </w:r>
    <w:r>
      <w:rPr>
        <w:b/>
        <w:bCs/>
      </w:rPr>
      <w:drawing>
        <wp:anchor distT="0" distB="0" distL="114300" distR="114300" simplePos="0" relativeHeight="251660288"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1">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2">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3">
    <w:nsid w:val="D8D75090"/>
    <w:multiLevelType w:val="singleLevel"/>
    <w:tmpl w:val="D8D75090"/>
    <w:lvl w:ilvl="0" w:tentative="0">
      <w:start w:val="1"/>
      <w:numFmt w:val="decimal"/>
      <w:suff w:val="nothing"/>
      <w:lvlText w:val="（%1）"/>
      <w:lvlJc w:val="left"/>
      <w:rPr>
        <w:rFonts w:hint="default"/>
        <w:b w:val="0"/>
        <w:bCs w:val="0"/>
      </w:rPr>
    </w:lvl>
  </w:abstractNum>
  <w:abstractNum w:abstractNumId="24">
    <w:nsid w:val="DD2251DF"/>
    <w:multiLevelType w:val="singleLevel"/>
    <w:tmpl w:val="DD2251DF"/>
    <w:lvl w:ilvl="0" w:tentative="0">
      <w:start w:val="1"/>
      <w:numFmt w:val="decimal"/>
      <w:suff w:val="nothing"/>
      <w:lvlText w:val="（%1）"/>
      <w:lvlJc w:val="left"/>
      <w:rPr>
        <w:rFonts w:hint="default"/>
        <w:b w:val="0"/>
        <w:bCs w:val="0"/>
      </w:rPr>
    </w:lvl>
  </w:abstractNum>
  <w:abstractNum w:abstractNumId="25">
    <w:nsid w:val="E20DF07A"/>
    <w:multiLevelType w:val="singleLevel"/>
    <w:tmpl w:val="E20DF07A"/>
    <w:lvl w:ilvl="0" w:tentative="0">
      <w:start w:val="1"/>
      <w:numFmt w:val="chineseCounting"/>
      <w:suff w:val="nothing"/>
      <w:lvlText w:val="（%1）"/>
      <w:lvlJc w:val="left"/>
      <w:pPr>
        <w:ind w:left="0" w:firstLine="420"/>
      </w:pPr>
      <w:rPr>
        <w:rFonts w:hint="eastAsia"/>
        <w:b/>
        <w:bCs/>
      </w:rPr>
    </w:lvl>
  </w:abstractNum>
  <w:abstractNum w:abstractNumId="26">
    <w:nsid w:val="E70DF796"/>
    <w:multiLevelType w:val="singleLevel"/>
    <w:tmpl w:val="E70DF796"/>
    <w:lvl w:ilvl="0" w:tentative="0">
      <w:start w:val="1"/>
      <w:numFmt w:val="decimal"/>
      <w:suff w:val="nothing"/>
      <w:lvlText w:val="（%1）"/>
      <w:lvlJc w:val="left"/>
    </w:lvl>
  </w:abstractNum>
  <w:abstractNum w:abstractNumId="27">
    <w:nsid w:val="EED9DB58"/>
    <w:multiLevelType w:val="multilevel"/>
    <w:tmpl w:val="EED9DB58"/>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8">
    <w:nsid w:val="EFF37F09"/>
    <w:multiLevelType w:val="singleLevel"/>
    <w:tmpl w:val="EFF37F09"/>
    <w:lvl w:ilvl="0" w:tentative="0">
      <w:start w:val="1"/>
      <w:numFmt w:val="decimal"/>
      <w:suff w:val="nothing"/>
      <w:lvlText w:val="（%1）"/>
      <w:lvlJc w:val="left"/>
      <w:rPr>
        <w:rFonts w:hint="default"/>
        <w:b w:val="0"/>
        <w:bCs w:val="0"/>
      </w:rPr>
    </w:lvl>
  </w:abstractNum>
  <w:abstractNum w:abstractNumId="29">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0">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1">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2">
    <w:nsid w:val="F574F5B6"/>
    <w:multiLevelType w:val="singleLevel"/>
    <w:tmpl w:val="F574F5B6"/>
    <w:lvl w:ilvl="0" w:tentative="0">
      <w:start w:val="1"/>
      <w:numFmt w:val="decimal"/>
      <w:suff w:val="nothing"/>
      <w:lvlText w:val="（%1）"/>
      <w:lvlJc w:val="left"/>
    </w:lvl>
  </w:abstractNum>
  <w:abstractNum w:abstractNumId="33">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4">
    <w:nsid w:val="FBBA18C3"/>
    <w:multiLevelType w:val="singleLevel"/>
    <w:tmpl w:val="FBBA18C3"/>
    <w:lvl w:ilvl="0" w:tentative="0">
      <w:start w:val="1"/>
      <w:numFmt w:val="decimal"/>
      <w:lvlText w:val="%1."/>
      <w:lvlJc w:val="left"/>
      <w:pPr>
        <w:tabs>
          <w:tab w:val="left" w:pos="312"/>
        </w:tabs>
      </w:pPr>
      <w:rPr>
        <w:rFonts w:hint="default"/>
        <w:b w:val="0"/>
        <w:bCs w:val="0"/>
        <w:highlight w:val="none"/>
      </w:rPr>
    </w:lvl>
  </w:abstractNum>
  <w:abstractNum w:abstractNumId="35">
    <w:nsid w:val="FEDAA435"/>
    <w:multiLevelType w:val="multilevel"/>
    <w:tmpl w:val="FEDAA435"/>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9C07A9C"/>
    <w:multiLevelType w:val="singleLevel"/>
    <w:tmpl w:val="69C07A9C"/>
    <w:lvl w:ilvl="0" w:tentative="0">
      <w:start w:val="1"/>
      <w:numFmt w:val="lowerLetter"/>
      <w:suff w:val="space"/>
      <w:lvlText w:val="%1."/>
      <w:lvlJc w:val="left"/>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35"/>
  </w:num>
  <w:num w:numId="6">
    <w:abstractNumId w:val="83"/>
  </w:num>
  <w:num w:numId="7">
    <w:abstractNumId w:val="38"/>
  </w:num>
  <w:num w:numId="8">
    <w:abstractNumId w:val="84"/>
  </w:num>
  <w:num w:numId="9">
    <w:abstractNumId w:val="57"/>
  </w:num>
  <w:num w:numId="10">
    <w:abstractNumId w:val="53"/>
  </w:num>
  <w:num w:numId="11">
    <w:abstractNumId w:val="33"/>
  </w:num>
  <w:num w:numId="12">
    <w:abstractNumId w:val="30"/>
  </w:num>
  <w:num w:numId="13">
    <w:abstractNumId w:val="39"/>
  </w:num>
  <w:num w:numId="14">
    <w:abstractNumId w:val="29"/>
  </w:num>
  <w:num w:numId="15">
    <w:abstractNumId w:val="20"/>
  </w:num>
  <w:num w:numId="16">
    <w:abstractNumId w:val="11"/>
  </w:num>
  <w:num w:numId="17">
    <w:abstractNumId w:val="17"/>
  </w:num>
  <w:num w:numId="18">
    <w:abstractNumId w:val="8"/>
  </w:num>
  <w:num w:numId="19">
    <w:abstractNumId w:val="9"/>
  </w:num>
  <w:num w:numId="20">
    <w:abstractNumId w:val="7"/>
  </w:num>
  <w:num w:numId="21">
    <w:abstractNumId w:val="34"/>
  </w:num>
  <w:num w:numId="22">
    <w:abstractNumId w:val="52"/>
  </w:num>
  <w:num w:numId="23">
    <w:abstractNumId w:val="32"/>
  </w:num>
  <w:num w:numId="24">
    <w:abstractNumId w:val="54"/>
  </w:num>
  <w:num w:numId="25">
    <w:abstractNumId w:val="59"/>
  </w:num>
  <w:num w:numId="26">
    <w:abstractNumId w:val="81"/>
  </w:num>
  <w:num w:numId="27">
    <w:abstractNumId w:val="45"/>
  </w:num>
  <w:num w:numId="28">
    <w:abstractNumId w:val="19"/>
  </w:num>
  <w:num w:numId="29">
    <w:abstractNumId w:val="44"/>
  </w:num>
  <w:num w:numId="30">
    <w:abstractNumId w:val="22"/>
  </w:num>
  <w:num w:numId="31">
    <w:abstractNumId w:val="6"/>
  </w:num>
  <w:num w:numId="32">
    <w:abstractNumId w:val="56"/>
  </w:num>
  <w:num w:numId="33">
    <w:abstractNumId w:val="5"/>
  </w:num>
  <w:num w:numId="34">
    <w:abstractNumId w:val="37"/>
  </w:num>
  <w:num w:numId="35">
    <w:abstractNumId w:val="42"/>
  </w:num>
  <w:num w:numId="36">
    <w:abstractNumId w:val="82"/>
  </w:num>
  <w:num w:numId="37">
    <w:abstractNumId w:val="36"/>
  </w:num>
  <w:num w:numId="38">
    <w:abstractNumId w:val="21"/>
  </w:num>
  <w:num w:numId="39">
    <w:abstractNumId w:val="47"/>
  </w:num>
  <w:num w:numId="40">
    <w:abstractNumId w:val="0"/>
  </w:num>
  <w:num w:numId="41">
    <w:abstractNumId w:val="24"/>
  </w:num>
  <w:num w:numId="42">
    <w:abstractNumId w:val="50"/>
  </w:num>
  <w:num w:numId="43">
    <w:abstractNumId w:val="3"/>
  </w:num>
  <w:num w:numId="44">
    <w:abstractNumId w:val="25"/>
  </w:num>
  <w:num w:numId="45">
    <w:abstractNumId w:val="27"/>
  </w:num>
  <w:num w:numId="46">
    <w:abstractNumId w:val="55"/>
  </w:num>
  <w:num w:numId="47">
    <w:abstractNumId w:val="40"/>
  </w:num>
  <w:num w:numId="48">
    <w:abstractNumId w:val="18"/>
  </w:num>
  <w:num w:numId="49">
    <w:abstractNumId w:val="31"/>
  </w:num>
  <w:num w:numId="50">
    <w:abstractNumId w:val="26"/>
  </w:num>
  <w:num w:numId="51">
    <w:abstractNumId w:val="28"/>
  </w:num>
  <w:num w:numId="52">
    <w:abstractNumId w:val="80"/>
  </w:num>
  <w:num w:numId="53">
    <w:abstractNumId w:val="46"/>
  </w:num>
  <w:num w:numId="54">
    <w:abstractNumId w:val="2"/>
  </w:num>
  <w:num w:numId="55">
    <w:abstractNumId w:val="58"/>
  </w:num>
  <w:num w:numId="56">
    <w:abstractNumId w:val="12"/>
  </w:num>
  <w:num w:numId="57">
    <w:abstractNumId w:val="10"/>
  </w:num>
  <w:num w:numId="58">
    <w:abstractNumId w:val="13"/>
  </w:num>
  <w:num w:numId="59">
    <w:abstractNumId w:val="41"/>
  </w:num>
  <w:num w:numId="60">
    <w:abstractNumId w:val="23"/>
  </w:num>
  <w:num w:numId="61">
    <w:abstractNumId w:val="4"/>
  </w:num>
  <w:num w:numId="62">
    <w:abstractNumId w:val="49"/>
  </w:num>
  <w:num w:numId="63">
    <w:abstractNumId w:val="67"/>
  </w:num>
  <w:num w:numId="64">
    <w:abstractNumId w:val="66"/>
  </w:num>
  <w:num w:numId="65">
    <w:abstractNumId w:val="68"/>
  </w:num>
  <w:num w:numId="66">
    <w:abstractNumId w:val="69"/>
  </w:num>
  <w:num w:numId="67">
    <w:abstractNumId w:val="70"/>
  </w:num>
  <w:num w:numId="68">
    <w:abstractNumId w:val="71"/>
  </w:num>
  <w:num w:numId="69">
    <w:abstractNumId w:val="72"/>
  </w:num>
  <w:num w:numId="70">
    <w:abstractNumId w:val="73"/>
  </w:num>
  <w:num w:numId="71">
    <w:abstractNumId w:val="48"/>
  </w:num>
  <w:num w:numId="72">
    <w:abstractNumId w:val="16"/>
  </w:num>
  <w:num w:numId="73">
    <w:abstractNumId w:val="60"/>
  </w:num>
  <w:num w:numId="74">
    <w:abstractNumId w:val="61"/>
  </w:num>
  <w:num w:numId="75">
    <w:abstractNumId w:val="62"/>
  </w:num>
  <w:num w:numId="76">
    <w:abstractNumId w:val="63"/>
  </w:num>
  <w:num w:numId="77">
    <w:abstractNumId w:val="64"/>
  </w:num>
  <w:num w:numId="78">
    <w:abstractNumId w:val="65"/>
  </w:num>
  <w:num w:numId="79">
    <w:abstractNumId w:val="74"/>
  </w:num>
  <w:num w:numId="80">
    <w:abstractNumId w:val="75"/>
  </w:num>
  <w:num w:numId="81">
    <w:abstractNumId w:val="15"/>
  </w:num>
  <w:num w:numId="82">
    <w:abstractNumId w:val="76"/>
  </w:num>
  <w:num w:numId="83">
    <w:abstractNumId w:val="77"/>
  </w:num>
  <w:num w:numId="84">
    <w:abstractNumId w:val="78"/>
  </w:num>
  <w:num w:numId="85">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1010CBF"/>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0F6D2F4F"/>
    <w:rsid w:val="0FFB8BAD"/>
    <w:rsid w:val="10AA409A"/>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DEE92B"/>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D3FA85E"/>
    <w:rsid w:val="2E16D82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844C09"/>
    <w:rsid w:val="35AA025C"/>
    <w:rsid w:val="35CA7D73"/>
    <w:rsid w:val="377307FA"/>
    <w:rsid w:val="37F449A0"/>
    <w:rsid w:val="3B1C12F3"/>
    <w:rsid w:val="3B4B7528"/>
    <w:rsid w:val="3BD53B5C"/>
    <w:rsid w:val="3CC57F13"/>
    <w:rsid w:val="3D4C282D"/>
    <w:rsid w:val="3D970F4E"/>
    <w:rsid w:val="3DE106C6"/>
    <w:rsid w:val="3E540971"/>
    <w:rsid w:val="3E786275"/>
    <w:rsid w:val="3E931F0D"/>
    <w:rsid w:val="3F7E2660"/>
    <w:rsid w:val="3F9147B5"/>
    <w:rsid w:val="3FA31FDD"/>
    <w:rsid w:val="3FFA261A"/>
    <w:rsid w:val="40A430BB"/>
    <w:rsid w:val="40E135DA"/>
    <w:rsid w:val="40FB25F3"/>
    <w:rsid w:val="41DE6DB8"/>
    <w:rsid w:val="41F528C8"/>
    <w:rsid w:val="427C1487"/>
    <w:rsid w:val="42FA026B"/>
    <w:rsid w:val="433226C6"/>
    <w:rsid w:val="43C800C0"/>
    <w:rsid w:val="444440BE"/>
    <w:rsid w:val="44AC49CD"/>
    <w:rsid w:val="44B91F56"/>
    <w:rsid w:val="46184F00"/>
    <w:rsid w:val="466F6F60"/>
    <w:rsid w:val="46A726DE"/>
    <w:rsid w:val="4745701D"/>
    <w:rsid w:val="47AC6180"/>
    <w:rsid w:val="48BF1281"/>
    <w:rsid w:val="4B2F6DF6"/>
    <w:rsid w:val="4CC51C60"/>
    <w:rsid w:val="4D3204EA"/>
    <w:rsid w:val="4D697EB1"/>
    <w:rsid w:val="4DFF95C2"/>
    <w:rsid w:val="4E08799D"/>
    <w:rsid w:val="4E2B414A"/>
    <w:rsid w:val="4F5679CC"/>
    <w:rsid w:val="501840BA"/>
    <w:rsid w:val="52B042C0"/>
    <w:rsid w:val="53827B5D"/>
    <w:rsid w:val="53E86B53"/>
    <w:rsid w:val="54D66C67"/>
    <w:rsid w:val="568633C7"/>
    <w:rsid w:val="57061882"/>
    <w:rsid w:val="57280BF2"/>
    <w:rsid w:val="582C3B01"/>
    <w:rsid w:val="582D059F"/>
    <w:rsid w:val="582D396D"/>
    <w:rsid w:val="59083CAE"/>
    <w:rsid w:val="592570E8"/>
    <w:rsid w:val="59435FE6"/>
    <w:rsid w:val="59480030"/>
    <w:rsid w:val="59A3360E"/>
    <w:rsid w:val="5ADE2855"/>
    <w:rsid w:val="5B056CAE"/>
    <w:rsid w:val="5C664A4B"/>
    <w:rsid w:val="5CE67D31"/>
    <w:rsid w:val="5E5F4050"/>
    <w:rsid w:val="5F04726A"/>
    <w:rsid w:val="5F6D37D2"/>
    <w:rsid w:val="5F9C081D"/>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99E5049"/>
    <w:rsid w:val="6BDE71F2"/>
    <w:rsid w:val="6C9577EB"/>
    <w:rsid w:val="6CBA3A99"/>
    <w:rsid w:val="6D3A1203"/>
    <w:rsid w:val="6D7F6733"/>
    <w:rsid w:val="6E9C369D"/>
    <w:rsid w:val="6EF41B11"/>
    <w:rsid w:val="6FB17196"/>
    <w:rsid w:val="702573F3"/>
    <w:rsid w:val="706E8E93"/>
    <w:rsid w:val="70B57531"/>
    <w:rsid w:val="70FA499F"/>
    <w:rsid w:val="713B571A"/>
    <w:rsid w:val="730C182D"/>
    <w:rsid w:val="73FC9A3F"/>
    <w:rsid w:val="751974A1"/>
    <w:rsid w:val="758B30E4"/>
    <w:rsid w:val="75F42331"/>
    <w:rsid w:val="761F7C3C"/>
    <w:rsid w:val="76683D2A"/>
    <w:rsid w:val="76C62D9E"/>
    <w:rsid w:val="779F8057"/>
    <w:rsid w:val="78244617"/>
    <w:rsid w:val="7A923507"/>
    <w:rsid w:val="7ACB640D"/>
    <w:rsid w:val="7BFF1A29"/>
    <w:rsid w:val="7C044D89"/>
    <w:rsid w:val="7C63442B"/>
    <w:rsid w:val="7C7C3745"/>
    <w:rsid w:val="7D3AA22F"/>
    <w:rsid w:val="7D546952"/>
    <w:rsid w:val="7D56646C"/>
    <w:rsid w:val="7DE35ECA"/>
    <w:rsid w:val="7DEFCC9B"/>
    <w:rsid w:val="7E1A0C5A"/>
    <w:rsid w:val="7E3212D3"/>
    <w:rsid w:val="7F365A97"/>
    <w:rsid w:val="7F5F887D"/>
    <w:rsid w:val="7FCC7D05"/>
    <w:rsid w:val="7FEF42B8"/>
    <w:rsid w:val="7FFF0B3B"/>
    <w:rsid w:val="9FD01BC3"/>
    <w:rsid w:val="AF77296E"/>
    <w:rsid w:val="B3FE25BF"/>
    <w:rsid w:val="BE6E0F8F"/>
    <w:rsid w:val="C38B20D8"/>
    <w:rsid w:val="C679D4D5"/>
    <w:rsid w:val="CA7F3105"/>
    <w:rsid w:val="D3FFF2E3"/>
    <w:rsid w:val="D4B948F0"/>
    <w:rsid w:val="D4F43AA8"/>
    <w:rsid w:val="D7BE90C3"/>
    <w:rsid w:val="D8BF47B9"/>
    <w:rsid w:val="DB7AB19E"/>
    <w:rsid w:val="DDFE51CF"/>
    <w:rsid w:val="E97E32AA"/>
    <w:rsid w:val="F3C7F184"/>
    <w:rsid w:val="F3F331A4"/>
    <w:rsid w:val="F3FE7E0E"/>
    <w:rsid w:val="F3FF81F7"/>
    <w:rsid w:val="F7FE62B6"/>
    <w:rsid w:val="FA543BA3"/>
    <w:rsid w:val="FB3B5DB3"/>
    <w:rsid w:val="FD7F9463"/>
    <w:rsid w:val="FDFC361F"/>
    <w:rsid w:val="FDFD5128"/>
    <w:rsid w:val="FE8FD80F"/>
    <w:rsid w:val="FEAED78B"/>
    <w:rsid w:val="FF4BD653"/>
    <w:rsid w:val="FF6C6882"/>
    <w:rsid w:val="FFFEC61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27"/>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5"/>
    <w:semiHidden/>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6"/>
    <w:semiHidden/>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annotation text"/>
    <w:basedOn w:val="1"/>
    <w:link w:val="21"/>
    <w:qFormat/>
    <w:uiPriority w:val="0"/>
    <w:pPr>
      <w:jc w:val="left"/>
    </w:pPr>
  </w:style>
  <w:style w:type="paragraph" w:styleId="6">
    <w:name w:val="Balloon Text"/>
    <w:basedOn w:val="1"/>
    <w:link w:val="2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2"/>
    <w:qFormat/>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character" w:customStyle="1" w:styleId="16">
    <w:name w:val="批注文字 字符"/>
    <w:link w:val="5"/>
    <w:qFormat/>
    <w:uiPriority w:val="0"/>
    <w:rPr>
      <w:rFonts w:ascii="Calibri" w:hAnsi="Calibri" w:cs="黑体"/>
      <w:kern w:val="2"/>
      <w:sz w:val="21"/>
      <w:szCs w:val="24"/>
    </w:rPr>
  </w:style>
  <w:style w:type="character" w:customStyle="1" w:styleId="17">
    <w:name w:val="批注框文本 字符"/>
    <w:link w:val="6"/>
    <w:qFormat/>
    <w:uiPriority w:val="0"/>
    <w:rPr>
      <w:rFonts w:ascii="Calibri" w:hAnsi="Calibri" w:cs="黑体"/>
      <w:kern w:val="2"/>
      <w:sz w:val="18"/>
      <w:szCs w:val="18"/>
    </w:rPr>
  </w:style>
  <w:style w:type="character" w:customStyle="1" w:styleId="18">
    <w:name w:val="批注主题 字符"/>
    <w:link w:val="10"/>
    <w:qFormat/>
    <w:uiPriority w:val="0"/>
    <w:rPr>
      <w:rFonts w:ascii="Calibri" w:hAnsi="Calibri" w:cs="黑体"/>
      <w:b/>
      <w:bCs/>
      <w:kern w:val="2"/>
      <w:sz w:val="21"/>
      <w:szCs w:val="24"/>
    </w:rPr>
  </w:style>
  <w:style w:type="paragraph" w:customStyle="1" w:styleId="19">
    <w:name w:val="List Paragraph"/>
    <w:basedOn w:val="1"/>
    <w:unhideWhenUsed/>
    <w:qFormat/>
    <w:uiPriority w:val="99"/>
    <w:pPr>
      <w:ind w:firstLine="420" w:firstLineChars="200"/>
    </w:pPr>
  </w:style>
  <w:style w:type="paragraph" w:customStyle="1" w:styleId="2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1">
    <w:name w:val="批注文字 Char"/>
    <w:link w:val="5"/>
    <w:qFormat/>
    <w:uiPriority w:val="0"/>
    <w:rPr>
      <w:rFonts w:ascii="Calibri" w:hAnsi="Calibri" w:cs="黑体"/>
      <w:kern w:val="2"/>
      <w:sz w:val="21"/>
      <w:szCs w:val="24"/>
    </w:rPr>
  </w:style>
  <w:style w:type="character" w:customStyle="1" w:styleId="22">
    <w:name w:val="批注主题 Char"/>
    <w:link w:val="10"/>
    <w:qFormat/>
    <w:uiPriority w:val="0"/>
    <w:rPr>
      <w:rFonts w:ascii="Calibri" w:hAnsi="Calibri" w:cs="黑体"/>
      <w:b/>
      <w:bCs/>
      <w:kern w:val="2"/>
      <w:sz w:val="21"/>
      <w:szCs w:val="24"/>
    </w:rPr>
  </w:style>
  <w:style w:type="character" w:customStyle="1" w:styleId="23">
    <w:name w:val="批注框文本 Char"/>
    <w:link w:val="6"/>
    <w:uiPriority w:val="0"/>
    <w:rPr>
      <w:rFonts w:ascii="Calibri" w:hAnsi="Calibri" w:cs="黑体"/>
      <w:kern w:val="2"/>
      <w:sz w:val="18"/>
      <w:szCs w:val="18"/>
    </w:rPr>
  </w:style>
  <w:style w:type="paragraph" w:customStyle="1" w:styleId="24">
    <w:name w:val="样式1"/>
    <w:basedOn w:val="1"/>
    <w:next w:val="1"/>
    <w:qFormat/>
    <w:uiPriority w:val="0"/>
    <w:pPr>
      <w:keepNext/>
      <w:keepLines/>
      <w:spacing w:before="340" w:beforeLines="0" w:after="330" w:afterLines="0" w:line="576" w:lineRule="auto"/>
      <w:outlineLvl w:val="0"/>
    </w:pPr>
    <w:rPr>
      <w:rFonts w:hint="eastAsia"/>
      <w:b/>
      <w:kern w:val="44"/>
      <w:sz w:val="44"/>
    </w:rPr>
  </w:style>
  <w:style w:type="character" w:customStyle="1" w:styleId="25">
    <w:name w:val="标题 2 Char"/>
    <w:link w:val="3"/>
    <w:qFormat/>
    <w:uiPriority w:val="0"/>
    <w:rPr>
      <w:rFonts w:ascii="Arial" w:hAnsi="Arial" w:eastAsia="宋体"/>
      <w:b/>
      <w:sz w:val="24"/>
    </w:rPr>
  </w:style>
  <w:style w:type="character" w:customStyle="1" w:styleId="26">
    <w:name w:val="标题 3 Char"/>
    <w:link w:val="4"/>
    <w:qFormat/>
    <w:uiPriority w:val="0"/>
    <w:rPr>
      <w:rFonts w:hAnsi="Calibri" w:eastAsia="宋体"/>
      <w:b/>
      <w:sz w:val="24"/>
    </w:rPr>
  </w:style>
  <w:style w:type="character" w:customStyle="1" w:styleId="27">
    <w:name w:val="标题 1 Char"/>
    <w:link w:val="2"/>
    <w:qFormat/>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60</Pages>
  <Words>38440</Words>
  <Characters>40860</Characters>
  <Lines>1</Lines>
  <Paragraphs>1</Paragraphs>
  <TotalTime>7</TotalTime>
  <ScaleCrop>false</ScaleCrop>
  <LinksUpToDate>false</LinksUpToDate>
  <CharactersWithSpaces>41201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2014-11-01T20:08:00Z</dcterms:created>
  <dc:creator>Administrator</dc:creator>
  <cp:lastModifiedBy>hccb</cp:lastModifiedBy>
  <dcterms:modified xsi:type="dcterms:W3CDTF">2025-09-24T07:21:18Z</dcterms:modified>
  <dc:title>杭银理财幸福99XXXX理财计划合同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A70A2227A99B4340974191B47870DEF5</vt:lpwstr>
  </property>
</Properties>
</file>