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w:t>
      </w:r>
      <w:r>
        <w:rPr>
          <w:rStyle w:val="10"/>
          <w:rFonts w:hint="eastAsia" w:ascii="黑体" w:hAnsi="黑体" w:eastAsia="黑体" w:cs="宋体"/>
          <w:sz w:val="44"/>
          <w:szCs w:val="44"/>
        </w:rPr>
        <w:t>丰收封闭式固收类</w:t>
      </w:r>
      <w:r>
        <w:rPr>
          <w:rFonts w:hint="eastAsia" w:ascii="黑体" w:hAnsi="黑体" w:eastAsia="黑体"/>
          <w:b/>
          <w:sz w:val="44"/>
          <w:szCs w:val="44"/>
        </w:rPr>
        <w:t>】理财产品</w:t>
      </w:r>
    </w:p>
    <w:p>
      <w:pPr>
        <w:widowControl/>
        <w:spacing w:line="360" w:lineRule="auto"/>
        <w:jc w:val="center"/>
        <w:rPr>
          <w:b/>
          <w:szCs w:val="21"/>
        </w:rPr>
      </w:pPr>
      <w:r>
        <w:rPr>
          <w:rFonts w:hint="eastAsia" w:ascii="黑体" w:hAnsi="黑体" w:eastAsia="黑体"/>
          <w:b/>
          <w:sz w:val="44"/>
          <w:szCs w:val="44"/>
        </w:rPr>
        <w:t>销售文件</w:t>
      </w:r>
    </w:p>
    <w:tbl>
      <w:tblPr>
        <w:tblStyle w:val="8"/>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兴银理财【丰收封闭式固收类】理财产品投资协议书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兴银理财【丰收封闭式固收类】理财产品产品说明书</w:t>
            </w:r>
          </w:p>
        </w:tc>
        <w:tc>
          <w:tcPr>
            <w:tcW w:w="2107" w:type="dxa"/>
          </w:tcPr>
          <w:p>
            <w:pPr>
              <w:pStyle w:val="12"/>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kern w:val="0"/>
                <w:sz w:val="20"/>
                <w:szCs w:val="21"/>
              </w:rPr>
            </w:pPr>
            <w:r>
              <w:rPr>
                <w:rFonts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兴银理财【丰收封闭式固收类】理财产品（代理）销售协议书</w:t>
            </w:r>
          </w:p>
        </w:tc>
        <w:tc>
          <w:tcPr>
            <w:tcW w:w="2107" w:type="dxa"/>
          </w:tcPr>
          <w:p>
            <w:pPr>
              <w:pStyle w:val="12"/>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兴银理财【丰收封闭式固收类】理财产品风险揭示书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兴银理财【丰收封闭式固收类】理财产品投资者权益须知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12"/>
        <w:widowControl/>
        <w:snapToGrid w:val="0"/>
        <w:spacing w:line="360" w:lineRule="auto"/>
        <w:rPr>
          <w:rFonts w:ascii="黑体" w:hAnsi="黑体" w:eastAsia="黑体"/>
          <w:kern w:val="0"/>
          <w:szCs w:val="21"/>
        </w:rPr>
      </w:pPr>
      <w:r>
        <w:rPr>
          <w:rFonts w:ascii="黑体" w:hAnsi="黑体" w:eastAsia="黑体"/>
          <w:kern w:val="0"/>
          <w:szCs w:val="21"/>
        </w:rPr>
        <w:t>1.销售文件的组成和编制的提示</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银保监会令2021年第4号）第29条规定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12"/>
        <w:widowControl/>
        <w:snapToGrid w:val="0"/>
        <w:spacing w:line="360" w:lineRule="auto"/>
        <w:rPr>
          <w:rFonts w:ascii="黑体" w:hAnsi="黑体" w:eastAsia="黑体"/>
          <w:kern w:val="0"/>
          <w:szCs w:val="21"/>
        </w:rPr>
      </w:pPr>
      <w:r>
        <w:rPr>
          <w:rFonts w:ascii="黑体" w:hAnsi="黑体" w:eastAsia="黑体"/>
          <w:kern w:val="0"/>
          <w:szCs w:val="21"/>
        </w:rPr>
        <w:t>2.投资者适当性的提示</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12"/>
        <w:widowControl/>
        <w:snapToGrid w:val="0"/>
        <w:spacing w:line="360" w:lineRule="auto"/>
        <w:rPr>
          <w:rFonts w:ascii="黑体" w:hAnsi="黑体" w:eastAsia="黑体"/>
          <w:kern w:val="0"/>
          <w:szCs w:val="21"/>
        </w:rPr>
      </w:pPr>
      <w:r>
        <w:rPr>
          <w:rFonts w:ascii="黑体" w:hAnsi="黑体" w:eastAsia="黑体"/>
          <w:kern w:val="0"/>
          <w:szCs w:val="21"/>
        </w:rPr>
        <w:t>3.签署合同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10"/>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兴银理财【丰收封闭式固收类】理财产品</w:t>
      </w: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10"/>
          <w:rFonts w:ascii="宋体" w:hAnsi="宋体"/>
          <w:sz w:val="28"/>
          <w:szCs w:val="28"/>
        </w:rPr>
      </w:pPr>
      <w:bookmarkStart w:id="0" w:name="_Toc139991726"/>
      <w:bookmarkStart w:id="1" w:name="_Toc123112263"/>
      <w:bookmarkStart w:id="2" w:name="_Toc123701383"/>
      <w:bookmarkStart w:id="3" w:name="_Toc139992301"/>
      <w:bookmarkStart w:id="4" w:name="_Toc123112224"/>
      <w:r>
        <w:rPr>
          <w:rStyle w:val="10"/>
          <w:rFonts w:hint="eastAsia" w:ascii="宋体" w:hAnsi="宋体"/>
          <w:sz w:val="28"/>
          <w:szCs w:val="28"/>
        </w:rPr>
        <w:t>理财产品管理人：</w:t>
      </w:r>
      <w:bookmarkEnd w:id="0"/>
      <w:bookmarkEnd w:id="1"/>
      <w:bookmarkEnd w:id="2"/>
      <w:bookmarkEnd w:id="3"/>
      <w:bookmarkEnd w:id="4"/>
      <w:r>
        <w:rPr>
          <w:rStyle w:val="10"/>
          <w:rFonts w:hint="eastAsia" w:ascii="宋体" w:hAnsi="宋体"/>
          <w:sz w:val="28"/>
          <w:szCs w:val="28"/>
        </w:rPr>
        <w:t>兴银理财有限责任公司</w:t>
      </w:r>
    </w:p>
    <w:p>
      <w:pPr>
        <w:adjustRightInd w:val="0"/>
        <w:spacing w:line="360" w:lineRule="auto"/>
        <w:jc w:val="center"/>
        <w:rPr>
          <w:rStyle w:val="10"/>
          <w:rFonts w:ascii="黑体" w:hAnsi="黑体" w:eastAsia="黑体" w:cs="宋体"/>
          <w:sz w:val="28"/>
          <w:szCs w:val="28"/>
        </w:rPr>
      </w:pPr>
      <w:bookmarkStart w:id="5" w:name="_Toc139992302"/>
      <w:bookmarkStart w:id="6" w:name="_Toc123112264"/>
      <w:bookmarkStart w:id="7" w:name="_Toc123701384"/>
      <w:bookmarkStart w:id="8" w:name="_Toc123112225"/>
      <w:bookmarkStart w:id="9" w:name="_Toc139991727"/>
    </w:p>
    <w:bookmarkEnd w:id="5"/>
    <w:bookmarkEnd w:id="6"/>
    <w:bookmarkEnd w:id="7"/>
    <w:bookmarkEnd w:id="8"/>
    <w:bookmarkEnd w:id="9"/>
    <w:p>
      <w:pPr>
        <w:adjustRightInd w:val="0"/>
        <w:spacing w:line="360" w:lineRule="auto"/>
        <w:jc w:val="center"/>
        <w:rPr>
          <w:rStyle w:val="10"/>
          <w:rFonts w:ascii="黑体" w:hAnsi="黑体" w:eastAsia="黑体" w:cs="宋体"/>
          <w:sz w:val="28"/>
          <w:szCs w:val="28"/>
        </w:rPr>
      </w:pPr>
    </w:p>
    <w:p>
      <w:pPr>
        <w:adjustRightInd w:val="0"/>
        <w:spacing w:line="360" w:lineRule="auto"/>
        <w:jc w:val="center"/>
        <w:rPr>
          <w:rStyle w:val="10"/>
          <w:rFonts w:ascii="宋体" w:hAnsi="宋体"/>
          <w:sz w:val="28"/>
          <w:szCs w:val="28"/>
        </w:rPr>
      </w:pPr>
      <w:r>
        <w:rPr>
          <w:rStyle w:val="10"/>
          <w:rFonts w:hint="eastAsia" w:ascii="宋体" w:hAnsi="宋体"/>
          <w:sz w:val="28"/>
          <w:szCs w:val="28"/>
        </w:rPr>
        <w:t>日期</w:t>
      </w:r>
      <w:r>
        <w:rPr>
          <w:rStyle w:val="10"/>
          <w:rFonts w:ascii="宋体" w:hAnsi="宋体"/>
          <w:sz w:val="28"/>
          <w:szCs w:val="28"/>
        </w:rPr>
        <w:t>：</w:t>
      </w:r>
      <w:r>
        <w:rPr>
          <w:rStyle w:val="10"/>
          <w:rFonts w:hint="eastAsia" w:ascii="宋体" w:hAnsi="宋体"/>
          <w:sz w:val="28"/>
          <w:szCs w:val="28"/>
        </w:rPr>
        <w:t>【</w:t>
      </w:r>
      <w:r>
        <w:rPr>
          <w:rStyle w:val="10"/>
          <w:rFonts w:hint="eastAsia" w:ascii="宋体" w:hAnsi="宋体"/>
          <w:sz w:val="28"/>
          <w:szCs w:val="28"/>
          <w:lang w:val="en-US" w:eastAsia="zh-CN"/>
        </w:rPr>
        <w:t>2025</w:t>
      </w:r>
      <w:r>
        <w:rPr>
          <w:rStyle w:val="10"/>
          <w:rFonts w:hint="eastAsia" w:ascii="宋体" w:hAnsi="宋体"/>
          <w:sz w:val="28"/>
          <w:szCs w:val="28"/>
        </w:rPr>
        <w:t>】年【</w:t>
      </w:r>
      <w:r>
        <w:rPr>
          <w:rStyle w:val="10"/>
          <w:rFonts w:hint="eastAsia" w:ascii="宋体" w:hAnsi="宋体"/>
          <w:sz w:val="28"/>
          <w:szCs w:val="28"/>
          <w:lang w:val="en-US" w:eastAsia="zh-CN"/>
        </w:rPr>
        <w:t>10</w:t>
      </w:r>
      <w:r>
        <w:rPr>
          <w:rStyle w:val="10"/>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6"/>
              <w:snapToGrid w:val="0"/>
              <w:spacing w:before="0" w:beforeAutospacing="0" w:after="0" w:afterAutospacing="0" w:line="360" w:lineRule="auto"/>
              <w:jc w:val="both"/>
              <w:rPr>
                <w:rFonts w:ascii="黑体" w:hAnsi="黑体" w:eastAsia="黑体"/>
                <w:bCs/>
                <w:sz w:val="18"/>
                <w:szCs w:val="18"/>
              </w:rPr>
            </w:pPr>
            <w:r>
              <w:rPr>
                <w:rFonts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关于理财产品与存款产品的提示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w:t>
            </w:r>
            <w:r>
              <w:rPr>
                <w:rFonts w:ascii="黑体" w:hAnsi="黑体" w:eastAsia="黑体"/>
                <w:bCs/>
                <w:sz w:val="18"/>
                <w:szCs w:val="18"/>
              </w:rPr>
              <w:t>收益</w:t>
            </w:r>
            <w:r>
              <w:rPr>
                <w:rFonts w:hint="eastAsia" w:ascii="黑体" w:hAnsi="黑体" w:eastAsia="黑体"/>
                <w:bCs/>
                <w:sz w:val="18"/>
                <w:szCs w:val="18"/>
              </w:rPr>
              <w:t>，投资须谨慎。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关于理财产品不保证本金和收益的提示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关于销售文件的组成和编制的提示</w:t>
            </w:r>
          </w:p>
          <w:p>
            <w:pPr>
              <w:pStyle w:val="6"/>
              <w:snapToGrid w:val="0"/>
              <w:spacing w:before="0" w:beforeAutospacing="0" w:after="0" w:afterAutospacing="0" w:line="360" w:lineRule="auto"/>
              <w:jc w:val="both"/>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销售文件的组成</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6"/>
              <w:snapToGrid w:val="0"/>
              <w:spacing w:before="0" w:beforeAutospacing="0" w:after="0" w:afterAutospacing="0" w:line="360" w:lineRule="auto"/>
              <w:jc w:val="both"/>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销售文件的编制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银保监会令2021年第4号）第29条规定</w:t>
            </w:r>
            <w:r>
              <w:rPr>
                <w:rFonts w:hint="eastAsia" w:ascii="黑体" w:hAnsi="黑体" w:eastAsia="黑体"/>
                <w:bCs/>
                <w:sz w:val="18"/>
                <w:szCs w:val="18"/>
              </w:rPr>
              <w:t>，本款产品销售文件在编制时，可能存在以下两种情形：</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1）情形1：所有销售文件都由产品管理人统一编制。其中，《投资协议书</w:t>
            </w:r>
            <w:r>
              <w:rPr>
                <w:rFonts w:hint="eastAsia" w:ascii="黑体" w:hAnsi="黑体" w:eastAsia="黑体"/>
                <w:bCs/>
                <w:sz w:val="18"/>
                <w:szCs w:val="18"/>
              </w:rPr>
              <w:t>》《产品说明书》《（代理）销售协议书》《风险揭示书》《投资者权益须知》等销售文件均由产品管理人统一编制。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2）情形2：部分销售文件由代理销售机构进行编制。其中，《投资协议书》和《产品说明书》由产品管理人统一编制；《（代理）销售协议书</w:t>
            </w:r>
            <w:r>
              <w:rPr>
                <w:rFonts w:hint="eastAsia" w:ascii="黑体" w:hAnsi="黑体" w:eastAsia="黑体"/>
                <w:bCs/>
                <w:sz w:val="18"/>
                <w:szCs w:val="18"/>
              </w:rPr>
              <w:t>》《风险揭示书》《投资者权益须知》等销售文件，此等销售文件中的之一或之二或全部，由于代理销售机构的需求而由理财公司委托代理销售机构进行编制。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关于投资者适当性的提示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6"/>
              <w:snapToGrid w:val="0"/>
              <w:spacing w:before="0" w:beforeAutospacing="0" w:after="0" w:afterAutospacing="0" w:line="360" w:lineRule="auto"/>
              <w:jc w:val="both"/>
              <w:rPr>
                <w:rFonts w:ascii="黑体" w:hAnsi="黑体" w:eastAsia="黑体"/>
                <w:bCs/>
                <w:sz w:val="18"/>
                <w:szCs w:val="18"/>
              </w:rPr>
            </w:pPr>
            <w:r>
              <w:rPr>
                <w:rFonts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w:t>
            </w:r>
            <w:r>
              <w:rPr>
                <w:rFonts w:ascii="黑体" w:hAnsi="黑体" w:eastAsia="黑体"/>
                <w:sz w:val="18"/>
                <w:szCs w:val="18"/>
              </w:rPr>
              <w:t>IPO或并购重组涉及的股东穿透核查或根据其他有权机关或监管要求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6"/>
              <w:snapToGrid w:val="0"/>
              <w:spacing w:before="0" w:beforeAutospacing="0" w:after="0" w:afterAutospacing="0" w:line="360" w:lineRule="auto"/>
              <w:jc w:val="both"/>
              <w:rPr>
                <w:rFonts w:ascii="黑体" w:hAnsi="黑体" w:eastAsia="黑体"/>
                <w:bCs/>
                <w:sz w:val="18"/>
                <w:szCs w:val="18"/>
              </w:rPr>
            </w:pPr>
          </w:p>
          <w:p>
            <w:pPr>
              <w:rPr>
                <w:rFonts w:ascii="黑体" w:hAnsi="黑体" w:eastAsia="黑体"/>
                <w:bCs/>
                <w:kern w:val="0"/>
                <w:sz w:val="18"/>
                <w:szCs w:val="18"/>
              </w:rPr>
            </w:pPr>
            <w:r>
              <w:rPr>
                <w:rFonts w:hint="eastAsia" w:ascii="黑体" w:hAnsi="黑体" w:eastAsia="黑体"/>
                <w:bCs/>
                <w:kern w:val="0"/>
                <w:sz w:val="18"/>
                <w:szCs w:val="18"/>
              </w:rPr>
              <w:t>★</w:t>
            </w:r>
            <w:r>
              <w:rPr>
                <w:rFonts w:ascii="黑体" w:hAnsi="黑体" w:eastAsia="黑体"/>
                <w:bCs/>
                <w:kern w:val="0"/>
                <w:sz w:val="18"/>
                <w:szCs w:val="18"/>
              </w:rPr>
              <w:t xml:space="preserve"> </w:t>
            </w:r>
            <w:r>
              <w:rPr>
                <w:rFonts w:hint="eastAsia" w:ascii="黑体" w:hAnsi="黑体" w:eastAsia="黑体"/>
                <w:bCs/>
                <w:kern w:val="0"/>
                <w:sz w:val="18"/>
                <w:szCs w:val="18"/>
              </w:rPr>
              <w:t>关于理财产品信息披露的提示</w:t>
            </w:r>
          </w:p>
          <w:p>
            <w:pPr>
              <w:rPr>
                <w:rFonts w:ascii="黑体" w:hAnsi="黑体" w:eastAsia="黑体"/>
                <w:bCs/>
                <w:sz w:val="18"/>
                <w:szCs w:val="18"/>
              </w:rPr>
            </w:pPr>
            <w:r>
              <w:rPr>
                <w:rFonts w:hint="eastAsia" w:ascii="黑体" w:hAnsi="黑体" w:eastAsia="黑体"/>
                <w:bCs/>
                <w:kern w:val="0"/>
                <w:sz w:val="18"/>
                <w:szCs w:val="18"/>
              </w:rPr>
              <w:t>在购买本产品后，投资者应随时关注该理财产品的信息披露情况，及时获取相关信息。</w:t>
            </w:r>
          </w:p>
          <w:p>
            <w:pPr>
              <w:pStyle w:val="6"/>
              <w:snapToGrid w:val="0"/>
              <w:spacing w:before="0" w:beforeAutospacing="0" w:after="0" w:afterAutospacing="0"/>
              <w:jc w:val="both"/>
              <w:rPr>
                <w:rFonts w:ascii="黑体" w:hAnsi="黑体" w:eastAsia="黑体"/>
                <w:bCs/>
                <w:sz w:val="18"/>
                <w:szCs w:val="18"/>
              </w:rPr>
            </w:pPr>
          </w:p>
          <w:p>
            <w:pPr>
              <w:pStyle w:val="6"/>
              <w:numPr>
                <w:ilvl w:val="255"/>
                <w:numId w:val="0"/>
              </w:numPr>
              <w:snapToGrid w:val="0"/>
              <w:spacing w:before="0" w:beforeAutospacing="0" w:after="0" w:afterAutospacing="0"/>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tabs>
                <w:tab w:val="left" w:pos="8070"/>
                <w:tab w:val="right" w:pos="8306"/>
              </w:tabs>
              <w:autoSpaceDE w:val="0"/>
              <w:autoSpaceDN w:val="0"/>
              <w:adjustRightInd w:val="0"/>
              <w:snapToGrid w:val="0"/>
              <w:spacing w:before="156" w:beforeLines="50"/>
              <w:rPr>
                <w:bCs/>
                <w:sz w:val="32"/>
              </w:rPr>
            </w:pPr>
            <w:r>
              <w:rPr>
                <w:rFonts w:hint="eastAsia" w:ascii="黑体" w:hAnsi="黑体" w:eastAsia="黑体"/>
                <w:bCs/>
                <w:kern w:val="0"/>
                <w:sz w:val="18"/>
                <w:szCs w:val="18"/>
              </w:rPr>
              <w:t>投资者对本理财产品及销售文件的内容有任何疑问，</w:t>
            </w:r>
            <w:r>
              <w:rPr>
                <w:rFonts w:hint="eastAsia" w:ascii="黑体" w:hAnsi="黑体" w:eastAsia="黑体"/>
                <w:color w:val="000000"/>
                <w:kern w:val="0"/>
                <w:sz w:val="18"/>
                <w:szCs w:val="18"/>
              </w:rPr>
              <w:t>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39991729"/>
      <w:bookmarkStart w:id="12" w:name="_Toc123112227"/>
      <w:bookmarkStart w:id="13" w:name="_Toc123701386"/>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7"/>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个人投资者适用</w:t>
            </w: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姓名</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理财产品名称</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【兴银理财丰收封闭式</w:t>
            </w:r>
            <w:r>
              <w:rPr>
                <w:rFonts w:hint="eastAsia" w:ascii="宋体" w:hAnsi="宋体"/>
                <w:bCs/>
                <w:sz w:val="18"/>
                <w:szCs w:val="18"/>
                <w:lang w:val="en-US" w:eastAsia="zh-CN"/>
              </w:rPr>
              <w:t>192</w:t>
            </w:r>
            <w:r>
              <w:rPr>
                <w:rFonts w:hint="eastAsia" w:ascii="宋体" w:hAnsi="宋体"/>
                <w:bCs/>
                <w:sz w:val="18"/>
                <w:szCs w:val="18"/>
              </w:rPr>
              <w:t>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产品销售名称</w:t>
            </w:r>
          </w:p>
        </w:tc>
        <w:tc>
          <w:tcPr>
            <w:tcW w:w="6389" w:type="dxa"/>
            <w:gridSpan w:val="3"/>
            <w:shd w:val="solid" w:color="FFFFFF" w:fill="FFFFFF"/>
            <w:vAlign w:val="center"/>
          </w:tcPr>
          <w:p>
            <w:pPr>
              <w:spacing w:line="360" w:lineRule="auto"/>
              <w:jc w:val="left"/>
              <w:rPr>
                <w:rFonts w:hint="eastAsia" w:ascii="宋体" w:hAnsi="宋体"/>
                <w:bCs/>
                <w:sz w:val="18"/>
                <w:szCs w:val="18"/>
              </w:rPr>
            </w:pPr>
            <w:r>
              <w:rPr>
                <w:rFonts w:hint="eastAsia" w:ascii="宋体" w:hAnsi="宋体"/>
                <w:bCs/>
                <w:sz w:val="18"/>
                <w:szCs w:val="18"/>
              </w:rPr>
              <w:t>【丰收封闭式</w:t>
            </w:r>
            <w:r>
              <w:rPr>
                <w:rFonts w:hint="eastAsia" w:ascii="宋体" w:hAnsi="宋体"/>
                <w:bCs/>
                <w:sz w:val="18"/>
                <w:szCs w:val="18"/>
                <w:lang w:val="en-US" w:eastAsia="zh-CN"/>
              </w:rPr>
              <w:t>192</w:t>
            </w:r>
            <w:r>
              <w:rPr>
                <w:rFonts w:hint="eastAsia" w:ascii="宋体" w:hAnsi="宋体"/>
                <w:bCs/>
                <w:sz w:val="18"/>
                <w:szCs w:val="18"/>
              </w:rPr>
              <w:t>号A】（适用【</w:t>
            </w:r>
            <w:r>
              <w:rPr>
                <w:rFonts w:hint="eastAsia" w:ascii="宋体" w:hAnsi="宋体"/>
                <w:bCs/>
                <w:sz w:val="18"/>
                <w:szCs w:val="18"/>
                <w:lang w:val="en-US" w:eastAsia="zh-CN"/>
              </w:rPr>
              <w:t>A</w:t>
            </w:r>
            <w:r>
              <w:rPr>
                <w:rFonts w:hint="eastAsia" w:ascii="宋体" w:hAnsi="宋体"/>
                <w:bCs/>
                <w:sz w:val="18"/>
                <w:szCs w:val="18"/>
              </w:rPr>
              <w:t>】类份额）</w:t>
            </w:r>
          </w:p>
          <w:p>
            <w:pPr>
              <w:spacing w:line="360" w:lineRule="auto"/>
              <w:jc w:val="left"/>
              <w:rPr>
                <w:rFonts w:hint="eastAsia" w:ascii="宋体" w:hAnsi="宋体"/>
                <w:bCs/>
                <w:sz w:val="18"/>
                <w:szCs w:val="18"/>
              </w:rPr>
            </w:pPr>
            <w:r>
              <w:rPr>
                <w:rFonts w:hint="eastAsia" w:ascii="宋体" w:hAnsi="宋体"/>
                <w:bCs/>
                <w:sz w:val="18"/>
                <w:szCs w:val="18"/>
              </w:rPr>
              <w:t>【丰收封闭式1</w:t>
            </w:r>
            <w:r>
              <w:rPr>
                <w:rFonts w:hint="eastAsia" w:ascii="宋体" w:hAnsi="宋体"/>
                <w:bCs/>
                <w:sz w:val="18"/>
                <w:szCs w:val="18"/>
                <w:lang w:val="en-US" w:eastAsia="zh-CN"/>
              </w:rPr>
              <w:t>92</w:t>
            </w:r>
            <w:r>
              <w:rPr>
                <w:rFonts w:hint="eastAsia" w:ascii="宋体" w:hAnsi="宋体"/>
                <w:bCs/>
                <w:sz w:val="18"/>
                <w:szCs w:val="18"/>
              </w:rPr>
              <w:t>号B】（适用【</w:t>
            </w:r>
            <w:r>
              <w:rPr>
                <w:rFonts w:hint="eastAsia" w:ascii="宋体" w:hAnsi="宋体"/>
                <w:bCs/>
                <w:sz w:val="18"/>
                <w:szCs w:val="18"/>
                <w:lang w:val="en-US" w:eastAsia="zh-CN"/>
              </w:rPr>
              <w:t>B</w:t>
            </w:r>
            <w:r>
              <w:rPr>
                <w:rFonts w:hint="eastAsia" w:ascii="宋体" w:hAnsi="宋体"/>
                <w:bCs/>
                <w:sz w:val="18"/>
                <w:szCs w:val="18"/>
              </w:rPr>
              <w:t>】类份额）</w:t>
            </w:r>
          </w:p>
          <w:p>
            <w:pPr>
              <w:spacing w:line="360" w:lineRule="auto"/>
              <w:jc w:val="left"/>
              <w:rPr>
                <w:rFonts w:hint="eastAsia" w:ascii="宋体" w:hAnsi="宋体"/>
                <w:bCs/>
                <w:color w:val="000000" w:themeColor="text1"/>
                <w:sz w:val="18"/>
                <w:szCs w:val="18"/>
                <w14:textFill>
                  <w14:solidFill>
                    <w14:schemeClr w14:val="tx1"/>
                  </w14:solidFill>
                </w14:textFill>
              </w:rPr>
            </w:pPr>
            <w:r>
              <w:rPr>
                <w:rFonts w:hint="eastAsia" w:ascii="宋体" w:hAnsi="宋体"/>
                <w:bCs/>
                <w:sz w:val="18"/>
                <w:szCs w:val="18"/>
              </w:rPr>
              <w:t>【丰收封闭式1</w:t>
            </w:r>
            <w:r>
              <w:rPr>
                <w:rFonts w:hint="eastAsia" w:ascii="宋体" w:hAnsi="宋体"/>
                <w:bCs/>
                <w:sz w:val="18"/>
                <w:szCs w:val="18"/>
                <w:lang w:val="en-US" w:eastAsia="zh-CN"/>
              </w:rPr>
              <w:t>92</w:t>
            </w:r>
            <w:r>
              <w:rPr>
                <w:rFonts w:hint="eastAsia" w:ascii="宋体" w:hAnsi="宋体"/>
                <w:bCs/>
                <w:sz w:val="18"/>
                <w:szCs w:val="18"/>
              </w:rPr>
              <w:t>号C】（适用【</w:t>
            </w:r>
            <w:r>
              <w:rPr>
                <w:rFonts w:hint="eastAsia" w:ascii="宋体" w:hAnsi="宋体"/>
                <w:bCs/>
                <w:sz w:val="18"/>
                <w:szCs w:val="18"/>
                <w:lang w:val="en-US" w:eastAsia="zh-CN"/>
              </w:rPr>
              <w:t>C</w:t>
            </w:r>
            <w:r>
              <w:rPr>
                <w:rFonts w:hint="eastAsia" w:ascii="宋体" w:hAnsi="宋体"/>
                <w:bCs/>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产品登记编码</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【Z7002025001552】注：投资者可依据理财产品登记编码在中国理财网查询产品信息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w:t>
            </w:r>
            <w:r>
              <w:rPr>
                <w:rFonts w:ascii="宋体" w:hAnsi="宋体"/>
                <w:bCs/>
                <w:sz w:val="18"/>
                <w:szCs w:val="18"/>
              </w:rPr>
              <w:t>代码</w:t>
            </w:r>
          </w:p>
        </w:tc>
        <w:tc>
          <w:tcPr>
            <w:tcW w:w="6389" w:type="dxa"/>
            <w:gridSpan w:val="3"/>
            <w:shd w:val="solid" w:color="FFFFFF" w:fill="FFFFFF"/>
            <w:vAlign w:val="center"/>
          </w:tcPr>
          <w:p>
            <w:pPr>
              <w:spacing w:line="360" w:lineRule="auto"/>
              <w:jc w:val="left"/>
              <w:rPr>
                <w:rFonts w:ascii="宋体" w:hAnsi="宋体"/>
                <w:bCs/>
                <w:sz w:val="18"/>
                <w:szCs w:val="18"/>
              </w:rPr>
            </w:pP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9C311920</w:t>
            </w:r>
            <w:r>
              <w:rPr>
                <w:rFonts w:ascii="宋体" w:hAnsi="宋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bCs/>
                <w:sz w:val="18"/>
                <w:szCs w:val="18"/>
              </w:rPr>
              <w:t>销售</w:t>
            </w:r>
            <w:r>
              <w:rPr>
                <w:rFonts w:ascii="宋体" w:hAnsi="宋体"/>
                <w:bCs/>
                <w:sz w:val="18"/>
                <w:szCs w:val="18"/>
              </w:rPr>
              <w:t>代码</w:t>
            </w:r>
          </w:p>
        </w:tc>
        <w:tc>
          <w:tcPr>
            <w:tcW w:w="6389" w:type="dxa"/>
            <w:gridSpan w:val="3"/>
            <w:shd w:val="solid" w:color="FFFFFF" w:fill="FFFFFF"/>
            <w:vAlign w:val="center"/>
          </w:tcPr>
          <w:p>
            <w:pPr>
              <w:spacing w:line="320" w:lineRule="exact"/>
              <w:jc w:val="lef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【9C31192A】（适用【</w:t>
            </w:r>
            <w:r>
              <w:rPr>
                <w:rFonts w:hint="eastAsia" w:ascii="宋体" w:hAnsi="宋体"/>
                <w:bCs/>
                <w:color w:val="000000" w:themeColor="text1"/>
                <w:sz w:val="18"/>
                <w:szCs w:val="18"/>
                <w:lang w:val="en-US" w:eastAsia="zh-CN"/>
                <w14:textFill>
                  <w14:solidFill>
                    <w14:schemeClr w14:val="tx1"/>
                  </w14:solidFill>
                </w14:textFill>
              </w:rPr>
              <w:t>A</w:t>
            </w:r>
            <w:r>
              <w:rPr>
                <w:rFonts w:hint="eastAsia" w:ascii="宋体" w:hAnsi="宋体"/>
                <w:bCs/>
                <w:color w:val="000000" w:themeColor="text1"/>
                <w:sz w:val="18"/>
                <w:szCs w:val="18"/>
                <w14:textFill>
                  <w14:solidFill>
                    <w14:schemeClr w14:val="tx1"/>
                  </w14:solidFill>
                </w14:textFill>
              </w:rPr>
              <w:t>】类份额）</w:t>
            </w:r>
          </w:p>
          <w:p>
            <w:pPr>
              <w:spacing w:line="320" w:lineRule="exact"/>
              <w:jc w:val="lef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【9C31192B】（适用【</w:t>
            </w:r>
            <w:r>
              <w:rPr>
                <w:rFonts w:hint="eastAsia" w:ascii="宋体" w:hAnsi="宋体"/>
                <w:bCs/>
                <w:color w:val="000000" w:themeColor="text1"/>
                <w:sz w:val="18"/>
                <w:szCs w:val="18"/>
                <w:lang w:val="en-US" w:eastAsia="zh-CN"/>
                <w14:textFill>
                  <w14:solidFill>
                    <w14:schemeClr w14:val="tx1"/>
                  </w14:solidFill>
                </w14:textFill>
              </w:rPr>
              <w:t>B</w:t>
            </w:r>
            <w:r>
              <w:rPr>
                <w:rFonts w:hint="eastAsia" w:ascii="宋体" w:hAnsi="宋体"/>
                <w:bCs/>
                <w:color w:val="000000" w:themeColor="text1"/>
                <w:sz w:val="18"/>
                <w:szCs w:val="18"/>
                <w14:textFill>
                  <w14:solidFill>
                    <w14:schemeClr w14:val="tx1"/>
                  </w14:solidFill>
                </w14:textFill>
              </w:rPr>
              <w:t>】类份额）</w:t>
            </w:r>
          </w:p>
          <w:p>
            <w:pPr>
              <w:spacing w:line="320" w:lineRule="exact"/>
              <w:jc w:val="lef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【9C31192C】（适用【</w:t>
            </w:r>
            <w:r>
              <w:rPr>
                <w:rFonts w:hint="eastAsia" w:ascii="宋体" w:hAnsi="宋体"/>
                <w:bCs/>
                <w:color w:val="000000" w:themeColor="text1"/>
                <w:sz w:val="18"/>
                <w:szCs w:val="18"/>
                <w:lang w:val="en-US" w:eastAsia="zh-CN"/>
                <w14:textFill>
                  <w14:solidFill>
                    <w14:schemeClr w14:val="tx1"/>
                  </w14:solidFill>
                </w14:textFill>
              </w:rPr>
              <w:t>C</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13"/>
            <w:spacing w:line="360" w:lineRule="auto"/>
            <w:jc w:val="center"/>
          </w:pPr>
          <w:r>
            <w:rPr>
              <w:rFonts w:hint="eastAsia"/>
              <w:lang w:val="zh-CN"/>
            </w:rPr>
            <w:t>目录</w:t>
          </w:r>
        </w:p>
        <w:p>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6</w:t>
          </w:r>
          <w:r>
            <w:fldChar w:fldCharType="end"/>
          </w:r>
          <w:r>
            <w:fldChar w:fldCharType="end"/>
          </w:r>
        </w:p>
        <w:p>
          <w:pPr>
            <w:pStyle w:val="5"/>
            <w:tabs>
              <w:tab w:val="right" w:leader="dot" w:pos="8306"/>
              <w:tab w:val="clear" w:pos="8296"/>
            </w:tabs>
          </w:pPr>
          <w:r>
            <w:fldChar w:fldCharType="begin"/>
          </w:r>
          <w:r>
            <w:instrText xml:space="preserve"> HYPERLINK \l "_Toc12429" </w:instrText>
          </w:r>
          <w:r>
            <w:fldChar w:fldCharType="separate"/>
          </w:r>
          <w:r>
            <w:rPr>
              <w:rFonts w:hint="eastAsia"/>
            </w:rPr>
            <w:t>第二条</w:t>
          </w:r>
          <w:r>
            <w:t xml:space="preserve">  </w:t>
          </w:r>
          <w:r>
            <w:rPr>
              <w:rFonts w:hint="eastAsia"/>
            </w:rPr>
            <w:t>双方权利义务</w:t>
          </w:r>
          <w:r>
            <w:tab/>
          </w:r>
          <w:r>
            <w:fldChar w:fldCharType="begin"/>
          </w:r>
          <w:r>
            <w:instrText xml:space="preserve"> PAGEREF _Toc12429 \h </w:instrText>
          </w:r>
          <w:r>
            <w:fldChar w:fldCharType="separate"/>
          </w:r>
          <w:r>
            <w:t>7</w:t>
          </w:r>
          <w:r>
            <w:fldChar w:fldCharType="end"/>
          </w:r>
          <w:r>
            <w:fldChar w:fldCharType="end"/>
          </w:r>
        </w:p>
        <w:p>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w:t>
          </w:r>
          <w:r>
            <w:rPr>
              <w:rFonts w:hint="eastAsia"/>
            </w:rPr>
            <w:t>不可抗力</w:t>
          </w:r>
          <w:r>
            <w:tab/>
          </w:r>
          <w:r>
            <w:fldChar w:fldCharType="begin"/>
          </w:r>
          <w:r>
            <w:instrText xml:space="preserve"> PAGEREF _Toc706 \h </w:instrText>
          </w:r>
          <w:r>
            <w:fldChar w:fldCharType="separate"/>
          </w:r>
          <w:r>
            <w:t>10</w:t>
          </w:r>
          <w:r>
            <w:fldChar w:fldCharType="end"/>
          </w:r>
          <w:r>
            <w:fldChar w:fldCharType="end"/>
          </w:r>
        </w:p>
        <w:p>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11</w:t>
          </w:r>
          <w:r>
            <w:fldChar w:fldCharType="end"/>
          </w:r>
          <w:r>
            <w:fldChar w:fldCharType="end"/>
          </w:r>
        </w:p>
        <w:p>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w:t>
          </w:r>
          <w:r>
            <w:rPr>
              <w:rFonts w:hint="eastAsia"/>
            </w:rPr>
            <w:t>法律适用和争议解决</w:t>
          </w:r>
          <w:r>
            <w:tab/>
          </w:r>
          <w:r>
            <w:fldChar w:fldCharType="begin"/>
          </w:r>
          <w:r>
            <w:instrText xml:space="preserve"> PAGEREF _Toc29618 \h </w:instrText>
          </w:r>
          <w:r>
            <w:fldChar w:fldCharType="separate"/>
          </w:r>
          <w:r>
            <w:t>12</w:t>
          </w:r>
          <w:r>
            <w:fldChar w:fldCharType="end"/>
          </w:r>
          <w:r>
            <w:fldChar w:fldCharType="end"/>
          </w:r>
        </w:p>
        <w:p>
          <w:pPr>
            <w:pStyle w:val="5"/>
            <w:tabs>
              <w:tab w:val="right" w:leader="dot" w:pos="8306"/>
              <w:tab w:val="clear" w:pos="8296"/>
            </w:tabs>
          </w:pPr>
          <w:r>
            <w:fldChar w:fldCharType="begin"/>
          </w:r>
          <w:r>
            <w:instrText xml:space="preserve"> HYPERLINK \l "_Toc11943" </w:instrText>
          </w:r>
          <w:r>
            <w:fldChar w:fldCharType="separate"/>
          </w:r>
          <w:r>
            <w:rPr>
              <w:rFonts w:hint="eastAsia"/>
            </w:rPr>
            <w:t>第六条</w:t>
          </w:r>
          <w:r>
            <w:t xml:space="preserve">  </w:t>
          </w:r>
          <w:r>
            <w:rPr>
              <w:rFonts w:hint="eastAsia"/>
            </w:rPr>
            <w:t>协议的签署和效力</w:t>
          </w:r>
          <w:r>
            <w:tab/>
          </w:r>
          <w:r>
            <w:fldChar w:fldCharType="begin"/>
          </w:r>
          <w:r>
            <w:instrText xml:space="preserve"> PAGEREF _Toc11943 \h </w:instrText>
          </w:r>
          <w:r>
            <w:fldChar w:fldCharType="separate"/>
          </w:r>
          <w:r>
            <w:t>13</w:t>
          </w:r>
          <w:r>
            <w:fldChar w:fldCharType="end"/>
          </w:r>
          <w:r>
            <w:fldChar w:fldCharType="end"/>
          </w:r>
        </w:p>
        <w:p>
          <w:pPr>
            <w:pStyle w:val="5"/>
            <w:tabs>
              <w:tab w:val="right" w:leader="dot" w:pos="8306"/>
              <w:tab w:val="clear" w:pos="8296"/>
            </w:tabs>
          </w:pPr>
          <w:r>
            <w:fldChar w:fldCharType="begin"/>
          </w:r>
          <w:r>
            <w:instrText xml:space="preserve"> HYPERLINK \l "_Toc29352" </w:instrText>
          </w:r>
          <w:r>
            <w:fldChar w:fldCharType="separate"/>
          </w:r>
          <w:r>
            <w:rPr>
              <w:rFonts w:hint="eastAsia"/>
            </w:rPr>
            <w:t>第七条</w:t>
          </w:r>
          <w:r>
            <w:t xml:space="preserve">  </w:t>
          </w:r>
          <w:r>
            <w:rPr>
              <w:rFonts w:hint="eastAsia"/>
            </w:rPr>
            <w:t>消费者权益保护</w:t>
          </w:r>
          <w:r>
            <w:tab/>
          </w:r>
          <w:r>
            <w:fldChar w:fldCharType="begin"/>
          </w:r>
          <w:r>
            <w:instrText xml:space="preserve"> PAGEREF _Toc29352 \h </w:instrText>
          </w:r>
          <w:r>
            <w:fldChar w:fldCharType="separate"/>
          </w:r>
          <w:r>
            <w:t>14</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8727"/>
      <w:bookmarkStart w:id="15" w:name="_Toc139991730"/>
      <w:bookmarkStart w:id="16" w:name="_Toc23386"/>
      <w:bookmarkStart w:id="17" w:name="_Toc30935"/>
      <w:bookmarkStart w:id="18" w:name="_Toc32639"/>
      <w:bookmarkStart w:id="19" w:name="_Toc4966"/>
      <w:bookmarkStart w:id="20" w:name="_Toc15517"/>
      <w:bookmarkStart w:id="21" w:name="_Toc26897"/>
      <w:bookmarkStart w:id="22" w:name="_Toc6306"/>
      <w:bookmarkStart w:id="23" w:name="_Toc141703880"/>
      <w:bookmarkStart w:id="24" w:name="_Toc29629"/>
      <w:bookmarkStart w:id="25" w:name="_Toc123112268"/>
      <w:bookmarkStart w:id="26" w:name="_Toc4867"/>
      <w:bookmarkStart w:id="27" w:name="_Toc123112229"/>
      <w:bookmarkStart w:id="28" w:name="_Toc123701389"/>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819"/>
      <w:bookmarkStart w:id="33" w:name="_Toc15067"/>
      <w:bookmarkStart w:id="34" w:name="_Toc13020"/>
      <w:bookmarkStart w:id="35" w:name="_Toc22864"/>
      <w:bookmarkStart w:id="36" w:name="_Toc258829399"/>
      <w:bookmarkStart w:id="37" w:name="_Toc6617"/>
      <w:bookmarkStart w:id="38" w:name="_Toc24860"/>
      <w:bookmarkStart w:id="39" w:name="_Toc19592"/>
      <w:bookmarkStart w:id="40" w:name="_Toc3224"/>
      <w:bookmarkStart w:id="41" w:name="_Toc2465"/>
      <w:bookmarkStart w:id="42" w:name="_Toc21301"/>
      <w:r>
        <w:rPr>
          <w:rFonts w:hint="eastAsia" w:ascii="Times New Roman"/>
          <w:color w:val="auto"/>
          <w:sz w:val="30"/>
        </w:rPr>
        <w:t>前言</w:t>
      </w:r>
      <w:bookmarkEnd w:id="29"/>
    </w:p>
    <w:p>
      <w:pPr>
        <w:pStyle w:val="14"/>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w:t>
      </w:r>
      <w:r>
        <w:rPr>
          <w:rFonts w:ascii="宋体" w:hAnsi="宋体"/>
          <w:sz w:val="18"/>
          <w:szCs w:val="18"/>
        </w:rPr>
        <w:t>2018年第6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w:t>
      </w:r>
      <w:r>
        <w:rPr>
          <w:rFonts w:ascii="宋体" w:hAnsi="宋体"/>
          <w:sz w:val="18"/>
          <w:szCs w:val="18"/>
        </w:rPr>
        <w:t>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hint="eastAsia" w:ascii="Times New Roman"/>
          <w:color w:val="auto"/>
          <w:sz w:val="30"/>
        </w:rPr>
        <w:t>第二条</w:t>
      </w:r>
      <w:r>
        <w:rPr>
          <w:rFonts w:ascii="Times New Roman"/>
          <w:color w:val="auto"/>
          <w:sz w:val="30"/>
        </w:rPr>
        <w:t xml:space="preserve">  </w:t>
      </w:r>
      <w:r>
        <w:rPr>
          <w:rFonts w:hint="eastAsia" w:ascii="Times New Roman"/>
          <w:color w:val="auto"/>
          <w:sz w:val="30"/>
        </w:rPr>
        <w:t>双方权利义务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w:t>
      </w:r>
      <w:r>
        <w:rPr>
          <w:rFonts w:ascii="黑体" w:hAnsi="黑体" w:eastAsia="黑体"/>
          <w:sz w:val="18"/>
          <w:szCs w:val="18"/>
        </w:rPr>
        <w:t>IPO或并购重组涉及的股东穿透核查或根据其他有权机关或监管要求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sz w:val="18"/>
        </w:rPr>
      </w:pPr>
      <w:r>
        <w:rPr>
          <w:rFonts w:ascii="黑体" w:hAnsi="黑体"/>
          <w:sz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r>
        <w:rPr>
          <w:rFonts w:hint="eastAsia" w:ascii="黑体" w:hAnsi="黑体"/>
          <w:sz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ascii="宋体" w:hAnsi="宋体"/>
          <w:sz w:val="18"/>
          <w:szCs w:val="18"/>
        </w:rPr>
        <w:t>3.产品管理人应按照约定披露产品相关信息。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sz w:val="18"/>
          <w:szCs w:val="18"/>
        </w:rPr>
        <w:t>如因投资者未及时办理变更手续而造成产品管理人及</w:t>
      </w:r>
      <w:r>
        <w:rPr>
          <w:rFonts w:ascii="黑体" w:hAnsi="黑体" w:eastAsia="黑体"/>
          <w:sz w:val="18"/>
          <w:szCs w:val="18"/>
        </w:rPr>
        <w:t>/或</w:t>
      </w:r>
      <w:r>
        <w:rPr>
          <w:rFonts w:hint="eastAsia" w:ascii="黑体" w:hAnsi="黑体" w:eastAsia="黑体"/>
          <w:sz w:val="18"/>
          <w:szCs w:val="18"/>
        </w:rPr>
        <w:t>销售机构无法向投资者进行正常利益分配和资金清算分配</w:t>
      </w:r>
      <w:r>
        <w:rPr>
          <w:rFonts w:ascii="黑体" w:hAnsi="黑体" w:eastAsia="黑体"/>
          <w:sz w:val="18"/>
          <w:szCs w:val="18"/>
        </w:rPr>
        <w:t xml:space="preserve">, </w:t>
      </w:r>
      <w:r>
        <w:rPr>
          <w:rFonts w:hint="eastAsia" w:ascii="黑体" w:hAnsi="黑体" w:eastAsia="黑体"/>
          <w:sz w:val="18"/>
          <w:szCs w:val="18"/>
        </w:rPr>
        <w:t>由此导致投资者损失的由投资者自行承担</w:t>
      </w:r>
      <w:r>
        <w:rPr>
          <w:rFonts w:ascii="黑体" w:hAnsi="黑体" w:eastAsia="黑体"/>
          <w:sz w:val="18"/>
          <w:szCs w:val="18"/>
        </w:rPr>
        <w:t xml:space="preserve">, </w:t>
      </w:r>
      <w:r>
        <w:rPr>
          <w:rFonts w:hint="eastAsia" w:ascii="黑体" w:hAnsi="黑体" w:eastAsia="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w:t>
      </w:r>
      <w:r>
        <w:rPr>
          <w:rFonts w:ascii="黑体" w:hAnsi="黑体" w:eastAsia="黑体"/>
          <w:sz w:val="18"/>
          <w:szCs w:val="18"/>
        </w:rPr>
        <w:t>CA认证服务、可信时间</w:t>
      </w:r>
      <w:r>
        <w:rPr>
          <w:rFonts w:hint="eastAsia" w:ascii="黑体" w:hAnsi="黑体" w:eastAsia="黑体"/>
          <w:sz w:val="18"/>
          <w:szCs w:val="18"/>
        </w:rPr>
        <w:t>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ascii="宋体" w:hAnsi="宋体"/>
          <w:sz w:val="18"/>
          <w:szCs w:val="18"/>
        </w:rPr>
        <w:t>,</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13.其他在本产品所对应理财产品销售文件中约定的产品管理人的权利与义务。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733"/>
      <w:bookmarkStart w:id="48" w:name="_Toc22708"/>
      <w:bookmarkStart w:id="49" w:name="_Toc6683"/>
      <w:bookmarkStart w:id="50" w:name="_Toc24571"/>
      <w:bookmarkStart w:id="51" w:name="_Toc6149"/>
      <w:bookmarkStart w:id="52" w:name="_Toc18631"/>
      <w:bookmarkStart w:id="53" w:name="_Toc13288"/>
      <w:bookmarkStart w:id="54" w:name="_Toc20318"/>
      <w:bookmarkStart w:id="55" w:name="_Toc545"/>
      <w:bookmarkStart w:id="56" w:name="_Toc74065740"/>
      <w:bookmarkStart w:id="57" w:name="_Toc20627"/>
      <w:bookmarkStart w:id="58" w:name="_Toc258829400"/>
      <w:bookmarkStart w:id="59" w:name="_Toc233456272"/>
      <w:r>
        <w:rPr>
          <w:rFonts w:hint="eastAsia" w:ascii="Times New Roman"/>
          <w:color w:val="auto"/>
          <w:sz w:val="30"/>
        </w:rPr>
        <w:t>第三条</w:t>
      </w:r>
      <w:r>
        <w:rPr>
          <w:rFonts w:ascii="Times New Roman"/>
          <w:color w:val="auto"/>
          <w:sz w:val="30"/>
        </w:rPr>
        <w:t xml:space="preserve">  </w:t>
      </w:r>
      <w:r>
        <w:rPr>
          <w:rFonts w:hint="eastAsia" w:ascii="Times New Roman"/>
          <w:color w:val="auto"/>
          <w:sz w:val="30"/>
        </w:rPr>
        <w:t>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2.本协议书中涉及的相关到期日或</w:t>
      </w:r>
      <w:r>
        <w:rPr>
          <w:rFonts w:hint="eastAsia" w:ascii="宋体" w:hAnsi="宋体" w:cs="仿宋_GB2312"/>
          <w:kern w:val="0"/>
          <w:sz w:val="18"/>
          <w:szCs w:val="18"/>
        </w:rPr>
        <w:t>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w:t>
      </w:r>
      <w:r>
        <w:rPr>
          <w:rFonts w:hint="eastAsia" w:ascii="Times New Roman"/>
          <w:color w:val="auto"/>
          <w:sz w:val="30"/>
        </w:rPr>
        <w:t>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第六条</w:t>
      </w:r>
      <w:r>
        <w:rPr>
          <w:rFonts w:ascii="Times New Roman"/>
          <w:color w:val="auto"/>
          <w:sz w:val="30"/>
        </w:rPr>
        <w:t xml:space="preserve">  </w:t>
      </w:r>
      <w:r>
        <w:rPr>
          <w:rFonts w:hint="eastAsia" w:ascii="Times New Roman"/>
          <w:color w:val="auto"/>
          <w:sz w:val="30"/>
        </w:rPr>
        <w:t>协议的签署和效力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w:t>
      </w:r>
      <w:r>
        <w:rPr>
          <w:rFonts w:ascii="黑体" w:hAnsi="黑体" w:eastAsia="黑体"/>
          <w:sz w:val="18"/>
          <w:szCs w:val="18"/>
        </w:rPr>
        <w:t>签名/盖章后则为签署。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29352"/>
      <w:bookmarkStart w:id="64" w:name="_Toc77953869"/>
      <w:r>
        <w:rPr>
          <w:rFonts w:hint="eastAsia" w:ascii="Times New Roman"/>
          <w:color w:val="auto"/>
          <w:sz w:val="30"/>
        </w:rPr>
        <w:t>第七条</w:t>
      </w:r>
      <w:r>
        <w:rPr>
          <w:rFonts w:ascii="Times New Roman"/>
          <w:color w:val="auto"/>
          <w:sz w:val="30"/>
        </w:rPr>
        <w:t xml:space="preserve">  </w:t>
      </w:r>
      <w:r>
        <w:rPr>
          <w:rFonts w:hint="eastAsia" w:ascii="Times New Roman"/>
          <w:color w:val="auto"/>
          <w:sz w:val="30"/>
        </w:rPr>
        <w:t>消费者权益保护</w:t>
      </w:r>
      <w:bookmarkEnd w:id="63"/>
      <w:bookmarkEnd w:id="64"/>
      <w:r>
        <w:rPr>
          <w:rFonts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销售机构的联络方式，具体以《（代理）销售协议书》《投资者权益须知》等销售文件的内容为准。</w:t>
      </w:r>
      <w:r>
        <w:rPr>
          <w:rFonts w:ascii="黑体" w:hAnsi="黑体" w:eastAsia="黑体"/>
          <w:sz w:val="18"/>
          <w:szCs w:val="18"/>
        </w:rPr>
        <w:t xml:space="preserve">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【】类</w:t>
            </w:r>
            <w:r>
              <w:rPr>
                <w:rFonts w:ascii="宋体" w:hAnsi="宋体" w:cs="宋体"/>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封闭式产品不设置申购</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封闭式产品不设置</w:t>
            </w:r>
            <w:r>
              <w:rPr>
                <w:rFonts w:hint="eastAsia" w:ascii="宋体" w:hAnsi="宋体"/>
                <w:bCs/>
                <w:sz w:val="18"/>
                <w:szCs w:val="18"/>
              </w:rPr>
              <w:t>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sz w:val="18"/>
                <w:szCs w:val="18"/>
              </w:rPr>
            </w:pPr>
            <w:r>
              <w:rPr>
                <w:rFonts w:hint="eastAsia" w:asciiTheme="minorEastAsia" w:hAnsiTheme="minorEastAsia"/>
                <w:sz w:val="18"/>
                <w:szCs w:val="18"/>
              </w:rPr>
              <w:t>【</w:t>
            </w:r>
            <w:r>
              <w:rPr>
                <w:rFonts w:asciiTheme="minorEastAsia" w:hAnsiTheme="minorEastAsia"/>
                <w:sz w:val="18"/>
                <w:szCs w:val="18"/>
              </w:rPr>
              <w:t xml:space="preserve"> 】年</w:t>
            </w:r>
            <w:r>
              <w:rPr>
                <w:rFonts w:hint="eastAsia" w:asciiTheme="minorEastAsia" w:hAnsiTheme="minorEastAsia"/>
                <w:sz w:val="18"/>
                <w:szCs w:val="18"/>
              </w:rPr>
              <w:t>【</w:t>
            </w:r>
            <w:r>
              <w:rPr>
                <w:rFonts w:asciiTheme="minorEastAsia" w:hAnsiTheme="minorEastAsia"/>
                <w:sz w:val="18"/>
                <w:szCs w:val="18"/>
              </w:rPr>
              <w:t xml:space="preserve"> </w:t>
            </w:r>
            <w:r>
              <w:rPr>
                <w:rFonts w:hint="eastAsia" w:asciiTheme="minorEastAsia" w:hAnsiTheme="minorEastAsia"/>
                <w:sz w:val="18"/>
                <w:szCs w:val="18"/>
              </w:rPr>
              <w:t>】月【</w:t>
            </w:r>
            <w:r>
              <w:rPr>
                <w:rFonts w:asciiTheme="minorEastAsia" w:hAnsiTheme="minorEastAsia"/>
                <w:sz w:val="18"/>
                <w:szCs w:val="18"/>
              </w:rPr>
              <w:t xml:space="preserve"> </w:t>
            </w:r>
            <w:r>
              <w:rPr>
                <w:rFonts w:hint="eastAsia" w:asciiTheme="minorEastAsia" w:hAnsiTheme="minorEastAsia"/>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3.投资者已认真阅读并充分理解包括但不限于《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w:t>
            </w:r>
            <w:r>
              <w:rPr>
                <w:rFonts w:ascii="黑体" w:hAnsi="黑体" w:eastAsia="黑体"/>
                <w:sz w:val="18"/>
                <w:szCs w:val="18"/>
              </w:rPr>
              <w:t>/申购/赎回受上述协议约束。明确本理财产品作为资产管理产品应受到的法律法规及监管政策的规范与调整，同意接受本产品的投资方案、费率、认购/申购/赎回安排与上述文件所</w:t>
            </w:r>
            <w:r>
              <w:rPr>
                <w:rFonts w:hint="eastAsia" w:ascii="黑体" w:hAnsi="黑体" w:eastAsia="黑体"/>
                <w:sz w:val="18"/>
                <w:szCs w:val="18"/>
              </w:rPr>
              <w:t>做风险提示，愿意承担投资风险，现决定认购</w:t>
            </w:r>
            <w:r>
              <w:rPr>
                <w:rFonts w:ascii="黑体" w:hAnsi="黑体" w:eastAsia="黑体"/>
                <w:sz w:val="18"/>
                <w:szCs w:val="18"/>
              </w:rPr>
              <w:t>/申购/赎回，并授权产品管理人根据投资方案进行投资。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投资者（签名</w:t>
            </w:r>
            <w:r>
              <w:rPr>
                <w:sz w:val="18"/>
                <w:szCs w:val="18"/>
              </w:rPr>
              <w:t>/</w:t>
            </w:r>
            <w:r>
              <w:rPr>
                <w:rFonts w:hint="eastAsia"/>
                <w:sz w:val="18"/>
                <w:szCs w:val="18"/>
              </w:rPr>
              <w:t>线上确认）：</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投资者法定代表人或授权代理人（签名</w:t>
            </w:r>
            <w:r>
              <w:rPr>
                <w:rFonts w:cs="Arial"/>
                <w:sz w:val="18"/>
                <w:szCs w:val="18"/>
              </w:rPr>
              <w:t>/</w:t>
            </w:r>
            <w:r>
              <w:rPr>
                <w:rFonts w:hint="eastAsia" w:cs="Arial"/>
                <w:sz w:val="18"/>
                <w:szCs w:val="18"/>
              </w:rPr>
              <w:t>盖章</w:t>
            </w:r>
            <w:r>
              <w:rPr>
                <w:rFonts w:cs="Arial"/>
                <w:sz w:val="18"/>
                <w:szCs w:val="18"/>
              </w:rPr>
              <w:t>/</w:t>
            </w:r>
            <w:r>
              <w:rPr>
                <w:rFonts w:hint="eastAsia"/>
                <w:sz w:val="18"/>
                <w:szCs w:val="18"/>
              </w:rPr>
              <w:t>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b/>
          <w:bCs/>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ectPr>
          <w:headerReference r:id="rId3" w:type="default"/>
          <w:footerReference r:id="rId4" w:type="default"/>
          <w:pgSz w:w="11906" w:h="16838"/>
          <w:pgMar w:top="1440" w:right="1800" w:bottom="1440" w:left="1800" w:header="567" w:footer="964" w:gutter="0"/>
          <w:cols w:space="720" w:num="1"/>
          <w:docGrid w:type="lines" w:linePitch="312" w:charSpace="0"/>
        </w:sectPr>
      </w:pPr>
    </w:p>
    <w:p>
      <w:pPr>
        <w:pStyle w:val="14"/>
        <w:spacing w:line="360" w:lineRule="auto"/>
        <w:rPr>
          <w:rFonts w:hAnsi="宋体"/>
          <w:sz w:val="18"/>
          <w:szCs w:val="18"/>
        </w:rPr>
      </w:pPr>
    </w:p>
    <w:p>
      <w:pPr>
        <w:widowControl/>
        <w:spacing w:line="360" w:lineRule="auto"/>
        <w:jc w:val="center"/>
        <w:rPr>
          <w:rStyle w:val="10"/>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10"/>
          <w:rFonts w:ascii="宋体" w:hAnsi="宋体"/>
          <w:sz w:val="32"/>
          <w:szCs w:val="32"/>
        </w:rPr>
      </w:pPr>
    </w:p>
    <w:p>
      <w:pPr>
        <w:adjustRightInd w:val="0"/>
        <w:spacing w:line="360" w:lineRule="auto"/>
        <w:jc w:val="center"/>
        <w:rPr>
          <w:rStyle w:val="10"/>
          <w:rFonts w:ascii="宋体" w:hAnsi="宋体"/>
          <w:sz w:val="32"/>
          <w:szCs w:val="32"/>
        </w:rPr>
      </w:pPr>
    </w:p>
    <w:p>
      <w:pPr>
        <w:adjustRightInd w:val="0"/>
        <w:spacing w:line="360" w:lineRule="auto"/>
        <w:jc w:val="center"/>
        <w:rPr>
          <w:rStyle w:val="10"/>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0"/>
          <w:rFonts w:ascii="宋体" w:hAnsi="宋体"/>
          <w:sz w:val="32"/>
          <w:szCs w:val="32"/>
        </w:rPr>
      </w:pPr>
    </w:p>
    <w:p>
      <w:pPr>
        <w:adjustRightInd w:val="0"/>
        <w:spacing w:line="360" w:lineRule="auto"/>
        <w:jc w:val="center"/>
        <w:rPr>
          <w:rStyle w:val="10"/>
          <w:rFonts w:ascii="黑体" w:hAnsi="黑体" w:eastAsia="黑体"/>
          <w:sz w:val="44"/>
          <w:szCs w:val="44"/>
        </w:rPr>
      </w:pPr>
      <w:r>
        <w:rPr>
          <w:rStyle w:val="10"/>
          <w:rFonts w:hint="eastAsia" w:ascii="黑体" w:hAnsi="黑体" w:eastAsia="黑体"/>
          <w:sz w:val="44"/>
          <w:szCs w:val="44"/>
        </w:rPr>
        <w:t>兴银理财【丰收封闭式固收类】理财产品</w:t>
      </w:r>
    </w:p>
    <w:p>
      <w:pPr>
        <w:adjustRightInd w:val="0"/>
        <w:spacing w:line="360" w:lineRule="auto"/>
        <w:jc w:val="center"/>
        <w:rPr>
          <w:rStyle w:val="10"/>
          <w:rFonts w:ascii="黑体" w:hAnsi="黑体" w:eastAsia="黑体"/>
          <w:sz w:val="44"/>
          <w:szCs w:val="44"/>
        </w:rPr>
      </w:pPr>
      <w:r>
        <w:rPr>
          <w:rStyle w:val="10"/>
          <w:rFonts w:hint="eastAsia" w:ascii="黑体" w:hAnsi="黑体" w:eastAsia="黑体"/>
          <w:sz w:val="44"/>
          <w:szCs w:val="44"/>
        </w:rPr>
        <w:t>产品说明书</w:t>
      </w:r>
    </w:p>
    <w:p>
      <w:pPr>
        <w:adjustRightInd w:val="0"/>
        <w:spacing w:line="360" w:lineRule="auto"/>
        <w:jc w:val="center"/>
        <w:rPr>
          <w:rStyle w:val="10"/>
          <w:rFonts w:ascii="宋体" w:hAnsi="宋体"/>
          <w:sz w:val="32"/>
          <w:szCs w:val="32"/>
        </w:rPr>
      </w:pPr>
    </w:p>
    <w:p>
      <w:pPr>
        <w:adjustRightInd w:val="0"/>
        <w:spacing w:line="360" w:lineRule="auto"/>
        <w:jc w:val="center"/>
        <w:rPr>
          <w:rStyle w:val="10"/>
          <w:rFonts w:ascii="黑体" w:hAnsi="黑体" w:eastAsia="黑体"/>
          <w:bCs w:val="0"/>
          <w:sz w:val="28"/>
          <w:szCs w:val="28"/>
        </w:rPr>
      </w:pPr>
    </w:p>
    <w:p>
      <w:pPr>
        <w:adjustRightInd w:val="0"/>
        <w:spacing w:line="360" w:lineRule="auto"/>
        <w:jc w:val="center"/>
        <w:rPr>
          <w:rStyle w:val="10"/>
          <w:rFonts w:ascii="宋体" w:hAnsi="宋体" w:cs="Times New Roman"/>
          <w:sz w:val="32"/>
          <w:szCs w:val="32"/>
        </w:rPr>
      </w:pPr>
      <w:r>
        <w:rPr>
          <w:rStyle w:val="10"/>
          <w:rFonts w:hint="eastAsia" w:ascii="宋体" w:hAnsi="宋体" w:cs="Times New Roman"/>
          <w:sz w:val="32"/>
          <w:szCs w:val="32"/>
        </w:rPr>
        <w:t>理财产品管理人：兴银理财有限责任公司</w:t>
      </w:r>
    </w:p>
    <w:p>
      <w:pPr>
        <w:adjustRightInd w:val="0"/>
        <w:spacing w:line="360" w:lineRule="auto"/>
        <w:jc w:val="center"/>
        <w:rPr>
          <w:rStyle w:val="10"/>
          <w:rFonts w:ascii="宋体" w:hAnsi="宋体"/>
          <w:sz w:val="32"/>
          <w:szCs w:val="32"/>
        </w:rPr>
      </w:pPr>
    </w:p>
    <w:p>
      <w:pPr>
        <w:adjustRightInd w:val="0"/>
        <w:spacing w:line="360" w:lineRule="auto"/>
        <w:jc w:val="center"/>
        <w:rPr>
          <w:rStyle w:val="10"/>
          <w:rFonts w:ascii="宋体" w:hAnsi="宋体"/>
          <w:sz w:val="32"/>
          <w:szCs w:val="32"/>
        </w:rPr>
      </w:pPr>
    </w:p>
    <w:p>
      <w:pPr>
        <w:adjustRightInd w:val="0"/>
        <w:spacing w:line="360" w:lineRule="auto"/>
        <w:jc w:val="center"/>
        <w:rPr>
          <w:rStyle w:val="10"/>
          <w:rFonts w:ascii="宋体" w:hAnsi="宋体" w:cs="Times New Roman"/>
          <w:sz w:val="32"/>
          <w:szCs w:val="32"/>
        </w:rPr>
      </w:pPr>
      <w:r>
        <w:rPr>
          <w:rStyle w:val="10"/>
          <w:rFonts w:hint="eastAsia" w:ascii="宋体" w:hAnsi="宋体" w:cs="Times New Roman"/>
          <w:sz w:val="32"/>
          <w:szCs w:val="32"/>
        </w:rPr>
        <w:t>日期</w:t>
      </w:r>
      <w:r>
        <w:rPr>
          <w:rStyle w:val="10"/>
          <w:rFonts w:ascii="宋体" w:hAnsi="宋体" w:cs="Times New Roman"/>
          <w:sz w:val="32"/>
          <w:szCs w:val="32"/>
        </w:rPr>
        <w:t>：</w:t>
      </w:r>
      <w:r>
        <w:rPr>
          <w:rStyle w:val="10"/>
          <w:rFonts w:hint="eastAsia" w:ascii="宋体" w:hAnsi="宋体" w:cs="Times New Roman"/>
          <w:sz w:val="32"/>
          <w:szCs w:val="32"/>
        </w:rPr>
        <w:t>【</w:t>
      </w:r>
      <w:r>
        <w:rPr>
          <w:rStyle w:val="10"/>
          <w:rFonts w:hint="eastAsia" w:ascii="宋体" w:hAnsi="宋体" w:cs="Times New Roman"/>
          <w:sz w:val="32"/>
          <w:szCs w:val="32"/>
          <w:lang w:val="en-US" w:eastAsia="zh-CN"/>
        </w:rPr>
        <w:t>2025</w:t>
      </w:r>
      <w:r>
        <w:rPr>
          <w:rStyle w:val="10"/>
          <w:rFonts w:hint="eastAsia" w:ascii="宋体" w:hAnsi="宋体" w:cs="Times New Roman"/>
          <w:sz w:val="32"/>
          <w:szCs w:val="32"/>
        </w:rPr>
        <w:t>】年【</w:t>
      </w:r>
      <w:r>
        <w:rPr>
          <w:rStyle w:val="10"/>
          <w:rFonts w:hint="eastAsia" w:ascii="宋体" w:hAnsi="宋体" w:cs="Times New Roman"/>
          <w:sz w:val="32"/>
          <w:szCs w:val="32"/>
          <w:lang w:val="en-US" w:eastAsia="zh-CN"/>
        </w:rPr>
        <w:t>10</w:t>
      </w:r>
      <w:r>
        <w:rPr>
          <w:rStyle w:val="10"/>
          <w:rFonts w:hint="eastAsia" w:ascii="宋体" w:hAnsi="宋体" w:cs="Times New Roman"/>
          <w:sz w:val="32"/>
          <w:szCs w:val="32"/>
        </w:rPr>
        <w:t>】月</w:t>
      </w:r>
    </w:p>
    <w:p>
      <w:pPr>
        <w:adjustRightInd w:val="0"/>
        <w:spacing w:line="360" w:lineRule="auto"/>
        <w:jc w:val="center"/>
        <w:rPr>
          <w:rStyle w:val="10"/>
          <w:rFonts w:ascii="宋体" w:hAnsi="宋体"/>
          <w:sz w:val="32"/>
          <w:szCs w:val="32"/>
        </w:rPr>
      </w:pPr>
    </w:p>
    <w:p>
      <w:pPr>
        <w:pStyle w:val="1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15"/>
            <w:spacing w:line="360" w:lineRule="auto"/>
            <w:jc w:val="center"/>
          </w:pPr>
          <w:bookmarkStart w:id="222" w:name="_GoBack"/>
          <w:bookmarkEnd w:id="222"/>
          <w:bookmarkStart w:id="66" w:name="_Toc78276587"/>
          <w:r>
            <w:rPr>
              <w:lang w:val="zh-CN"/>
            </w:rPr>
            <w:t>目录</w:t>
          </w:r>
        </w:p>
        <w:p>
          <w:pPr>
            <w:pStyle w:val="5"/>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"_Toc176189753" </w:instrText>
          </w:r>
          <w:r>
            <w:fldChar w:fldCharType="separate"/>
          </w:r>
          <w:r>
            <w:rPr>
              <w:rStyle w:val="11"/>
              <w:rFonts w:hint="eastAsia" w:ascii="Times New Roman"/>
            </w:rPr>
            <w:t>第一条</w:t>
          </w:r>
          <w:r>
            <w:rPr>
              <w:rStyle w:val="11"/>
              <w:rFonts w:ascii="Times New Roman"/>
            </w:rPr>
            <w:t xml:space="preserve">  </w:t>
          </w:r>
          <w:r>
            <w:rPr>
              <w:rStyle w:val="11"/>
              <w:rFonts w:hint="eastAsia" w:ascii="Times New Roman"/>
            </w:rPr>
            <w:t>释义</w:t>
          </w:r>
          <w:r>
            <w:tab/>
          </w:r>
          <w:r>
            <w:fldChar w:fldCharType="begin"/>
          </w:r>
          <w:r>
            <w:instrText xml:space="preserve"> PAGEREF _Toc176189753 \h </w:instrText>
          </w:r>
          <w:r>
            <w:fldChar w:fldCharType="separate"/>
          </w:r>
          <w:r>
            <w:t>20</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"_Toc176189754" </w:instrText>
          </w:r>
          <w:r>
            <w:fldChar w:fldCharType="separate"/>
          </w:r>
          <w:r>
            <w:rPr>
              <w:rStyle w:val="11"/>
              <w:rFonts w:hint="eastAsia" w:hAnsi="宋体"/>
            </w:rPr>
            <w:t>第二条</w:t>
          </w:r>
          <w:r>
            <w:rPr>
              <w:rStyle w:val="11"/>
              <w:rFonts w:hAnsi="宋体"/>
            </w:rPr>
            <w:t xml:space="preserve">  </w:t>
          </w:r>
          <w:r>
            <w:rPr>
              <w:rStyle w:val="11"/>
              <w:rFonts w:hint="eastAsia" w:hAnsi="宋体"/>
            </w:rPr>
            <w:t>理财产品基本情况</w:t>
          </w:r>
          <w:r>
            <w:tab/>
          </w:r>
          <w:r>
            <w:fldChar w:fldCharType="begin"/>
          </w:r>
          <w:r>
            <w:instrText xml:space="preserve"> PAGEREF _Toc176189754 \h </w:instrText>
          </w:r>
          <w:r>
            <w:fldChar w:fldCharType="separate"/>
          </w:r>
          <w:r>
            <w:t>25</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"_Toc176189755" </w:instrText>
          </w:r>
          <w:r>
            <w:fldChar w:fldCharType="separate"/>
          </w:r>
          <w:r>
            <w:rPr>
              <w:rStyle w:val="11"/>
              <w:rFonts w:hint="eastAsia" w:ascii="Times New Roman"/>
            </w:rPr>
            <w:t>第三条</w:t>
          </w:r>
          <w:r>
            <w:rPr>
              <w:rStyle w:val="11"/>
              <w:rFonts w:ascii="Times New Roman"/>
            </w:rPr>
            <w:t xml:space="preserve">  </w:t>
          </w:r>
          <w:r>
            <w:rPr>
              <w:rStyle w:val="11"/>
              <w:rFonts w:hint="eastAsia" w:ascii="Times New Roman"/>
            </w:rPr>
            <w:t>理财产品的认购</w:t>
          </w:r>
          <w:r>
            <w:tab/>
          </w:r>
          <w:r>
            <w:fldChar w:fldCharType="begin"/>
          </w:r>
          <w:r>
            <w:instrText xml:space="preserve"> PAGEREF _Toc176189755 \h </w:instrText>
          </w:r>
          <w:r>
            <w:fldChar w:fldCharType="separate"/>
          </w:r>
          <w:r>
            <w:t>30</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"_Toc176189756" </w:instrText>
          </w:r>
          <w:r>
            <w:fldChar w:fldCharType="separate"/>
          </w:r>
          <w:r>
            <w:rPr>
              <w:rStyle w:val="11"/>
              <w:rFonts w:hint="eastAsia" w:ascii="Times New Roman"/>
            </w:rPr>
            <w:t>第四条</w:t>
          </w:r>
          <w:r>
            <w:rPr>
              <w:rStyle w:val="11"/>
              <w:rFonts w:ascii="Times New Roman"/>
            </w:rPr>
            <w:t xml:space="preserve">  </w:t>
          </w:r>
          <w:r>
            <w:rPr>
              <w:rStyle w:val="11"/>
              <w:rFonts w:hint="eastAsia" w:ascii="Times New Roman"/>
            </w:rPr>
            <w:t>理财产品的申购与赎回</w:t>
          </w:r>
          <w:r>
            <w:tab/>
          </w:r>
          <w:r>
            <w:fldChar w:fldCharType="begin"/>
          </w:r>
          <w:r>
            <w:instrText xml:space="preserve"> PAGEREF _Toc176189756 \h </w:instrText>
          </w:r>
          <w:r>
            <w:fldChar w:fldCharType="separate"/>
          </w:r>
          <w:r>
            <w:t>32</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"_Toc176189757" </w:instrText>
          </w:r>
          <w:r>
            <w:fldChar w:fldCharType="separate"/>
          </w:r>
          <w:r>
            <w:rPr>
              <w:rStyle w:val="11"/>
              <w:rFonts w:hint="eastAsia" w:ascii="Times New Roman"/>
            </w:rPr>
            <w:t>第五条</w:t>
          </w:r>
          <w:r>
            <w:rPr>
              <w:rStyle w:val="11"/>
              <w:rFonts w:ascii="Times New Roman"/>
            </w:rPr>
            <w:t xml:space="preserve">  </w:t>
          </w:r>
          <w:r>
            <w:rPr>
              <w:rStyle w:val="11"/>
              <w:rFonts w:hint="eastAsia" w:ascii="Times New Roman"/>
            </w:rPr>
            <w:t>理财产品的投资</w:t>
          </w:r>
          <w:r>
            <w:tab/>
          </w:r>
          <w:r>
            <w:fldChar w:fldCharType="begin"/>
          </w:r>
          <w:r>
            <w:instrText xml:space="preserve"> PAGEREF _Toc176189757 \h </w:instrText>
          </w:r>
          <w:r>
            <w:fldChar w:fldCharType="separate"/>
          </w:r>
          <w:r>
            <w:t>33</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"_Toc176189758" </w:instrText>
          </w:r>
          <w:r>
            <w:fldChar w:fldCharType="separate"/>
          </w:r>
          <w:r>
            <w:rPr>
              <w:rStyle w:val="11"/>
              <w:rFonts w:hint="eastAsia" w:ascii="Times New Roman"/>
            </w:rPr>
            <w:t>第六条</w:t>
          </w:r>
          <w:r>
            <w:rPr>
              <w:rStyle w:val="11"/>
              <w:rFonts w:ascii="Times New Roman"/>
            </w:rPr>
            <w:t xml:space="preserve">  </w:t>
          </w:r>
          <w:r>
            <w:rPr>
              <w:rStyle w:val="11"/>
              <w:rFonts w:hint="eastAsia" w:ascii="Times New Roman"/>
            </w:rPr>
            <w:t>理财产品的资产</w:t>
          </w:r>
          <w:r>
            <w:tab/>
          </w:r>
          <w:r>
            <w:fldChar w:fldCharType="begin"/>
          </w:r>
          <w:r>
            <w:instrText xml:space="preserve"> PAGEREF _Toc176189758 \h </w:instrText>
          </w:r>
          <w:r>
            <w:fldChar w:fldCharType="separate"/>
          </w:r>
          <w:r>
            <w:t>36</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"_Toc176189759" </w:instrText>
          </w:r>
          <w:r>
            <w:fldChar w:fldCharType="separate"/>
          </w:r>
          <w:r>
            <w:rPr>
              <w:rStyle w:val="11"/>
              <w:rFonts w:hint="eastAsia" w:ascii="Times New Roman"/>
            </w:rPr>
            <w:t>第七条</w:t>
          </w:r>
          <w:r>
            <w:rPr>
              <w:rStyle w:val="11"/>
              <w:rFonts w:ascii="Times New Roman"/>
            </w:rPr>
            <w:t xml:space="preserve">  </w:t>
          </w:r>
          <w:r>
            <w:rPr>
              <w:rStyle w:val="11"/>
              <w:rFonts w:hint="eastAsia" w:ascii="Times New Roman"/>
            </w:rPr>
            <w:t>理财产品项下资产的估值</w:t>
          </w:r>
          <w:r>
            <w:tab/>
          </w:r>
          <w:r>
            <w:fldChar w:fldCharType="begin"/>
          </w:r>
          <w:r>
            <w:instrText xml:space="preserve"> PAGEREF _Toc176189759 \h </w:instrText>
          </w:r>
          <w:r>
            <w:fldChar w:fldCharType="separate"/>
          </w:r>
          <w:r>
            <w:t>37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"_Toc176189760" </w:instrText>
          </w:r>
          <w:r>
            <w:fldChar w:fldCharType="separate"/>
          </w:r>
          <w:r>
            <w:rPr>
              <w:rStyle w:val="11"/>
              <w:rFonts w:hint="eastAsia" w:ascii="Times New Roman"/>
            </w:rPr>
            <w:t>第八条</w:t>
          </w:r>
          <w:r>
            <w:rPr>
              <w:rStyle w:val="11"/>
              <w:rFonts w:ascii="Times New Roman"/>
            </w:rPr>
            <w:t xml:space="preserve">  </w:t>
          </w:r>
          <w:r>
            <w:rPr>
              <w:rStyle w:val="11"/>
              <w:rFonts w:hint="eastAsia" w:ascii="Times New Roman"/>
            </w:rPr>
            <w:t>理财产品的利益分配</w:t>
          </w:r>
          <w:r>
            <w:tab/>
          </w:r>
          <w:r>
            <w:fldChar w:fldCharType="begin"/>
          </w:r>
          <w:r>
            <w:instrText xml:space="preserve"> PAGEREF _Toc176189760 \h </w:instrText>
          </w:r>
          <w:r>
            <w:fldChar w:fldCharType="separate"/>
          </w:r>
          <w:r>
            <w:t>41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"_Toc176189761" </w:instrText>
          </w:r>
          <w:r>
            <w:fldChar w:fldCharType="separate"/>
          </w:r>
          <w:r>
            <w:rPr>
              <w:rStyle w:val="11"/>
              <w:rFonts w:hint="eastAsia" w:ascii="Times New Roman"/>
            </w:rPr>
            <w:t>第九条</w:t>
          </w:r>
          <w:r>
            <w:rPr>
              <w:rStyle w:val="11"/>
              <w:rFonts w:ascii="Times New Roman"/>
            </w:rPr>
            <w:t xml:space="preserve">  </w:t>
          </w:r>
          <w:r>
            <w:rPr>
              <w:rStyle w:val="11"/>
              <w:rFonts w:hint="eastAsia" w:ascii="Times New Roman"/>
            </w:rPr>
            <w:t>理财产品的费用与税收</w:t>
          </w:r>
          <w:r>
            <w:tab/>
          </w:r>
          <w:r>
            <w:fldChar w:fldCharType="begin"/>
          </w:r>
          <w:r>
            <w:instrText xml:space="preserve"> PAGEREF _Toc176189761 \h </w:instrText>
          </w:r>
          <w:r>
            <w:fldChar w:fldCharType="separate"/>
          </w:r>
          <w:r>
            <w:t>42</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"_Toc176189762" </w:instrText>
          </w:r>
          <w:r>
            <w:fldChar w:fldCharType="separate"/>
          </w:r>
          <w:r>
            <w:rPr>
              <w:rStyle w:val="11"/>
              <w:rFonts w:hint="eastAsia"/>
            </w:rPr>
            <w:t>第十条</w:t>
          </w:r>
          <w:r>
            <w:rPr>
              <w:rStyle w:val="11"/>
            </w:rPr>
            <w:t xml:space="preserve">  </w:t>
          </w:r>
          <w:r>
            <w:rPr>
              <w:rStyle w:val="11"/>
              <w:rFonts w:hint="eastAsia"/>
            </w:rPr>
            <w:t>理财产品的终止与清算</w:t>
          </w:r>
          <w:r>
            <w:tab/>
          </w:r>
          <w:r>
            <w:fldChar w:fldCharType="begin"/>
          </w:r>
          <w:r>
            <w:instrText xml:space="preserve"> PAGEREF _Toc176189762 \h </w:instrText>
          </w:r>
          <w:r>
            <w:fldChar w:fldCharType="separate"/>
          </w:r>
          <w:r>
            <w:t>45</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"_Toc176189763" </w:instrText>
          </w:r>
          <w:r>
            <w:fldChar w:fldCharType="separate"/>
          </w:r>
          <w:r>
            <w:rPr>
              <w:rStyle w:val="11"/>
              <w:rFonts w:hint="eastAsia" w:ascii="Times New Roman"/>
            </w:rPr>
            <w:t>第十一条</w:t>
          </w:r>
          <w:r>
            <w:rPr>
              <w:rStyle w:val="11"/>
              <w:rFonts w:ascii="Times New Roman"/>
            </w:rPr>
            <w:t xml:space="preserve">  </w:t>
          </w:r>
          <w:r>
            <w:rPr>
              <w:rStyle w:val="11"/>
              <w:rFonts w:hint="eastAsia" w:ascii="Times New Roman"/>
            </w:rPr>
            <w:t>理财产品的信息披露</w:t>
          </w:r>
          <w:r>
            <w:tab/>
          </w:r>
          <w:r>
            <w:fldChar w:fldCharType="begin"/>
          </w:r>
          <w:r>
            <w:instrText xml:space="preserve"> PAGEREF _Toc176189763 \h </w:instrText>
          </w:r>
          <w:r>
            <w:fldChar w:fldCharType="separate"/>
          </w:r>
          <w:r>
            <w:t>47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"_Toc176189764" </w:instrText>
          </w:r>
          <w:r>
            <w:fldChar w:fldCharType="separate"/>
          </w:r>
          <w:r>
            <w:rPr>
              <w:rStyle w:val="11"/>
              <w:rFonts w:hint="eastAsia" w:ascii="Times New Roman"/>
            </w:rPr>
            <w:t>第十二条</w:t>
          </w:r>
          <w:r>
            <w:rPr>
              <w:rStyle w:val="11"/>
              <w:rFonts w:ascii="Times New Roman"/>
            </w:rPr>
            <w:t xml:space="preserve">  </w:t>
          </w:r>
          <w:r>
            <w:rPr>
              <w:rStyle w:val="11"/>
              <w:rFonts w:hint="eastAsia" w:ascii="Times New Roman"/>
            </w:rPr>
            <w:t>理财产品的风险揭示</w:t>
          </w:r>
          <w:r>
            <w:tab/>
          </w:r>
          <w:r>
            <w:fldChar w:fldCharType="begin"/>
          </w:r>
          <w:r>
            <w:instrText xml:space="preserve"> PAGEREF _Toc176189764 \h </w:instrText>
          </w:r>
          <w:r>
            <w:fldChar w:fldCharType="separate"/>
          </w:r>
          <w:r>
            <w:t>49</w:t>
          </w:r>
          <w:r>
            <w:fldChar w:fldCharType="end"/>
          </w:r>
          <w:r>
            <w:fldChar w:fldCharType="end"/>
          </w:r>
        </w:p>
        <w:p>
          <w:pPr>
            <w:spacing w:line="360" w:lineRule="auto"/>
          </w:pPr>
          <w:r>
            <w:fldChar w:fldCharType="end"/>
          </w:r>
        </w:p>
      </w:sdtContent>
    </w:sdt>
    <w:p>
      <w:pPr>
        <w:rPr>
          <w:rFonts w:ascii="Times New Roman"/>
          <w:sz w:val="30"/>
        </w:rPr>
      </w:pPr>
      <w:r>
        <w:rPr>
          <w:rFonts w:ascii="Times New Roman"/>
          <w:sz w:val="30"/>
        </w:rPr>
        <w:br w:type="page"/>
      </w:r>
    </w:p>
    <w:p>
      <w:pPr>
        <w:pStyle w:val="2"/>
        <w:spacing w:before="0" w:after="0" w:line="360" w:lineRule="auto"/>
        <w:jc w:val="center"/>
        <w:rPr>
          <w:rFonts w:ascii="Times New Roman"/>
          <w:sz w:val="30"/>
        </w:rPr>
      </w:pPr>
      <w:bookmarkStart w:id="67" w:name="_Toc176189753"/>
      <w:r>
        <w:rPr>
          <w:rFonts w:ascii="Times New Roman"/>
          <w:sz w:val="30"/>
        </w:rPr>
        <w:t>第</w:t>
      </w:r>
      <w:r>
        <w:rPr>
          <w:rFonts w:hint="eastAsia" w:ascii="Times New Roman"/>
          <w:sz w:val="30"/>
        </w:rPr>
        <w:t xml:space="preserve">一条 </w:t>
      </w:r>
      <w:r>
        <w:rPr>
          <w:rFonts w:ascii="Times New Roman"/>
          <w:sz w:val="30"/>
        </w:rPr>
        <w:t xml:space="preserve"> 释义</w:t>
      </w:r>
      <w:bookmarkEnd w:id="66"/>
      <w:bookmarkEnd w:id="67"/>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1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监管部门</w:t>
      </w:r>
      <w:r>
        <w:rPr>
          <w:rFonts w:asciiTheme="majorEastAsia" w:hAnsiTheme="majorEastAsia" w:eastAsiaTheme="majorEastAsia"/>
          <w:bCs/>
          <w:color w:val="auto"/>
          <w:sz w:val="18"/>
          <w:szCs w:val="18"/>
        </w:rPr>
        <w:t>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1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1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：指产品管理人向投资者提供的，用于描述产品特征，约定权利义务的文件。具体指《兴银理财【丰收封闭式固收类】理财产品销售文件》，包括《投资协议书》《产品说明书》《（代理）销售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《投资协议书》：指管理人统一编制的《兴银理财【丰收封闭式固收类】理财产品投资协议书》，以及对该文件的有效修改或补充。</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）《产品说明书》：指管理人统一编制的《兴银理财【丰收封闭式固收类】理财产品产品说明书》，以及对该文件的有效修改或补充。</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（4）《（代理）销售协议书》：指管理人统一编制的《兴银理财【丰收封闭式固收类】理财产品（代理）销售协议书》或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的《兴银理财【丰收封闭式固收类】理财产品（代理）销售协议书》（文件名称以代理销售机构实际编制为准），以及对该文件的有效修改或补充。</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）《风险揭示书》：指管理人统一编制的《兴银理财【丰收封闭式固收类】理财产品风险揭示书》或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的《兴银理财【丰收封闭式固收类】理财产品风险揭示书》（文件名称以代理销售机构实际编制为准），以及对该文件的有效修改或补充。</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）《投资者权益须知》：指管理人统一编制的《兴银理财【丰收封闭式固收类】理财产品投资者权益须知》或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《兴银理财【丰收封闭式固收类】理财产品投资者权益须知》（文件名称以代理销售机构实际编制为准），以及对该文件的有效修改或补充。</w:t>
      </w:r>
    </w:p>
    <w:p>
      <w:pPr>
        <w:pStyle w:val="1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内部识别码。若本款理财产品不设置差异化产品份额类别，理财产品代码即为理财产品销售代码。</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w:t>
      </w:r>
      <w:r>
        <w:rPr>
          <w:rFonts w:asciiTheme="majorEastAsia" w:hAnsiTheme="majorEastAsia" w:eastAsiaTheme="majorEastAsia"/>
          <w:bCs/>
          <w:sz w:val="18"/>
          <w:szCs w:val="18"/>
        </w:rPr>
        <w:t>理财</w:t>
      </w:r>
      <w:r>
        <w:rPr>
          <w:rFonts w:hint="eastAsia" w:asciiTheme="majorEastAsia" w:hAnsiTheme="majorEastAsia" w:eastAsiaTheme="majorEastAsia"/>
          <w:bCs/>
          <w:sz w:val="18"/>
          <w:szCs w:val="18"/>
        </w:rPr>
        <w:t>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产品的投资者类型。</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1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1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0）理财产品估值：指计算评估理财产品资产和理财产品负债的价值，以确定理财产品份额净值的过程。</w:t>
      </w:r>
    </w:p>
    <w:p>
      <w:pPr>
        <w:pStyle w:val="1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eastAsia="黑体"/>
          <w:sz w:val="18"/>
        </w:rPr>
        <w:t>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w:t>
      </w:r>
      <w:r>
        <w:rPr>
          <w:rFonts w:hint="eastAsia" w:ascii="黑体" w:hAnsi="黑体" w:eastAsia="黑体"/>
          <w:bCs/>
          <w:color w:val="auto"/>
          <w:sz w:val="18"/>
          <w:szCs w:val="18"/>
        </w:rPr>
        <w:t>投资须谨慎。</w:t>
      </w:r>
    </w:p>
    <w:p>
      <w:pPr>
        <w:pStyle w:val="1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3）理财产品利益/理财利益：指投资者因持有理财产品份额，按照销售文件约定取得或有权取得的理财产品管理人分配的理财产品资产。</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4</w:t>
      </w:r>
      <w:r>
        <w:rPr>
          <w:rFonts w:asciiTheme="majorEastAsia" w:hAnsiTheme="majorEastAsia" w:eastAsiaTheme="majorEastAsia"/>
          <w:bCs/>
          <w:color w:val="auto"/>
          <w:sz w:val="18"/>
          <w:szCs w:val="18"/>
        </w:rPr>
        <w:t xml:space="preserve">）利益分配：指产品管理人向投资者进行理财产品利益分配。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w:t>
      </w:r>
      <w:r>
        <w:rPr>
          <w:rFonts w:asciiTheme="majorEastAsia" w:hAnsiTheme="majorEastAsia" w:eastAsiaTheme="majorEastAsia"/>
          <w:bCs/>
          <w:color w:val="auto"/>
          <w:sz w:val="18"/>
          <w:szCs w:val="18"/>
        </w:rPr>
        <w:t xml:space="preserve">）期间分配：指在理财产品终止日（不含当日）前的理财产品利益分配。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w:t>
      </w:r>
      <w:r>
        <w:rPr>
          <w:rFonts w:asciiTheme="majorEastAsia" w:hAnsiTheme="majorEastAsia" w:eastAsiaTheme="majorEastAsia"/>
          <w:bCs/>
          <w:color w:val="auto"/>
          <w:sz w:val="18"/>
          <w:szCs w:val="18"/>
        </w:rPr>
        <w:t>）终止分配：指在理财产品终止日当日及之后的理财产品利益分配。</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）申购：</w:t>
      </w:r>
      <w:r>
        <w:rPr>
          <w:rFonts w:hint="eastAsia" w:asciiTheme="minorEastAsia" w:hAnsiTheme="minorEastAsia" w:eastAsiaTheme="minorEastAsia"/>
          <w:color w:val="auto"/>
          <w:sz w:val="18"/>
          <w:szCs w:val="18"/>
        </w:rPr>
        <w:t>指开放式理财产品成立后，投资者申请购买理财产品份额的行为。</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19</w:t>
      </w:r>
      <w:r>
        <w:rPr>
          <w:rFonts w:hint="eastAsia" w:asciiTheme="majorEastAsia" w:hAnsiTheme="majorEastAsia" w:eastAsiaTheme="majorEastAsia"/>
          <w:bCs/>
          <w:color w:val="auto"/>
          <w:sz w:val="18"/>
          <w:szCs w:val="18"/>
        </w:rPr>
        <w:t>）赎回：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pPr>
        <w:pStyle w:val="1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1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w:t>
      </w:r>
      <w:r>
        <w:rPr>
          <w:color w:val="auto"/>
          <w:sz w:val="18"/>
          <w:szCs w:val="18"/>
        </w:rPr>
        <w:t>理财</w:t>
      </w:r>
      <w:r>
        <w:rPr>
          <w:rFonts w:hint="eastAsia"/>
          <w:color w:val="auto"/>
          <w:sz w:val="18"/>
          <w:szCs w:val="18"/>
        </w:rPr>
        <w:t>产品开始运作的日期。</w:t>
      </w:r>
    </w:p>
    <w:p>
      <w:pPr>
        <w:pStyle w:val="1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w:t>
      </w:r>
      <w:r>
        <w:rPr>
          <w:color w:val="auto"/>
          <w:sz w:val="18"/>
          <w:szCs w:val="18"/>
        </w:rPr>
        <w:t>理财</w:t>
      </w:r>
      <w:r>
        <w:rPr>
          <w:rFonts w:hint="eastAsia"/>
          <w:color w:val="auto"/>
          <w:sz w:val="18"/>
          <w:szCs w:val="18"/>
        </w:rPr>
        <w:t>产品终止的日期。</w:t>
      </w:r>
    </w:p>
    <w:p>
      <w:pPr>
        <w:pStyle w:val="1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1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1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（11）产品存续期：指自理财产品成立日起，至理财产品终止日的期间。</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2）清算期：指自本理财产品终止日至投资者理财利益到账日之间的期间。</w:t>
      </w:r>
    </w:p>
    <w:p>
      <w:pPr>
        <w:pStyle w:val="1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1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14"/>
        <w:spacing w:line="360" w:lineRule="auto"/>
        <w:ind w:firstLine="360" w:firstLineChars="200"/>
        <w:rPr>
          <w:rFonts w:hAnsi="宋体"/>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w:t>
      </w:r>
      <w:r>
        <w:rPr>
          <w:rFonts w:hint="eastAsia" w:cs="仿宋_GB2312" w:asciiTheme="minorEastAsia" w:hAnsiTheme="minorEastAsia" w:eastAsiaTheme="minorEastAsia"/>
          <w:bCs/>
          <w:color w:val="auto"/>
          <w:sz w:val="18"/>
          <w:szCs w:val="18"/>
        </w:rPr>
        <w:t>★</w:t>
      </w:r>
      <w:r>
        <w:rPr>
          <w:rFonts w:hint="eastAsia" w:asciiTheme="minorEastAsia" w:hAnsiTheme="minorEastAsia" w:eastAsiaTheme="minorEastAsia"/>
          <w:sz w:val="18"/>
          <w:szCs w:val="18"/>
        </w:rPr>
        <w:t>销售服务费：指</w:t>
      </w:r>
      <w:r>
        <w:rPr>
          <w:rFonts w:hint="eastAsia" w:hAnsi="宋体"/>
          <w:sz w:val="18"/>
          <w:szCs w:val="18"/>
        </w:rPr>
        <w:t>因理财产品销售行为产生的费用。</w:t>
      </w:r>
    </w:p>
    <w:p>
      <w:pPr>
        <w:pStyle w:val="1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1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1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1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pStyle w:val="14"/>
        <w:spacing w:line="360" w:lineRule="auto"/>
        <w:ind w:firstLine="360" w:firstLineChars="200"/>
        <w:rPr>
          <w:rFonts w:hAnsi="宋体"/>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68" w:name="_Toc176189754"/>
      <w:bookmarkStart w:id="69" w:name="_Toc79154665"/>
      <w:r>
        <w:rPr>
          <w:rFonts w:hint="eastAsia" w:hAnsi="宋体"/>
          <w:sz w:val="28"/>
          <w:szCs w:val="28"/>
        </w:rPr>
        <w:t>第二条  理财产品基本情况</w:t>
      </w:r>
      <w:bookmarkEnd w:id="68"/>
      <w:bookmarkEnd w:id="69"/>
      <w:r>
        <w:rPr>
          <w:rFonts w:hint="eastAsia" w:hAnsi="宋体"/>
          <w:sz w:val="28"/>
          <w:szCs w:val="28"/>
        </w:rPr>
        <w:t xml:space="preserve"> </w:t>
      </w:r>
    </w:p>
    <w:tbl>
      <w:tblPr>
        <w:tblStyle w:val="7"/>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70"/>
        <w:gridCol w:w="767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70"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674" w:type="dxa"/>
            <w:shd w:val="solid" w:color="FFFFFF" w:fill="FFFFFF"/>
          </w:tcPr>
          <w:p>
            <w:pPr>
              <w:spacing w:line="360" w:lineRule="auto"/>
              <w:jc w:val="left"/>
              <w:rPr>
                <w:rFonts w:ascii="宋体" w:hAnsi="宋体"/>
                <w:bCs/>
                <w:sz w:val="18"/>
                <w:szCs w:val="18"/>
              </w:rPr>
            </w:pPr>
            <w:r>
              <w:rPr>
                <w:rFonts w:hint="eastAsia" w:asciiTheme="majorEastAsia" w:hAnsiTheme="majorEastAsia" w:eastAsiaTheme="majorEastAsia"/>
                <w:bCs/>
                <w:kern w:val="0"/>
                <w:sz w:val="18"/>
                <w:szCs w:val="18"/>
              </w:rPr>
              <w:t>【兴银理财丰收封闭式1</w:t>
            </w:r>
            <w:r>
              <w:rPr>
                <w:rFonts w:hint="eastAsia" w:asciiTheme="majorEastAsia" w:hAnsiTheme="majorEastAsia" w:eastAsiaTheme="majorEastAsia"/>
                <w:bCs/>
                <w:kern w:val="0"/>
                <w:sz w:val="18"/>
                <w:szCs w:val="18"/>
                <w:lang w:val="en-US" w:eastAsia="zh-CN"/>
              </w:rPr>
              <w:t>92</w:t>
            </w:r>
            <w:r>
              <w:rPr>
                <w:rFonts w:hint="eastAsia" w:asciiTheme="majorEastAsia" w:hAnsiTheme="majorEastAsia" w:eastAsiaTheme="majorEastAsia"/>
                <w:bCs/>
                <w:kern w:val="0"/>
                <w:sz w:val="18"/>
                <w:szCs w:val="18"/>
              </w:rPr>
              <w:t>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70"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674" w:type="dxa"/>
            <w:shd w:val="solid" w:color="FFFFFF" w:fill="FFFFFF"/>
          </w:tcPr>
          <w:p>
            <w:pPr>
              <w:spacing w:line="360" w:lineRule="auto"/>
              <w:jc w:val="left"/>
              <w:rPr>
                <w:rFonts w:hint="eastAsia" w:ascii="宋体" w:hAnsi="宋体"/>
                <w:bCs/>
                <w:sz w:val="18"/>
                <w:szCs w:val="18"/>
              </w:rPr>
            </w:pPr>
            <w:r>
              <w:rPr>
                <w:rFonts w:hint="eastAsia" w:ascii="宋体" w:hAnsi="宋体"/>
                <w:bCs/>
                <w:sz w:val="18"/>
                <w:szCs w:val="18"/>
              </w:rPr>
              <w:t>【丰收封闭式1</w:t>
            </w:r>
            <w:r>
              <w:rPr>
                <w:rFonts w:hint="eastAsia" w:ascii="宋体" w:hAnsi="宋体"/>
                <w:bCs/>
                <w:sz w:val="18"/>
                <w:szCs w:val="18"/>
                <w:lang w:val="en-US" w:eastAsia="zh-CN"/>
              </w:rPr>
              <w:t>92</w:t>
            </w:r>
            <w:r>
              <w:rPr>
                <w:rFonts w:hint="eastAsia" w:ascii="宋体" w:hAnsi="宋体"/>
                <w:bCs/>
                <w:sz w:val="18"/>
                <w:szCs w:val="18"/>
              </w:rPr>
              <w:t>号A】（适用【</w:t>
            </w:r>
            <w:r>
              <w:rPr>
                <w:rFonts w:hint="eastAsia" w:ascii="宋体" w:hAnsi="宋体"/>
                <w:bCs/>
                <w:sz w:val="18"/>
                <w:szCs w:val="18"/>
                <w:lang w:val="en-US" w:eastAsia="zh-CN"/>
              </w:rPr>
              <w:t>A</w:t>
            </w:r>
            <w:r>
              <w:rPr>
                <w:rFonts w:hint="eastAsia" w:ascii="宋体" w:hAnsi="宋体"/>
                <w:bCs/>
                <w:sz w:val="18"/>
                <w:szCs w:val="18"/>
              </w:rPr>
              <w:t>】类份额）</w:t>
            </w:r>
          </w:p>
          <w:p>
            <w:pPr>
              <w:spacing w:line="360" w:lineRule="auto"/>
              <w:jc w:val="left"/>
              <w:rPr>
                <w:rFonts w:hint="eastAsia" w:ascii="宋体" w:hAnsi="宋体"/>
                <w:bCs/>
                <w:sz w:val="18"/>
                <w:szCs w:val="18"/>
              </w:rPr>
            </w:pPr>
            <w:r>
              <w:rPr>
                <w:rFonts w:hint="eastAsia" w:ascii="宋体" w:hAnsi="宋体"/>
                <w:bCs/>
                <w:sz w:val="18"/>
                <w:szCs w:val="18"/>
              </w:rPr>
              <w:t>【丰收封闭式1</w:t>
            </w:r>
            <w:r>
              <w:rPr>
                <w:rFonts w:hint="eastAsia" w:ascii="宋体" w:hAnsi="宋体"/>
                <w:bCs/>
                <w:sz w:val="18"/>
                <w:szCs w:val="18"/>
                <w:lang w:val="en-US" w:eastAsia="zh-CN"/>
              </w:rPr>
              <w:t>92</w:t>
            </w:r>
            <w:r>
              <w:rPr>
                <w:rFonts w:hint="eastAsia" w:ascii="宋体" w:hAnsi="宋体"/>
                <w:bCs/>
                <w:sz w:val="18"/>
                <w:szCs w:val="18"/>
              </w:rPr>
              <w:t>号B】（适用【</w:t>
            </w:r>
            <w:r>
              <w:rPr>
                <w:rFonts w:hint="eastAsia" w:ascii="宋体" w:hAnsi="宋体"/>
                <w:bCs/>
                <w:sz w:val="18"/>
                <w:szCs w:val="18"/>
                <w:lang w:val="en-US" w:eastAsia="zh-CN"/>
              </w:rPr>
              <w:t>B</w:t>
            </w:r>
            <w:r>
              <w:rPr>
                <w:rFonts w:hint="eastAsia" w:ascii="宋体" w:hAnsi="宋体"/>
                <w:bCs/>
                <w:sz w:val="18"/>
                <w:szCs w:val="18"/>
              </w:rPr>
              <w:t>】类份额）</w:t>
            </w:r>
          </w:p>
          <w:p>
            <w:pPr>
              <w:widowControl/>
              <w:spacing w:line="360" w:lineRule="auto"/>
              <w:jc w:val="left"/>
              <w:rPr>
                <w:rFonts w:ascii="宋体" w:hAnsi="宋体"/>
                <w:kern w:val="0"/>
                <w:sz w:val="22"/>
              </w:rPr>
            </w:pPr>
            <w:r>
              <w:rPr>
                <w:rFonts w:hint="eastAsia" w:ascii="宋体" w:hAnsi="宋体"/>
                <w:bCs/>
                <w:sz w:val="18"/>
                <w:szCs w:val="18"/>
              </w:rPr>
              <w:t>【丰收封闭式1</w:t>
            </w:r>
            <w:r>
              <w:rPr>
                <w:rFonts w:hint="eastAsia" w:ascii="宋体" w:hAnsi="宋体"/>
                <w:bCs/>
                <w:sz w:val="18"/>
                <w:szCs w:val="18"/>
                <w:lang w:val="en-US" w:eastAsia="zh-CN"/>
              </w:rPr>
              <w:t>92</w:t>
            </w:r>
            <w:r>
              <w:rPr>
                <w:rFonts w:hint="eastAsia" w:ascii="宋体" w:hAnsi="宋体"/>
                <w:bCs/>
                <w:sz w:val="18"/>
                <w:szCs w:val="18"/>
              </w:rPr>
              <w:t>号C】（适用【</w:t>
            </w:r>
            <w:r>
              <w:rPr>
                <w:rFonts w:hint="eastAsia" w:ascii="宋体" w:hAnsi="宋体"/>
                <w:bCs/>
                <w:sz w:val="18"/>
                <w:szCs w:val="18"/>
                <w:lang w:val="en-US" w:eastAsia="zh-CN"/>
              </w:rPr>
              <w:t>C</w:t>
            </w:r>
            <w:r>
              <w:rPr>
                <w:rFonts w:hint="eastAsia" w:ascii="宋体" w:hAnsi="宋体"/>
                <w:bCs/>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674" w:type="dxa"/>
            <w:shd w:val="solid" w:color="FFFFFF" w:fill="FFFFFF"/>
          </w:tcPr>
          <w:p>
            <w:pPr>
              <w:spacing w:line="360" w:lineRule="auto"/>
              <w:jc w:val="left"/>
              <w:rPr>
                <w:rFonts w:ascii="宋体" w:hAnsi="宋体"/>
                <w:b/>
                <w:sz w:val="18"/>
                <w:szCs w:val="18"/>
              </w:rPr>
            </w:pPr>
            <w:r>
              <w:rPr>
                <w:rFonts w:hint="eastAsia" w:asciiTheme="minorEastAsia" w:hAnsiTheme="minorEastAsia"/>
                <w:sz w:val="18"/>
                <w:szCs w:val="18"/>
              </w:rPr>
              <w:t>【Z7002025001552】</w:t>
            </w:r>
            <w:r>
              <w:rPr>
                <w:rFonts w:hint="eastAsia" w:asciiTheme="majorEastAsia" w:hAnsiTheme="majorEastAsia" w:eastAsiaTheme="majorEastAsia"/>
                <w:sz w:val="18"/>
                <w:szCs w:val="18"/>
              </w:rPr>
              <w:t>投资者可依据理财产品登记编码在中国理财网</w:t>
            </w:r>
            <w:r>
              <w:rPr>
                <w:rFonts w:asciiTheme="majorEastAsia" w:hAnsiTheme="majorEastAsia" w:eastAsiaTheme="majorEastAsia"/>
                <w:sz w:val="18"/>
                <w:szCs w:val="18"/>
              </w:rPr>
              <w:t>(</w:t>
            </w:r>
            <w:r>
              <w:fldChar w:fldCharType="begin"/>
            </w:r>
            <w:r>
              <w:instrText xml:space="preserve"> HYPERLINK "http://www.chinawealth.com.cn" </w:instrText>
            </w:r>
            <w:r>
              <w:fldChar w:fldCharType="separate"/>
            </w:r>
            <w:r>
              <w:rPr>
                <w:rFonts w:asciiTheme="majorEastAsia" w:hAnsiTheme="majorEastAsia" w:eastAsiaTheme="majorEastAsia"/>
                <w:sz w:val="18"/>
                <w:szCs w:val="18"/>
              </w:rPr>
              <w:t>www.chinawealth.com.cn</w:t>
            </w:r>
            <w:r>
              <w:rPr>
                <w:rFonts w:asciiTheme="majorEastAsia" w:hAnsiTheme="majorEastAsia" w:eastAsiaTheme="majorEastAsia"/>
                <w:sz w:val="18"/>
                <w:szCs w:val="18"/>
              </w:rPr>
              <w:fldChar w:fldCharType="end"/>
            </w:r>
            <w:r>
              <w:rPr>
                <w:rFonts w:asciiTheme="majorEastAsia" w:hAnsiTheme="majorEastAsia" w:eastAsiaTheme="majorEastAsia"/>
                <w:sz w:val="18"/>
                <w:szCs w:val="18"/>
              </w:rPr>
              <w:t>）</w:t>
            </w:r>
            <w:r>
              <w:rPr>
                <w:rFonts w:hint="eastAsia"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674" w:type="dxa"/>
            <w:shd w:val="solid" w:color="FFFFFF" w:fill="FFFFFF"/>
            <w:vAlign w:val="center"/>
          </w:tcPr>
          <w:p>
            <w:pPr>
              <w:spacing w:line="360" w:lineRule="auto"/>
              <w:jc w:val="left"/>
              <w:rPr>
                <w:rFonts w:ascii="宋体" w:hAnsi="宋体"/>
                <w:bCs/>
                <w:sz w:val="18"/>
                <w:szCs w:val="18"/>
              </w:rPr>
            </w:pPr>
            <w:r>
              <w:rPr>
                <w:rFonts w:ascii="宋体" w:hAnsi="宋体"/>
                <w:bCs/>
                <w:sz w:val="18"/>
                <w:szCs w:val="18"/>
              </w:rPr>
              <w:t>【</w:t>
            </w:r>
            <w:r>
              <w:rPr>
                <w:rFonts w:hint="eastAsia" w:ascii="宋体" w:hAnsi="宋体"/>
                <w:bCs/>
                <w:sz w:val="18"/>
                <w:szCs w:val="18"/>
              </w:rPr>
              <w:t>9C311920】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674" w:type="dxa"/>
            <w:shd w:val="solid" w:color="FFFFFF" w:fill="FFFFFF"/>
          </w:tcPr>
          <w:p>
            <w:pPr>
              <w:spacing w:line="320" w:lineRule="exact"/>
              <w:jc w:val="lef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9C31192</w:t>
            </w:r>
            <w:r>
              <w:rPr>
                <w:rFonts w:hint="eastAsia" w:ascii="宋体" w:hAnsi="宋体"/>
                <w:bCs/>
                <w:color w:val="000000" w:themeColor="text1"/>
                <w:sz w:val="18"/>
                <w:szCs w:val="18"/>
                <w14:textFill>
                  <w14:solidFill>
                    <w14:schemeClr w14:val="tx1"/>
                  </w14:solidFill>
                </w14:textFill>
              </w:rPr>
              <w:t>A】（适用【</w:t>
            </w:r>
            <w:r>
              <w:rPr>
                <w:rFonts w:hint="eastAsia" w:ascii="宋体" w:hAnsi="宋体"/>
                <w:bCs/>
                <w:color w:val="000000" w:themeColor="text1"/>
                <w:sz w:val="18"/>
                <w:szCs w:val="18"/>
                <w:lang w:val="en-US" w:eastAsia="zh-CN"/>
                <w14:textFill>
                  <w14:solidFill>
                    <w14:schemeClr w14:val="tx1"/>
                  </w14:solidFill>
                </w14:textFill>
              </w:rPr>
              <w:t>A</w:t>
            </w:r>
            <w:r>
              <w:rPr>
                <w:rFonts w:hint="eastAsia" w:ascii="宋体" w:hAnsi="宋体"/>
                <w:bCs/>
                <w:color w:val="000000" w:themeColor="text1"/>
                <w:sz w:val="18"/>
                <w:szCs w:val="18"/>
                <w14:textFill>
                  <w14:solidFill>
                    <w14:schemeClr w14:val="tx1"/>
                  </w14:solidFill>
                </w14:textFill>
              </w:rPr>
              <w:t>】类份额）</w:t>
            </w:r>
          </w:p>
          <w:p>
            <w:pPr>
              <w:spacing w:line="320" w:lineRule="exact"/>
              <w:jc w:val="lef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9C31192</w:t>
            </w:r>
            <w:r>
              <w:rPr>
                <w:rFonts w:hint="eastAsia" w:ascii="宋体" w:hAnsi="宋体"/>
                <w:bCs/>
                <w:color w:val="000000" w:themeColor="text1"/>
                <w:sz w:val="18"/>
                <w:szCs w:val="18"/>
                <w14:textFill>
                  <w14:solidFill>
                    <w14:schemeClr w14:val="tx1"/>
                  </w14:solidFill>
                </w14:textFill>
              </w:rPr>
              <w:t>B】（适用【</w:t>
            </w:r>
            <w:r>
              <w:rPr>
                <w:rFonts w:hint="eastAsia" w:ascii="宋体" w:hAnsi="宋体"/>
                <w:bCs/>
                <w:color w:val="000000" w:themeColor="text1"/>
                <w:sz w:val="18"/>
                <w:szCs w:val="18"/>
                <w:lang w:val="en-US" w:eastAsia="zh-CN"/>
                <w14:textFill>
                  <w14:solidFill>
                    <w14:schemeClr w14:val="tx1"/>
                  </w14:solidFill>
                </w14:textFill>
              </w:rPr>
              <w:t>B</w:t>
            </w:r>
            <w:r>
              <w:rPr>
                <w:rFonts w:hint="eastAsia" w:ascii="宋体" w:hAnsi="宋体"/>
                <w:bCs/>
                <w:color w:val="000000" w:themeColor="text1"/>
                <w:sz w:val="18"/>
                <w:szCs w:val="18"/>
                <w14:textFill>
                  <w14:solidFill>
                    <w14:schemeClr w14:val="tx1"/>
                  </w14:solidFill>
                </w14:textFill>
              </w:rPr>
              <w:t>】类份额）</w:t>
            </w:r>
          </w:p>
          <w:p>
            <w:pPr>
              <w:spacing w:line="360" w:lineRule="auto"/>
              <w:jc w:val="left"/>
              <w:rPr>
                <w:rFonts w:hAnsi="宋体"/>
                <w:sz w:val="18"/>
                <w:szCs w:val="18"/>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9C31192</w:t>
            </w:r>
            <w:r>
              <w:rPr>
                <w:rFonts w:hint="eastAsia" w:ascii="宋体" w:hAnsi="宋体"/>
                <w:bCs/>
                <w:color w:val="000000" w:themeColor="text1"/>
                <w:sz w:val="18"/>
                <w:szCs w:val="18"/>
                <w14:textFill>
                  <w14:solidFill>
                    <w14:schemeClr w14:val="tx1"/>
                  </w14:solidFill>
                </w14:textFill>
              </w:rPr>
              <w:t>C】（适用【</w:t>
            </w:r>
            <w:r>
              <w:rPr>
                <w:rFonts w:hint="eastAsia" w:ascii="宋体" w:hAnsi="宋体"/>
                <w:bCs/>
                <w:color w:val="000000" w:themeColor="text1"/>
                <w:sz w:val="18"/>
                <w:szCs w:val="18"/>
                <w:lang w:val="en-US" w:eastAsia="zh-CN"/>
                <w14:textFill>
                  <w14:solidFill>
                    <w14:schemeClr w14:val="tx1"/>
                  </w14:solidFill>
                </w14:textFill>
              </w:rPr>
              <w:t>C</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674"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w:t>
            </w:r>
            <w:r>
              <w:rPr>
                <w:rFonts w:ascii="宋体" w:hAnsi="宋体"/>
                <w:bCs/>
                <w:sz w:val="18"/>
                <w:szCs w:val="18"/>
              </w:rPr>
              <w:t>可能</w:t>
            </w:r>
            <w:r>
              <w:rPr>
                <w:rFonts w:hint="eastAsia" w:ascii="宋体" w:hAnsi="宋体"/>
                <w:bCs/>
                <w:sz w:val="18"/>
                <w:szCs w:val="18"/>
              </w:rPr>
              <w:t>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
                <w:bCs/>
                <w:sz w:val="18"/>
                <w:szCs w:val="18"/>
              </w:rPr>
            </w:pPr>
            <w:r>
              <w:rPr>
                <w:rFonts w:hint="eastAsia" w:ascii="黑体" w:hAnsi="黑体" w:eastAsia="黑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674" w:type="dxa"/>
            <w:shd w:val="solid" w:color="FFFFFF" w:fill="FFFFFF"/>
            <w:vAlign w:val="center"/>
          </w:tcPr>
          <w:p>
            <w:pPr>
              <w:spacing w:line="360" w:lineRule="auto"/>
              <w:rPr>
                <w:rFonts w:ascii="宋体" w:hAnsi="宋体"/>
                <w:bCs/>
                <w:sz w:val="18"/>
                <w:szCs w:val="18"/>
              </w:rPr>
            </w:pPr>
            <w:r>
              <w:rPr>
                <w:rFonts w:hint="eastAsia" w:ascii="黑体" w:hAnsi="黑体" w:eastAsia="黑体" w:cs="黑体"/>
                <w:sz w:val="18"/>
                <w:szCs w:val="18"/>
              </w:rPr>
              <w:t>公募</w:t>
            </w:r>
            <w:r>
              <w:rPr>
                <w:rFonts w:hint="eastAsia" w:ascii="黑体" w:hAnsi="黑体" w:eastAsia="黑体" w:cs="黑体"/>
                <w:bCs/>
                <w:sz w:val="18"/>
                <w:szCs w:val="18"/>
              </w:rPr>
              <w:t>、封闭式、固定收益类、非保本浮动收益、净值型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674"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674"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产品投资性质</w:t>
            </w:r>
          </w:p>
        </w:tc>
        <w:tc>
          <w:tcPr>
            <w:tcW w:w="7674" w:type="dxa"/>
            <w:shd w:val="solid" w:color="FFFFFF" w:fill="FFFFFF"/>
            <w:vAlign w:val="center"/>
          </w:tcPr>
          <w:p>
            <w:pPr>
              <w:adjustRightInd w:val="0"/>
              <w:snapToGrid w:val="0"/>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固定收益类</w:t>
            </w:r>
          </w:p>
          <w:p>
            <w:pPr>
              <w:adjustRightInd w:val="0"/>
              <w:snapToGrid w:val="0"/>
              <w:spacing w:line="360" w:lineRule="auto"/>
              <w:rPr>
                <w:rFonts w:ascii="黑体" w:hAnsi="黑体" w:eastAsia="黑体"/>
                <w:bCs/>
                <w:sz w:val="18"/>
                <w:szCs w:val="18"/>
              </w:rPr>
            </w:pPr>
            <w:r>
              <w:rPr>
                <w:rFonts w:hint="eastAsia" w:ascii="黑体" w:hAnsi="黑体" w:eastAsia="黑体"/>
                <w:sz w:val="18"/>
                <w:szCs w:val="18"/>
              </w:rPr>
              <w:t>固定</w:t>
            </w:r>
            <w:r>
              <w:rPr>
                <w:rFonts w:ascii="黑体" w:hAnsi="黑体" w:eastAsia="黑体"/>
                <w:sz w:val="18"/>
                <w:szCs w:val="18"/>
              </w:rPr>
              <w:t>收益</w:t>
            </w:r>
            <w:r>
              <w:rPr>
                <w:rFonts w:hint="eastAsia" w:ascii="黑体" w:hAnsi="黑体" w:eastAsia="黑体"/>
                <w:sz w:val="18"/>
                <w:szCs w:val="18"/>
              </w:rPr>
              <w:t>类</w:t>
            </w:r>
            <w:r>
              <w:rPr>
                <w:rFonts w:ascii="黑体" w:hAnsi="黑体" w:eastAsia="黑体"/>
                <w:sz w:val="18"/>
                <w:szCs w:val="18"/>
              </w:rPr>
              <w:t>产品是指根据监管</w:t>
            </w:r>
            <w:r>
              <w:rPr>
                <w:rFonts w:hint="eastAsia" w:ascii="黑体" w:hAnsi="黑体" w:eastAsia="黑体"/>
                <w:sz w:val="18"/>
                <w:szCs w:val="18"/>
              </w:rPr>
              <w:t>相关规定</w:t>
            </w:r>
            <w:r>
              <w:rPr>
                <w:rFonts w:ascii="黑体" w:hAnsi="黑体" w:eastAsia="黑体"/>
                <w:sz w:val="18"/>
                <w:szCs w:val="18"/>
              </w:rPr>
              <w:t>，投资于债权类资产的</w:t>
            </w:r>
            <w:r>
              <w:rPr>
                <w:rFonts w:hint="eastAsia" w:ascii="黑体" w:hAnsi="黑体" w:eastAsia="黑体"/>
                <w:sz w:val="18"/>
                <w:szCs w:val="18"/>
              </w:rPr>
              <w:t>比例</w:t>
            </w:r>
            <w:r>
              <w:rPr>
                <w:rFonts w:ascii="黑体" w:hAnsi="黑体" w:eastAsia="黑体"/>
                <w:sz w:val="18"/>
                <w:szCs w:val="18"/>
              </w:rPr>
              <w:t>不低于80%的产品</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674" w:type="dxa"/>
            <w:shd w:val="solid" w:color="FFFFFF" w:fill="FFFFFF"/>
            <w:vAlign w:val="center"/>
          </w:tcPr>
          <w:p>
            <w:pPr>
              <w:adjustRightInd w:val="0"/>
              <w:snapToGrid w:val="0"/>
              <w:spacing w:line="360" w:lineRule="auto"/>
              <w:rPr>
                <w:rFonts w:ascii="黑体" w:hAnsi="黑体" w:eastAsia="黑体"/>
                <w:sz w:val="18"/>
                <w:szCs w:val="18"/>
              </w:rPr>
            </w:pPr>
            <w:r>
              <w:rPr>
                <w:rFonts w:hint="eastAsia" w:ascii="黑体" w:hAnsi="黑体" w:eastAsia="黑体"/>
                <w:sz w:val="18"/>
                <w:szCs w:val="18"/>
              </w:rPr>
              <w:t>非保本浮动收益</w:t>
            </w:r>
          </w:p>
          <w:p>
            <w:pPr>
              <w:adjustRightInd w:val="0"/>
              <w:snapToGrid w:val="0"/>
              <w:spacing w:line="360" w:lineRule="auto"/>
              <w:rPr>
                <w:rFonts w:ascii="黑体" w:hAnsi="黑体" w:eastAsia="黑体"/>
                <w:sz w:val="18"/>
                <w:szCs w:val="18"/>
              </w:rPr>
            </w:pPr>
            <w:r>
              <w:rPr>
                <w:rFonts w:hint="eastAsia" w:ascii="黑体" w:hAnsi="黑体" w:eastAsia="黑体"/>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color w:val="000000" w:themeColor="text1"/>
                <w:sz w:val="18"/>
                <w:szCs w:val="18"/>
                <w14:textFill>
                  <w14:solidFill>
                    <w14:schemeClr w14:val="tx1"/>
                  </w14:solidFill>
                </w14:textFill>
              </w:rPr>
            </w:pPr>
            <w:r>
              <w:rPr>
                <w:rFonts w:hint="eastAsia" w:ascii="黑体" w:hAnsi="黑体" w:eastAsia="黑体"/>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674"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674"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
                <w:bCs/>
                <w:sz w:val="18"/>
                <w:szCs w:val="18"/>
              </w:rPr>
            </w:pPr>
            <w:r>
              <w:rPr>
                <w:rFonts w:hint="eastAsia" w:ascii="黑体" w:hAnsi="黑体" w:eastAsia="黑体"/>
                <w:bCs/>
                <w:sz w:val="18"/>
                <w:szCs w:val="18"/>
              </w:rPr>
              <w:t>注</w:t>
            </w:r>
            <w:r>
              <w:rPr>
                <w:rFonts w:ascii="黑体" w:hAnsi="黑体" w:eastAsia="黑体"/>
                <w:bCs/>
                <w:sz w:val="18"/>
                <w:szCs w:val="18"/>
              </w:rPr>
              <w:t>：</w:t>
            </w:r>
            <w:r>
              <w:rPr>
                <w:rFonts w:hint="eastAsia" w:ascii="黑体" w:hAnsi="黑体" w:eastAsia="黑体"/>
                <w:bCs/>
                <w:sz w:val="18"/>
                <w:szCs w:val="18"/>
              </w:rPr>
              <w:t>若本</w:t>
            </w:r>
            <w:r>
              <w:rPr>
                <w:rFonts w:ascii="黑体" w:hAnsi="黑体" w:eastAsia="黑体"/>
                <w:bCs/>
                <w:sz w:val="18"/>
                <w:szCs w:val="18"/>
              </w:rPr>
              <w:t>产品通过代理销售机构销售的，</w:t>
            </w:r>
            <w:r>
              <w:rPr>
                <w:rFonts w:hint="eastAsia" w:ascii="黑体" w:hAnsi="黑体" w:eastAsia="黑体"/>
                <w:bCs/>
                <w:sz w:val="18"/>
                <w:szCs w:val="18"/>
              </w:rPr>
              <w:t>理财产品</w:t>
            </w:r>
            <w:r>
              <w:rPr>
                <w:rFonts w:ascii="黑体" w:hAnsi="黑体" w:eastAsia="黑体"/>
                <w:bCs/>
                <w:sz w:val="18"/>
                <w:szCs w:val="18"/>
              </w:rPr>
              <w:t>评级</w:t>
            </w:r>
            <w:r>
              <w:rPr>
                <w:rFonts w:hint="eastAsia" w:ascii="黑体" w:hAnsi="黑体" w:eastAsia="黑体"/>
                <w:bCs/>
                <w:sz w:val="18"/>
                <w:szCs w:val="18"/>
              </w:rPr>
              <w:t>以</w:t>
            </w:r>
            <w:r>
              <w:rPr>
                <w:rFonts w:ascii="黑体" w:hAnsi="黑体" w:eastAsia="黑体"/>
                <w:bCs/>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674"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cs="黑体"/>
                <w:sz w:val="18"/>
                <w:szCs w:val="18"/>
              </w:rPr>
              <w:t>注：当销售机构销售产品风险评级为R4及以上的理财产品时，可在销售机构的营业网点进行，也可依据销售机构的政策在营业网点之外的其他场景进行（具体政策以销售机构公布执行的为准）。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67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hint="eastAsia" w:asciiTheme="majorEastAsia" w:hAnsiTheme="majorEastAsia" w:eastAsiaTheme="majorEastAsia"/>
                <w:bCs/>
                <w:sz w:val="18"/>
                <w:szCs w:val="18"/>
                <w:lang w:val="en-US" w:eastAsia="zh-CN"/>
              </w:rPr>
              <w:t>30</w:t>
            </w:r>
            <w:r>
              <w:rPr>
                <w:rFonts w:hint="eastAsia" w:asciiTheme="majorEastAsia" w:hAnsiTheme="majorEastAsia" w:eastAsiaTheme="majorEastAsia"/>
                <w:bCs/>
                <w:sz w:val="18"/>
                <w:szCs w:val="18"/>
              </w:rPr>
              <w:t>】亿元，最小成立规模为【</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r>
              <w:rPr>
                <w:rFonts w:hint="eastAsia" w:asciiTheme="majorEastAsia" w:hAnsiTheme="majorEastAsia" w:eastAsiaTheme="majorEastAsia"/>
                <w:bCs/>
                <w:sz w:val="18"/>
                <w:szCs w:val="18"/>
                <w:lang w:val="en-US" w:eastAsia="zh-CN"/>
              </w:rPr>
              <w:t>369天</w:t>
            </w:r>
            <w:r>
              <w:rPr>
                <w:rFonts w:hint="eastAsia" w:asciiTheme="majorEastAsia" w:hAnsiTheme="majorEastAsia" w:eastAsiaTheme="majorEastAsia"/>
                <w:bCs/>
                <w:sz w:val="18"/>
                <w:szCs w:val="18"/>
              </w:rPr>
              <w:t>】</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□无固定期限</w:t>
            </w:r>
          </w:p>
          <w:p>
            <w:pPr>
              <w:spacing w:line="360" w:lineRule="auto"/>
              <w:rPr>
                <w:rFonts w:asciiTheme="majorEastAsia" w:hAnsiTheme="majorEastAsia" w:eastAsiaTheme="majorEastAsia"/>
                <w:bCs/>
                <w:sz w:val="18"/>
                <w:szCs w:val="18"/>
              </w:rPr>
            </w:pPr>
            <w:r>
              <w:rPr>
                <w:rFonts w:hint="eastAsia" w:ascii="黑体" w:hAnsi="黑体" w:eastAsia="黑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67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10</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16</w:t>
            </w:r>
            <w:r>
              <w:rPr>
                <w:rFonts w:hint="eastAsia" w:cs="Times New Roman" w:asciiTheme="minorEastAsia" w:hAnsiTheme="minorEastAsia"/>
                <w:sz w:val="18"/>
                <w:szCs w:val="18"/>
              </w:rPr>
              <w:t>】日【</w:t>
            </w:r>
            <w:r>
              <w:rPr>
                <w:rFonts w:hint="eastAsia" w:cs="Times New Roman" w:asciiTheme="minorEastAsia" w:hAnsiTheme="minorEastAsia"/>
                <w:sz w:val="18"/>
                <w:szCs w:val="18"/>
                <w:lang w:val="en-US" w:eastAsia="zh-CN"/>
              </w:rPr>
              <w:t>09:00</w:t>
            </w:r>
            <w:r>
              <w:rPr>
                <w:rFonts w:hint="eastAsia" w:cs="Times New Roman" w:asciiTheme="minorEastAsia" w:hAnsiTheme="minorEastAsia"/>
                <w:sz w:val="18"/>
                <w:szCs w:val="18"/>
              </w:rPr>
              <w:t>】</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10</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22</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r>
              <w:rPr>
                <w:rFonts w:hint="eastAsia" w:asciiTheme="majorEastAsia" w:hAnsiTheme="majorEastAsia" w:eastAsiaTheme="majorEastAsia"/>
                <w:sz w:val="18"/>
                <w:szCs w:val="18"/>
                <w:lang w:val="en-US" w:eastAsia="zh-CN"/>
              </w:rPr>
              <w:t>17:00</w:t>
            </w:r>
            <w:r>
              <w:rPr>
                <w:rFonts w:hint="eastAsia" w:asciiTheme="majorEastAsia" w:hAnsiTheme="majorEastAsia" w:eastAsiaTheme="majorEastAsia"/>
                <w:sz w:val="18"/>
                <w:szCs w:val="18"/>
              </w:rPr>
              <w:t>】</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认购期/募集期内资金产生的利息不计入认购资金</w:t>
            </w:r>
            <w:r>
              <w:rPr>
                <w:rFonts w:hint="eastAsia" w:ascii="宋体" w:hAnsi="宋体"/>
                <w:sz w:val="18"/>
              </w:rPr>
              <w:t>。</w:t>
            </w:r>
          </w:p>
          <w:p>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asciiTheme="majorEastAsia" w:hAnsiTheme="majorEastAsia" w:eastAsiaTheme="majorEastAsia"/>
                <w:bCs/>
                <w:sz w:val="18"/>
                <w:szCs w:val="18"/>
              </w:rPr>
            </w:pPr>
            <w:r>
              <w:rPr>
                <w:rFonts w:hint="eastAsia" w:ascii="黑体" w:hAnsi="黑体" w:eastAsia="黑体" w:cs="黑体"/>
                <w:bCs/>
                <w:color w:val="000000" w:themeColor="text1"/>
                <w:sz w:val="18"/>
                <w:szCs w:val="18"/>
                <w14:textFill>
                  <w14:solidFill>
                    <w14:schemeClr w14:val="tx1"/>
                  </w14:solidFill>
                </w14:textFill>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67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10</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23</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67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2026</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10</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27</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67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lang w:val="en-US" w:eastAsia="zh-CN"/>
              </w:rPr>
              <w:t>1</w:t>
            </w:r>
            <w:r>
              <w:rPr>
                <w:rFonts w:hint="eastAsia" w:asciiTheme="majorEastAsia" w:hAnsiTheme="majorEastAsia" w:eastAsiaTheme="majorEastAsia"/>
                <w:bCs/>
                <w:sz w:val="18"/>
                <w:szCs w:val="18"/>
              </w:rPr>
              <w:t>】元；超出起点金额的部分以【</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w:t>
            </w:r>
            <w:r>
              <w:rPr>
                <w:rFonts w:hint="eastAsia" w:asciiTheme="majorEastAsia" w:hAnsiTheme="majorEastAsia" w:eastAsiaTheme="majorEastAsia"/>
                <w:bCs/>
                <w:color w:val="000000" w:themeColor="text1"/>
                <w:sz w:val="18"/>
                <w:szCs w:val="18"/>
                <w:lang w:val="en-US" w:eastAsia="zh-CN"/>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】类份额）</w:t>
            </w:r>
          </w:p>
          <w:p>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注</w:t>
            </w:r>
            <w:r>
              <w:rPr>
                <w:rFonts w:ascii="黑体" w:hAnsi="黑体" w:eastAsia="黑体"/>
                <w:color w:val="000000" w:themeColor="text1"/>
                <w:sz w:val="18"/>
                <w:szCs w:val="18"/>
                <w14:textFill>
                  <w14:solidFill>
                    <w14:schemeClr w14:val="tx1"/>
                  </w14:solidFill>
                </w14:textFill>
              </w:rPr>
              <w:t>：</w:t>
            </w:r>
            <w:r>
              <w:rPr>
                <w:rFonts w:hint="eastAsia" w:ascii="黑体" w:hAnsi="黑体" w:eastAsia="黑体"/>
                <w:color w:val="000000" w:themeColor="text1"/>
                <w:sz w:val="18"/>
                <w:szCs w:val="18"/>
                <w14:textFill>
                  <w14:solidFill>
                    <w14:schemeClr w14:val="tx1"/>
                  </w14:solidFill>
                </w14:textFill>
              </w:rPr>
              <w:t>关于代理销售机构的实际销售</w:t>
            </w:r>
            <w:r>
              <w:rPr>
                <w:rFonts w:ascii="黑体" w:hAnsi="黑体" w:eastAsia="黑体"/>
                <w:color w:val="000000" w:themeColor="text1"/>
                <w:sz w:val="18"/>
                <w:szCs w:val="18"/>
                <w14:textFill>
                  <w14:solidFill>
                    <w14:schemeClr w14:val="tx1"/>
                  </w14:solidFill>
                </w14:textFill>
              </w:rPr>
              <w:t>起点金额</w:t>
            </w:r>
            <w:r>
              <w:rPr>
                <w:rFonts w:hint="eastAsia" w:ascii="黑体" w:hAnsi="黑体" w:eastAsia="黑体"/>
                <w:color w:val="000000" w:themeColor="text1"/>
                <w:sz w:val="18"/>
                <w:szCs w:val="18"/>
                <w14:textFill>
                  <w14:solidFill>
                    <w14:schemeClr w14:val="tx1"/>
                  </w14:solidFill>
                </w14:textFill>
              </w:rPr>
              <w:t>的提示</w:t>
            </w:r>
          </w:p>
          <w:p>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color w:val="000000" w:themeColor="text1"/>
                <w:sz w:val="18"/>
                <w:szCs w:val="18"/>
                <w14:textFill>
                  <w14:solidFill>
                    <w14:schemeClr w14:val="tx1"/>
                  </w14:solidFill>
                </w14:textFill>
              </w:rPr>
              <w:t>以</w:t>
            </w:r>
            <w:r>
              <w:rPr>
                <w:rFonts w:hint="eastAsia" w:ascii="黑体" w:hAnsi="黑体" w:eastAsia="黑体"/>
                <w:color w:val="000000" w:themeColor="text1"/>
                <w:sz w:val="18"/>
                <w:szCs w:val="18"/>
                <w14:textFill>
                  <w14:solidFill>
                    <w14:schemeClr w14:val="tx1"/>
                  </w14:solidFill>
                </w14:textFill>
              </w:rPr>
              <w:t>代理销售机构展示</w:t>
            </w:r>
            <w:r>
              <w:rPr>
                <w:rFonts w:ascii="黑体" w:hAnsi="黑体" w:eastAsia="黑体"/>
                <w:color w:val="000000" w:themeColor="text1"/>
                <w:sz w:val="18"/>
                <w:szCs w:val="18"/>
                <w14:textFill>
                  <w14:solidFill>
                    <w14:schemeClr w14:val="tx1"/>
                  </w14:solidFill>
                </w14:textFill>
              </w:rPr>
              <w:t>为准</w:t>
            </w:r>
            <w:r>
              <w:rPr>
                <w:rFonts w:hint="eastAsia" w:ascii="黑体" w:hAnsi="黑体" w:eastAsia="黑体"/>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color w:val="000000" w:themeColor="text1"/>
                <w:sz w:val="18"/>
                <w:szCs w:val="18"/>
                <w14:textFill>
                  <w14:solidFill>
                    <w14:schemeClr w14:val="tx1"/>
                  </w14:solidFill>
                </w14:textFill>
              </w:rPr>
              <w:t>②代理销售机构的实际销售起点金额，</w:t>
            </w:r>
            <w:r>
              <w:rPr>
                <w:rFonts w:ascii="黑体" w:hAnsi="黑体" w:eastAsia="黑体"/>
                <w:color w:val="000000" w:themeColor="text1"/>
                <w:sz w:val="18"/>
                <w:szCs w:val="18"/>
                <w14:textFill>
                  <w14:solidFill>
                    <w14:schemeClr w14:val="tx1"/>
                  </w14:solidFill>
                </w14:textFill>
              </w:rPr>
              <w:t>不得低于</w:t>
            </w:r>
            <w:r>
              <w:rPr>
                <w:rFonts w:hint="eastAsia" w:ascii="黑体" w:hAnsi="黑体" w:eastAsia="黑体"/>
                <w:color w:val="000000" w:themeColor="text1"/>
                <w:sz w:val="18"/>
                <w:szCs w:val="18"/>
                <w14:textFill>
                  <w14:solidFill>
                    <w14:schemeClr w14:val="tx1"/>
                  </w14:solidFill>
                </w14:textFill>
              </w:rPr>
              <w:t>销售</w:t>
            </w:r>
            <w:r>
              <w:rPr>
                <w:rFonts w:ascii="黑体" w:hAnsi="黑体" w:eastAsia="黑体"/>
                <w:color w:val="000000" w:themeColor="text1"/>
                <w:sz w:val="18"/>
                <w:szCs w:val="18"/>
                <w14:textFill>
                  <w14:solidFill>
                    <w14:schemeClr w14:val="tx1"/>
                  </w14:solidFill>
                </w14:textFill>
              </w:rPr>
              <w:t>文件约定的</w:t>
            </w:r>
            <w:r>
              <w:rPr>
                <w:rFonts w:hint="eastAsia" w:ascii="黑体" w:hAnsi="黑体" w:eastAsia="黑体"/>
                <w:color w:val="000000" w:themeColor="text1"/>
                <w:sz w:val="18"/>
                <w:szCs w:val="18"/>
                <w14:textFill>
                  <w14:solidFill>
                    <w14:schemeClr w14:val="tx1"/>
                  </w14:solidFill>
                </w14:textFill>
              </w:rPr>
              <w:t>销售</w:t>
            </w:r>
            <w:r>
              <w:rPr>
                <w:rFonts w:ascii="黑体" w:hAnsi="黑体" w:eastAsia="黑体"/>
                <w:color w:val="000000" w:themeColor="text1"/>
                <w:sz w:val="18"/>
                <w:szCs w:val="18"/>
                <w14:textFill>
                  <w14:solidFill>
                    <w14:schemeClr w14:val="tx1"/>
                  </w14:solidFill>
                </w14:textFill>
              </w:rPr>
              <w:t>起点金额</w:t>
            </w:r>
            <w:r>
              <w:rPr>
                <w:rFonts w:hint="eastAsia" w:ascii="黑体" w:hAnsi="黑体" w:eastAsia="黑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674" w:type="dxa"/>
            <w:shd w:val="solid" w:color="FFFFFF" w:fill="FFFFFF"/>
            <w:vAlign w:val="center"/>
          </w:tcPr>
          <w:p>
            <w:pPr>
              <w:pStyle w:val="14"/>
              <w:spacing w:line="360" w:lineRule="auto"/>
              <w:rPr>
                <w:rFonts w:hAnsi="宋体"/>
                <w:bCs/>
                <w:sz w:val="18"/>
                <w:szCs w:val="18"/>
              </w:rPr>
            </w:pPr>
            <w:r>
              <w:rPr>
                <w:rFonts w:hint="eastAsia" w:hAnsi="宋体"/>
                <w:bCs/>
                <w:sz w:val="18"/>
                <w:szCs w:val="18"/>
              </w:rPr>
              <w:t>（适用【</w:t>
            </w:r>
            <w:r>
              <w:rPr>
                <w:rFonts w:hint="eastAsia" w:hAnsi="宋体"/>
                <w:bCs/>
                <w:sz w:val="18"/>
                <w:szCs w:val="18"/>
                <w:lang w:val="en-US" w:eastAsia="zh-CN"/>
              </w:rPr>
              <w:t>/</w:t>
            </w:r>
            <w:r>
              <w:rPr>
                <w:rFonts w:hint="eastAsia" w:hAnsi="宋体"/>
                <w:bCs/>
                <w:sz w:val="18"/>
                <w:szCs w:val="18"/>
              </w:rPr>
              <w:t>】类</w:t>
            </w:r>
            <w:r>
              <w:rPr>
                <w:rFonts w:hAnsi="宋体"/>
                <w:bCs/>
                <w:sz w:val="18"/>
                <w:szCs w:val="18"/>
              </w:rPr>
              <w:t>份额</w:t>
            </w:r>
            <w:r>
              <w:rPr>
                <w:rFonts w:hint="eastAsia" w:hAnsi="宋体"/>
                <w:bCs/>
                <w:sz w:val="18"/>
                <w:szCs w:val="18"/>
              </w:rPr>
              <w:t>）</w:t>
            </w:r>
          </w:p>
          <w:p>
            <w:pPr>
              <w:pStyle w:val="1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pStyle w:val="1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（1）单一投资者认购上限为【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】，符合产品管理人流动性管理的稳定资金除外。</w:t>
            </w:r>
          </w:p>
          <w:p>
            <w:pPr>
              <w:pStyle w:val="1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14"/>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注</w:t>
            </w:r>
            <w:r>
              <w:rPr>
                <w:rFonts w:ascii="黑体" w:hAnsi="黑体" w:eastAsia="黑体"/>
                <w:color w:val="000000" w:themeColor="text1"/>
                <w:sz w:val="18"/>
                <w:szCs w:val="18"/>
                <w14:textFill>
                  <w14:solidFill>
                    <w14:schemeClr w14:val="tx1"/>
                  </w14:solidFill>
                </w14:textFill>
              </w:rPr>
              <w:t>：</w:t>
            </w:r>
            <w:r>
              <w:rPr>
                <w:rFonts w:hint="eastAsia" w:ascii="黑体" w:hAnsi="黑体" w:eastAsia="黑体"/>
                <w:color w:val="000000" w:themeColor="text1"/>
                <w:sz w:val="18"/>
                <w:szCs w:val="18"/>
                <w14:textFill>
                  <w14:solidFill>
                    <w14:schemeClr w14:val="tx1"/>
                  </w14:solidFill>
                </w14:textFill>
              </w:rPr>
              <w:t>本产品单一投资者持有份额不得超过产品总份额</w:t>
            </w:r>
            <w:r>
              <w:rPr>
                <w:rFonts w:ascii="黑体" w:hAnsi="黑体" w:eastAsia="黑体"/>
                <w:color w:val="000000" w:themeColor="text1"/>
                <w:sz w:val="18"/>
                <w:szCs w:val="18"/>
                <w14:textFill>
                  <w14:solidFill>
                    <w14:schemeClr w14:val="tx1"/>
                  </w14:solidFill>
                </w14:textFill>
              </w:rPr>
              <w:t>50%。</w:t>
            </w:r>
          </w:p>
          <w:p>
            <w:pPr>
              <w:pStyle w:val="14"/>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w:t>
            </w:r>
            <w:r>
              <w:rPr>
                <w:rFonts w:ascii="黑体" w:hAnsi="黑体" w:eastAsia="黑体"/>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color w:val="000000" w:themeColor="text1"/>
                <w:sz w:val="18"/>
                <w:szCs w:val="18"/>
                <w14:textFill>
                  <w14:solidFill>
                    <w14:schemeClr w14:val="tx1"/>
                  </w14:solidFill>
                </w14:textFill>
              </w:rPr>
              <w:t>（</w:t>
            </w:r>
            <w:r>
              <w:rPr>
                <w:rFonts w:ascii="黑体" w:hAnsi="黑体" w:eastAsia="黑体"/>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674"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674"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日之前的估值日公布的产品份额净值已扣除</w:t>
            </w:r>
            <w:r>
              <w:rPr>
                <w:rFonts w:hint="eastAsia" w:asciiTheme="majorEastAsia" w:hAnsiTheme="majorEastAsia" w:eastAsiaTheme="majorEastAsia"/>
                <w:bCs/>
                <w:sz w:val="18"/>
                <w:szCs w:val="18"/>
              </w:rPr>
              <w:t>理财产品</w:t>
            </w:r>
            <w:r>
              <w:rPr>
                <w:rFonts w:asciiTheme="majorEastAsia" w:hAnsiTheme="majorEastAsia" w:eastAsiaTheme="majorEastAsia"/>
                <w:bCs/>
                <w:sz w:val="18"/>
                <w:szCs w:val="18"/>
              </w:rPr>
              <w:t>的费用和税收。</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674" w:type="dxa"/>
            <w:shd w:val="solid" w:color="FFFFFF" w:fill="FFFFFF"/>
            <w:vAlign w:val="center"/>
          </w:tcPr>
          <w:p>
            <w:pPr>
              <w:autoSpaceDE w:val="0"/>
              <w:autoSpaceDN w:val="0"/>
              <w:adjustRightInd w:val="0"/>
              <w:spacing w:line="360" w:lineRule="auto"/>
              <w:jc w:val="left"/>
              <w:rPr>
                <w:rFonts w:hAnsi="宋体"/>
                <w:sz w:val="18"/>
                <w:szCs w:val="18"/>
              </w:rPr>
            </w:pPr>
            <w:r>
              <w:rPr>
                <w:rFonts w:hAnsi="宋体"/>
                <w:sz w:val="18"/>
                <w:szCs w:val="18"/>
              </w:rPr>
              <w:t>1.业绩比较基准的设置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bCs/>
                <w:sz w:val="18"/>
                <w:szCs w:val="18"/>
              </w:rPr>
              <w:t xml:space="preserve">■ </w:t>
            </w:r>
            <w:r>
              <w:rPr>
                <w:rFonts w:hint="eastAsia" w:asciiTheme="majorEastAsia" w:hAnsiTheme="majorEastAsia" w:eastAsiaTheme="majorEastAsia"/>
                <w:kern w:val="0"/>
                <w:sz w:val="18"/>
                <w:szCs w:val="18"/>
              </w:rPr>
              <w:t>产品管理人设置业绩比较基准。</w:t>
            </w:r>
          </w:p>
          <w:p>
            <w:pPr>
              <w:autoSpaceDE w:val="0"/>
              <w:autoSpaceDN w:val="0"/>
              <w:adjustRightInd w:val="0"/>
              <w:spacing w:line="360" w:lineRule="auto"/>
              <w:jc w:val="left"/>
              <w:rPr>
                <w:rFonts w:asciiTheme="majorEastAsia" w:hAnsiTheme="majorEastAsia" w:eastAsiaTheme="majorEastAsia"/>
                <w:bCs/>
                <w:sz w:val="18"/>
                <w:szCs w:val="18"/>
              </w:rPr>
            </w:pPr>
            <w:r>
              <w:rPr>
                <w:rFonts w:hint="eastAsia" w:ascii="宋体" w:hAnsi="宋体"/>
                <w:bCs/>
                <w:sz w:val="18"/>
                <w:szCs w:val="18"/>
              </w:rPr>
              <w:t>（</w:t>
            </w:r>
            <w:r>
              <w:rPr>
                <w:rFonts w:ascii="宋体" w:hAnsi="宋体"/>
                <w:bCs/>
                <w:sz w:val="18"/>
                <w:szCs w:val="18"/>
              </w:rPr>
              <w:t>1）业绩比较基准的说明：</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Cs/>
                <w:sz w:val="18"/>
                <w:szCs w:val="18"/>
              </w:rPr>
              <w:t>】</w:t>
            </w:r>
            <w:r>
              <w:rPr>
                <w:rFonts w:hint="eastAsia" w:asciiTheme="majorEastAsia" w:hAnsiTheme="majorEastAsia" w:eastAsiaTheme="majorEastAsia"/>
                <w:bCs/>
                <w:sz w:val="18"/>
                <w:szCs w:val="18"/>
              </w:rPr>
              <w:t>。</w:t>
            </w:r>
          </w:p>
          <w:p>
            <w:pPr>
              <w:spacing w:line="360" w:lineRule="auto"/>
              <w:jc w:val="left"/>
              <w:rPr>
                <w:rFonts w:hint="eastAsia" w:asciiTheme="majorEastAsia" w:hAnsiTheme="majorEastAsia"/>
                <w:sz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2）业绩比较基准的设定：</w:t>
            </w:r>
            <w:r>
              <w:rPr>
                <w:rFonts w:hint="eastAsia" w:asciiTheme="majorEastAsia" w:hAnsiTheme="majorEastAsia"/>
                <w:sz w:val="18"/>
              </w:rPr>
              <w:t>管理人对</w:t>
            </w:r>
            <w:r>
              <w:rPr>
                <w:rFonts w:asciiTheme="majorEastAsia" w:hAnsiTheme="majorEastAsia"/>
                <w:sz w:val="18"/>
              </w:rPr>
              <w:t>本产品设定</w:t>
            </w:r>
            <w:r>
              <w:rPr>
                <w:rFonts w:hint="eastAsia" w:asciiTheme="majorEastAsia" w:hAnsiTheme="majorEastAsia"/>
                <w:sz w:val="18"/>
              </w:rPr>
              <w:t>业绩比较基准：</w:t>
            </w:r>
          </w:p>
          <w:p>
            <w:pPr>
              <w:spacing w:line="360" w:lineRule="auto"/>
              <w:rPr>
                <w:rFonts w:ascii="宋体" w:hAnsi="宋体"/>
                <w:bCs/>
                <w:sz w:val="18"/>
                <w:szCs w:val="18"/>
              </w:rPr>
            </w:pPr>
            <w:r>
              <w:rPr>
                <w:rFonts w:hint="eastAsia" w:asciiTheme="majorEastAsia" w:hAnsiTheme="majorEastAsia"/>
                <w:sz w:val="18"/>
              </w:rPr>
              <w:t>A类份额：年化</w:t>
            </w:r>
            <w:r>
              <w:rPr>
                <w:rFonts w:hint="eastAsia" w:ascii="宋体" w:hAnsi="宋体"/>
                <w:bCs/>
                <w:sz w:val="18"/>
                <w:szCs w:val="18"/>
              </w:rPr>
              <w:t>【</w:t>
            </w:r>
            <w:r>
              <w:rPr>
                <w:rFonts w:hint="eastAsia" w:ascii="宋体" w:hAnsi="宋体"/>
                <w:bCs/>
                <w:sz w:val="18"/>
                <w:szCs w:val="18"/>
                <w:lang w:val="en-US" w:eastAsia="zh-CN"/>
              </w:rPr>
              <w:t>1.6</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3%</w:t>
            </w:r>
            <w:r>
              <w:rPr>
                <w:rFonts w:ascii="宋体" w:hAnsi="宋体"/>
                <w:bCs/>
                <w:sz w:val="18"/>
                <w:szCs w:val="18"/>
              </w:rPr>
              <w:t>】</w:t>
            </w:r>
            <w:r>
              <w:rPr>
                <w:rFonts w:hint="eastAsia" w:ascii="宋体" w:hAnsi="宋体"/>
                <w:bCs/>
                <w:sz w:val="18"/>
                <w:szCs w:val="18"/>
              </w:rPr>
              <w:t>。</w:t>
            </w:r>
          </w:p>
          <w:p>
            <w:pPr>
              <w:spacing w:line="360" w:lineRule="auto"/>
              <w:rPr>
                <w:rFonts w:ascii="宋体" w:hAnsi="宋体"/>
                <w:bCs/>
                <w:sz w:val="18"/>
                <w:szCs w:val="18"/>
              </w:rPr>
            </w:pPr>
            <w:r>
              <w:rPr>
                <w:rFonts w:asciiTheme="majorEastAsia" w:hAnsiTheme="majorEastAsia"/>
                <w:sz w:val="18"/>
              </w:rPr>
              <w:t>B</w:t>
            </w:r>
            <w:r>
              <w:rPr>
                <w:rFonts w:hint="eastAsia" w:asciiTheme="majorEastAsia" w:hAnsiTheme="majorEastAsia"/>
                <w:sz w:val="18"/>
              </w:rPr>
              <w:t>类份额：年化</w:t>
            </w:r>
            <w:r>
              <w:rPr>
                <w:rFonts w:hint="eastAsia" w:ascii="宋体" w:hAnsi="宋体"/>
                <w:bCs/>
                <w:sz w:val="18"/>
                <w:szCs w:val="18"/>
              </w:rPr>
              <w:t>【</w:t>
            </w:r>
            <w:r>
              <w:rPr>
                <w:rFonts w:hint="eastAsia" w:ascii="宋体" w:hAnsi="宋体"/>
                <w:bCs/>
                <w:sz w:val="18"/>
                <w:szCs w:val="18"/>
                <w:lang w:val="en-US" w:eastAsia="zh-CN"/>
              </w:rPr>
              <w:t>1.7</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3.</w:t>
            </w:r>
            <w:r>
              <w:rPr>
                <w:rFonts w:hint="eastAsia" w:ascii="宋体" w:hAnsi="宋体"/>
                <w:bCs/>
                <w:sz w:val="18"/>
                <w:szCs w:val="18"/>
                <w:lang w:val="en-US" w:eastAsia="zh-CN"/>
              </w:rPr>
              <w:t>1</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w:t>
            </w:r>
          </w:p>
          <w:p>
            <w:pPr>
              <w:spacing w:line="360" w:lineRule="auto"/>
              <w:rPr>
                <w:rFonts w:asciiTheme="majorEastAsia" w:hAnsiTheme="majorEastAsia" w:eastAsiaTheme="majorEastAsia"/>
                <w:bCs/>
                <w:sz w:val="18"/>
                <w:szCs w:val="18"/>
              </w:rPr>
            </w:pPr>
            <w:r>
              <w:rPr>
                <w:rFonts w:asciiTheme="majorEastAsia" w:hAnsiTheme="majorEastAsia"/>
                <w:sz w:val="18"/>
              </w:rPr>
              <w:t>C</w:t>
            </w:r>
            <w:r>
              <w:rPr>
                <w:rFonts w:hint="eastAsia" w:asciiTheme="majorEastAsia" w:hAnsiTheme="majorEastAsia"/>
                <w:sz w:val="18"/>
              </w:rPr>
              <w:t>类份额：年化</w:t>
            </w:r>
            <w:r>
              <w:rPr>
                <w:rFonts w:hint="eastAsia" w:ascii="宋体" w:hAnsi="宋体"/>
                <w:bCs/>
                <w:sz w:val="18"/>
                <w:szCs w:val="18"/>
              </w:rPr>
              <w:t>【</w:t>
            </w:r>
            <w:r>
              <w:rPr>
                <w:rFonts w:hint="eastAsia" w:ascii="宋体" w:hAnsi="宋体"/>
                <w:bCs/>
                <w:sz w:val="18"/>
                <w:szCs w:val="18"/>
                <w:lang w:val="en-US" w:eastAsia="zh-CN"/>
              </w:rPr>
              <w:t>1.85</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3.</w:t>
            </w:r>
            <w:r>
              <w:rPr>
                <w:rFonts w:hint="eastAsia" w:ascii="宋体" w:hAnsi="宋体"/>
                <w:bCs/>
                <w:sz w:val="18"/>
                <w:szCs w:val="18"/>
                <w:lang w:val="en-US" w:eastAsia="zh-CN"/>
              </w:rPr>
              <w:t>25</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产品管理人不设置业绩比较基准。</w:t>
            </w:r>
          </w:p>
          <w:p>
            <w:pPr>
              <w:spacing w:line="360" w:lineRule="auto"/>
              <w:jc w:val="left"/>
              <w:rPr>
                <w:rFonts w:asciiTheme="majorEastAsia" w:hAnsiTheme="majorEastAsia" w:eastAsiaTheme="majorEastAsia"/>
                <w:bCs/>
                <w:sz w:val="18"/>
                <w:szCs w:val="18"/>
              </w:rPr>
            </w:pPr>
            <w:r>
              <w:rPr>
                <w:rFonts w:asciiTheme="majorEastAsia" w:hAnsiTheme="majorEastAsia" w:eastAsiaTheme="majorEastAsia"/>
                <w:bCs/>
                <w:sz w:val="18"/>
                <w:szCs w:val="18"/>
              </w:rPr>
              <w:t>2.业绩比较基准的提示：</w:t>
            </w:r>
          </w:p>
          <w:p>
            <w:pPr>
              <w:spacing w:line="360" w:lineRule="auto"/>
              <w:jc w:val="left"/>
              <w:rPr>
                <w:rFonts w:asciiTheme="majorEastAsia" w:hAnsiTheme="majorEastAsia"/>
                <w:b/>
                <w:sz w:val="18"/>
              </w:rPr>
            </w:pPr>
            <w:r>
              <w:rPr>
                <w:rFonts w:hint="eastAsia" w:asciiTheme="majorEastAsia" w:hAnsiTheme="majorEastAsia"/>
                <w:b/>
                <w:sz w:val="18"/>
              </w:rPr>
              <w:t>（1）</w:t>
            </w:r>
            <w:r>
              <w:rPr>
                <w:rFonts w:hint="eastAsia" w:ascii="黑体" w:hAnsi="黑体" w:eastAsia="黑体"/>
                <w:sz w:val="18"/>
                <w:szCs w:val="18"/>
              </w:rPr>
              <w:t>★</w:t>
            </w:r>
            <w:r>
              <w:rPr>
                <w:rFonts w:hint="eastAsia" w:ascii="黑体" w:hAnsi="黑体" w:eastAsia="黑体"/>
                <w:sz w:val="18"/>
              </w:rPr>
              <w:t>业绩比较基准</w:t>
            </w:r>
            <w:r>
              <w:rPr>
                <w:rFonts w:hint="eastAsia" w:ascii="黑体" w:hAnsi="黑体" w:eastAsia="黑体"/>
                <w:bCs/>
                <w:sz w:val="18"/>
                <w:szCs w:val="18"/>
              </w:rPr>
              <w:t>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674" w:type="dxa"/>
            <w:shd w:val="solid" w:color="FFFFFF" w:fill="FFFFFF"/>
            <w:vAlign w:val="center"/>
          </w:tcPr>
          <w:p>
            <w:pPr>
              <w:spacing w:line="360" w:lineRule="auto"/>
              <w:jc w:val="left"/>
              <w:rPr>
                <w:rFonts w:hAnsi="宋体"/>
                <w:bCs/>
                <w:sz w:val="18"/>
                <w:szCs w:val="18"/>
              </w:rPr>
            </w:pPr>
            <w:r>
              <w:rPr>
                <w:rFonts w:hint="eastAsia" w:hAnsi="宋体"/>
                <w:bCs/>
                <w:sz w:val="18"/>
                <w:szCs w:val="18"/>
              </w:rPr>
              <w:t>（适用【</w:t>
            </w:r>
            <w:r>
              <w:rPr>
                <w:rFonts w:hint="eastAsia" w:hAnsi="宋体"/>
                <w:bCs/>
                <w:sz w:val="18"/>
                <w:szCs w:val="18"/>
                <w:lang w:val="en-US" w:eastAsia="zh-CN"/>
              </w:rPr>
              <w:t>/</w:t>
            </w:r>
            <w:r>
              <w:rPr>
                <w:rFonts w:hint="eastAsia" w:hAnsi="宋体"/>
                <w:bCs/>
                <w:sz w:val="18"/>
                <w:szCs w:val="18"/>
              </w:rPr>
              <w:t>】类</w:t>
            </w:r>
            <w:r>
              <w:rPr>
                <w:rFonts w:hAnsi="宋体"/>
                <w:bCs/>
                <w:sz w:val="18"/>
                <w:szCs w:val="18"/>
              </w:rPr>
              <w:t>份额</w:t>
            </w:r>
            <w:r>
              <w:rPr>
                <w:rFonts w:hint="eastAsia" w:hAnsi="宋体"/>
                <w:bCs/>
                <w:sz w:val="18"/>
                <w:szCs w:val="18"/>
              </w:rPr>
              <w:t>）</w:t>
            </w:r>
          </w:p>
          <w:p>
            <w:pPr>
              <w:spacing w:line="360" w:lineRule="auto"/>
              <w:jc w:val="left"/>
              <w:rPr>
                <w:rFonts w:hAnsi="宋体"/>
                <w:bCs/>
                <w:sz w:val="18"/>
                <w:szCs w:val="18"/>
              </w:rPr>
            </w:pPr>
            <w:r>
              <w:rPr>
                <w:rFonts w:hAnsi="宋体"/>
                <w:bCs/>
                <w:sz w:val="18"/>
                <w:szCs w:val="18"/>
              </w:rPr>
              <w:t>1.业绩报酬计提基准的设置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w:t>
            </w:r>
            <w:r>
              <w:rPr>
                <w:rFonts w:hint="eastAsia" w:asciiTheme="majorEastAsia" w:hAnsiTheme="majorEastAsia" w:eastAsiaTheme="majorEastAsia"/>
                <w:bCs/>
                <w:sz w:val="18"/>
                <w:szCs w:val="18"/>
              </w:rPr>
              <w:t xml:space="preserve"> </w:t>
            </w:r>
            <w:r>
              <w:rPr>
                <w:rFonts w:hint="eastAsia" w:asciiTheme="majorEastAsia" w:hAnsiTheme="majorEastAsia" w:eastAsiaTheme="majorEastAsia"/>
                <w:kern w:val="0"/>
                <w:sz w:val="18"/>
                <w:szCs w:val="18"/>
              </w:rPr>
              <w:t>产品管理人设置业绩报酬计提基准。</w:t>
            </w:r>
          </w:p>
          <w:p>
            <w:pPr>
              <w:spacing w:line="360" w:lineRule="auto"/>
              <w:jc w:val="left"/>
              <w:rPr>
                <w:rFonts w:ascii="宋体" w:hAnsi="宋体"/>
                <w:bCs/>
                <w:sz w:val="18"/>
                <w:szCs w:val="18"/>
              </w:rPr>
            </w:pPr>
            <w:r>
              <w:rPr>
                <w:rFonts w:ascii="宋体" w:hAnsi="宋体"/>
                <w:bCs/>
                <w:sz w:val="18"/>
                <w:szCs w:val="18"/>
              </w:rPr>
              <w:t>业绩报酬计提基准的设定</w:t>
            </w:r>
            <w:r>
              <w:rPr>
                <w:rFonts w:hint="eastAsia" w:ascii="宋体" w:hAnsi="宋体"/>
                <w:bCs/>
                <w:sz w:val="18"/>
                <w:szCs w:val="18"/>
              </w:rPr>
              <w:t>：【】</w:t>
            </w:r>
          </w:p>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产品管理人不设置业绩报酬计提基准。</w:t>
            </w:r>
          </w:p>
          <w:p>
            <w:pPr>
              <w:spacing w:line="360" w:lineRule="auto"/>
              <w:jc w:val="left"/>
              <w:rPr>
                <w:rFonts w:ascii="宋体" w:hAnsi="宋体"/>
                <w:bCs/>
                <w:sz w:val="18"/>
                <w:szCs w:val="18"/>
              </w:rPr>
            </w:pPr>
            <w:r>
              <w:rPr>
                <w:rFonts w:ascii="宋体" w:hAnsi="宋体"/>
                <w:bCs/>
                <w:sz w:val="18"/>
                <w:szCs w:val="18"/>
              </w:rPr>
              <w:t>2.业绩报酬计提基准的提示</w:t>
            </w:r>
            <w:r>
              <w:rPr>
                <w:rFonts w:hint="eastAsia" w:ascii="宋体" w:hAnsi="宋体"/>
                <w:bCs/>
                <w:sz w:val="18"/>
                <w:szCs w:val="18"/>
              </w:rPr>
              <w:t>：</w:t>
            </w:r>
          </w:p>
          <w:p>
            <w:pPr>
              <w:autoSpaceDE w:val="0"/>
              <w:autoSpaceDN w:val="0"/>
              <w:adjustRightInd w:val="0"/>
              <w:spacing w:line="360" w:lineRule="auto"/>
              <w:jc w:val="left"/>
              <w:rPr>
                <w:rFonts w:ascii="黑体" w:hAnsi="黑体" w:eastAsia="黑体"/>
                <w:sz w:val="18"/>
              </w:rPr>
            </w:pPr>
            <w:r>
              <w:rPr>
                <w:rFonts w:hint="eastAsia" w:ascii="黑体" w:hAnsi="黑体" w:eastAsia="黑体"/>
                <w:sz w:val="18"/>
              </w:rPr>
              <w:t>（</w:t>
            </w:r>
            <w:r>
              <w:rPr>
                <w:rFonts w:ascii="黑体" w:hAnsi="黑体" w:eastAsia="黑体"/>
                <w:sz w:val="18"/>
              </w:rPr>
              <w:t>1）</w:t>
            </w:r>
            <w:r>
              <w:rPr>
                <w:rFonts w:hint="eastAsia" w:ascii="黑体" w:hAnsi="黑体" w:eastAsia="黑体"/>
                <w:sz w:val="18"/>
                <w:szCs w:val="18"/>
              </w:rPr>
              <w:t>★</w:t>
            </w:r>
            <w:r>
              <w:rPr>
                <w:rFonts w:hint="eastAsia" w:ascii="黑体" w:hAnsi="黑体" w:eastAsia="黑体"/>
                <w:sz w:val="18"/>
              </w:rPr>
              <w:t>业绩报酬计提基准仅作为管理人计算超额业绩报酬的参照标准</w:t>
            </w:r>
            <w:r>
              <w:rPr>
                <w:rFonts w:hint="eastAsia" w:ascii="黑体" w:hAnsi="黑体" w:eastAsia="黑体"/>
                <w:bCs/>
                <w:sz w:val="18"/>
                <w:szCs w:val="18"/>
              </w:rPr>
              <w:t>。业绩报酬计提基准不是预期收益率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674" w:type="dxa"/>
            <w:shd w:val="solid" w:color="FFFFFF" w:fill="FFFFFF"/>
            <w:vAlign w:val="center"/>
          </w:tcPr>
          <w:p>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理财产品存续期间，产品管理人有权视理财产品收益情况进行主动分配，相应分配基准日、分配方案由管理人及时披露。</w:t>
            </w:r>
          </w:p>
          <w:p>
            <w:pPr>
              <w:spacing w:line="360" w:lineRule="auto"/>
              <w:jc w:val="left"/>
              <w:rPr>
                <w:rFonts w:hAnsi="宋体"/>
                <w:bCs/>
                <w:sz w:val="18"/>
                <w:szCs w:val="18"/>
              </w:rPr>
            </w:pPr>
            <w:r>
              <w:rPr>
                <w:rFonts w:hint="eastAsia" w:hAnsi="宋体"/>
                <w:bCs/>
                <w:sz w:val="18"/>
                <w:szCs w:val="18"/>
              </w:rPr>
              <w:t>2</w:t>
            </w:r>
            <w:r>
              <w:rPr>
                <w:rFonts w:hAnsi="宋体"/>
                <w:bCs/>
                <w:sz w:val="18"/>
                <w:szCs w:val="18"/>
              </w:rPr>
              <w:t>.具体理财产品利益分配</w:t>
            </w:r>
            <w:r>
              <w:rPr>
                <w:rFonts w:hint="eastAsia" w:hAnsi="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674" w:type="dxa"/>
            <w:shd w:val="solid" w:color="FFFFFF" w:fill="FFFFFF"/>
            <w:vAlign w:val="center"/>
          </w:tcPr>
          <w:p>
            <w:pPr>
              <w:spacing w:line="360" w:lineRule="auto"/>
              <w:rPr>
                <w:rFonts w:ascii="黑体" w:hAnsi="黑体" w:eastAsia="黑体"/>
                <w:bCs/>
                <w:color w:val="000000" w:themeColor="text1"/>
                <w:sz w:val="18"/>
                <w:szCs w:val="18"/>
                <w14:textFill>
                  <w14:solidFill>
                    <w14:schemeClr w14:val="tx1"/>
                  </w14:solidFill>
                </w14:textFill>
              </w:rPr>
            </w:pPr>
            <w:r>
              <w:rPr>
                <w:rFonts w:ascii="黑体" w:hAnsi="黑体" w:eastAsia="黑体"/>
                <w:bCs/>
                <w:color w:val="000000" w:themeColor="text1"/>
                <w:sz w:val="18"/>
                <w:szCs w:val="18"/>
                <w14:textFill>
                  <w14:solidFill>
                    <w14:schemeClr w14:val="tx1"/>
                  </w14:solidFill>
                </w14:textFill>
              </w:rPr>
              <w:t>1.理财产品的费率标准</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1）认购费：</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hint="eastAsia"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2）销售服</w:t>
            </w:r>
            <w:r>
              <w:rPr>
                <w:rFonts w:hint="eastAsia" w:ascii="黑体" w:hAnsi="黑体" w:eastAsia="黑体"/>
                <w:bCs/>
                <w:color w:val="000000" w:themeColor="text1"/>
                <w:sz w:val="18"/>
                <w:szCs w:val="18"/>
                <w14:textFill>
                  <w14:solidFill>
                    <w14:schemeClr w14:val="tx1"/>
                  </w14:solidFill>
                </w14:textFill>
              </w:rPr>
              <w:t>务费：</w:t>
            </w:r>
          </w:p>
          <w:p>
            <w:pPr>
              <w:spacing w:line="360" w:lineRule="auto"/>
              <w:rPr>
                <w:rFonts w:hint="eastAsia" w:ascii="黑体" w:hAnsi="黑体" w:eastAsia="黑体"/>
                <w:bCs/>
                <w:sz w:val="18"/>
                <w:szCs w:val="18"/>
              </w:rPr>
            </w:pPr>
            <w:r>
              <w:rPr>
                <w:rFonts w:hint="eastAsia" w:ascii="黑体" w:hAnsi="黑体" w:eastAsia="黑体"/>
                <w:bCs/>
                <w:sz w:val="18"/>
                <w:szCs w:val="18"/>
              </w:rPr>
              <w:t>A类份额：年化费率【0.25%】;</w:t>
            </w:r>
          </w:p>
          <w:p>
            <w:pPr>
              <w:spacing w:line="360" w:lineRule="auto"/>
              <w:rPr>
                <w:rFonts w:hint="eastAsia" w:ascii="黑体" w:hAnsi="黑体" w:eastAsia="黑体"/>
                <w:bCs/>
                <w:sz w:val="18"/>
                <w:szCs w:val="18"/>
              </w:rPr>
            </w:pPr>
            <w:r>
              <w:rPr>
                <w:rFonts w:hint="eastAsia" w:ascii="黑体" w:hAnsi="黑体" w:eastAsia="黑体"/>
                <w:bCs/>
                <w:sz w:val="18"/>
                <w:szCs w:val="18"/>
              </w:rPr>
              <w:t>B类份额：年化费率【0.15%】;</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sz w:val="18"/>
                <w:szCs w:val="18"/>
              </w:rPr>
              <w:t>C类份额：年化费率【0.00%】。</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3）投资管理费：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【0</w:t>
            </w:r>
            <w:r>
              <w:rPr>
                <w:rFonts w:ascii="黑体" w:hAnsi="黑体" w:eastAsia="黑体"/>
                <w:sz w:val="18"/>
                <w:szCs w:val="18"/>
              </w:rPr>
              <w:t>.</w:t>
            </w:r>
            <w:r>
              <w:rPr>
                <w:rFonts w:hint="eastAsia" w:ascii="黑体" w:hAnsi="黑体" w:eastAsia="黑体"/>
                <w:sz w:val="18"/>
                <w:szCs w:val="18"/>
                <w:lang w:val="en-US" w:eastAsia="zh-CN"/>
              </w:rPr>
              <w:t>14</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4）产品托管费：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【0</w:t>
            </w:r>
            <w:r>
              <w:rPr>
                <w:rFonts w:ascii="黑体" w:hAnsi="黑体" w:eastAsia="黑体"/>
                <w:sz w:val="18"/>
                <w:szCs w:val="18"/>
              </w:rPr>
              <w:t>.0</w:t>
            </w:r>
            <w:r>
              <w:rPr>
                <w:rFonts w:hint="eastAsia" w:ascii="黑体" w:hAnsi="黑体" w:eastAsia="黑体"/>
                <w:sz w:val="18"/>
                <w:szCs w:val="18"/>
                <w:lang w:val="en-US" w:eastAsia="zh-CN"/>
              </w:rPr>
              <w:t>3</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hint="eastAsia" w:ascii="黑体" w:hAnsi="黑体" w:eastAsia="黑体"/>
                <w:bCs/>
                <w:color w:val="000000" w:themeColor="text1"/>
                <w:sz w:val="18"/>
                <w:szCs w:val="18"/>
                <w:lang w:val="en-US" w:eastAsia="zh-CN"/>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5）超额业绩报酬：</w:t>
            </w:r>
            <w:r>
              <w:rPr>
                <w:rFonts w:hint="eastAsia" w:ascii="黑体" w:hAnsi="黑体" w:eastAsia="黑体"/>
                <w:bCs/>
                <w:color w:val="000000" w:themeColor="text1"/>
                <w:sz w:val="18"/>
                <w:szCs w:val="18"/>
                <w:lang w:val="en-US" w:eastAsia="zh-CN"/>
                <w14:textFill>
                  <w14:solidFill>
                    <w14:schemeClr w14:val="tx1"/>
                  </w14:solidFill>
                </w14:textFill>
              </w:rPr>
              <w:t>无</w:t>
            </w:r>
          </w:p>
          <w:p>
            <w:pPr>
              <w:spacing w:line="360" w:lineRule="auto"/>
              <w:rPr>
                <w:rFonts w:ascii="黑体" w:hAnsi="黑体" w:eastAsia="黑体"/>
                <w:bCs/>
                <w:sz w:val="18"/>
                <w:szCs w:val="18"/>
              </w:rPr>
            </w:pPr>
            <w:r>
              <w:rPr>
                <w:rFonts w:ascii="宋体" w:hAnsi="宋体"/>
                <w:bCs/>
                <w:sz w:val="18"/>
                <w:szCs w:val="18"/>
              </w:rPr>
              <w:t>2</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674"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67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67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14"/>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70" w:name="_Toc176189755"/>
      <w:bookmarkStart w:id="71" w:name="_Toc79154666"/>
      <w:r>
        <w:rPr>
          <w:rFonts w:ascii="Times New Roman"/>
          <w:sz w:val="30"/>
        </w:rPr>
        <w:t>第</w:t>
      </w:r>
      <w:r>
        <w:rPr>
          <w:rFonts w:hint="eastAsia" w:ascii="Times New Roman"/>
          <w:sz w:val="30"/>
        </w:rPr>
        <w:t>三条</w:t>
      </w:r>
      <w:r>
        <w:rPr>
          <w:rFonts w:ascii="Times New Roman"/>
          <w:sz w:val="30"/>
        </w:rPr>
        <w:t xml:space="preserve">  </w:t>
      </w:r>
      <w:bookmarkStart w:id="72" w:name="_Toc79392573"/>
      <w:r>
        <w:rPr>
          <w:rFonts w:hint="eastAsia" w:ascii="Times New Roman"/>
          <w:sz w:val="30"/>
        </w:rPr>
        <w:t>理财产品的认购</w:t>
      </w:r>
      <w:bookmarkEnd w:id="70"/>
      <w:bookmarkEnd w:id="71"/>
    </w:p>
    <w:p>
      <w:pPr>
        <w:spacing w:line="360" w:lineRule="auto"/>
        <w:ind w:firstLine="361" w:firstLineChars="200"/>
        <w:rPr>
          <w:rFonts w:asciiTheme="minorEastAsia" w:hAnsiTheme="minorEastAsia"/>
          <w:b/>
          <w:bCs/>
          <w:sz w:val="18"/>
          <w:szCs w:val="18"/>
        </w:rPr>
      </w:pPr>
      <w:bookmarkStart w:id="73" w:name="_Hlt88031774"/>
      <w:bookmarkEnd w:id="73"/>
      <w:bookmarkStart w:id="74"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1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1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1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1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8"/>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spacing w:line="360" w:lineRule="auto"/>
        <w:ind w:firstLine="360" w:firstLineChars="200"/>
        <w:rPr>
          <w:rFonts w:asciiTheme="minorEastAsia" w:hAnsiTheme="minorEastAsia"/>
          <w:bCs/>
          <w:kern w:val="0"/>
          <w:sz w:val="18"/>
          <w:szCs w:val="18"/>
        </w:rPr>
      </w:pPr>
      <w:r>
        <w:rPr>
          <w:rFonts w:hint="eastAsia" w:asciiTheme="minorEastAsia" w:hAnsiTheme="minorEastAsia"/>
          <w:bCs/>
          <w:sz w:val="18"/>
          <w:szCs w:val="18"/>
        </w:rPr>
        <w:t>认购期/募集期内投资者可</w:t>
      </w:r>
      <w:r>
        <w:rPr>
          <w:rFonts w:hint="eastAsia" w:asciiTheme="minorEastAsia" w:hAnsiTheme="minorEastAsia"/>
          <w:bCs/>
          <w:kern w:val="0"/>
          <w:sz w:val="18"/>
          <w:szCs w:val="18"/>
        </w:rPr>
        <w:t>提交认购申请</w:t>
      </w:r>
      <w:r>
        <w:rPr>
          <w:rFonts w:hint="eastAsia" w:asciiTheme="minorEastAsia" w:hAnsiTheme="minorEastAsia"/>
          <w:bCs/>
          <w:sz w:val="18"/>
          <w:szCs w:val="18"/>
        </w:rPr>
        <w:t>。</w:t>
      </w:r>
      <w:r>
        <w:rPr>
          <w:rFonts w:hint="eastAsia" w:asciiTheme="minorEastAsia" w:hAnsiTheme="minorEastAsia"/>
          <w:bCs/>
          <w:kern w:val="0"/>
          <w:sz w:val="18"/>
          <w:szCs w:val="18"/>
        </w:rPr>
        <w:t>提交认购申请并不代表认购成功，产品管理人将在认购确认日确认投资者是否认购成功，是否成功以管理人的确认结果为准。</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1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1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1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1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1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1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1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1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pStyle w:val="1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投资者认购资金在产品认购期内产生的利息不作为理财资金进入运作，不计算理财利益。</w:t>
      </w:r>
    </w:p>
    <w:p>
      <w:pPr>
        <w:pStyle w:val="1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1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1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1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1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1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1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1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72"/>
    <w:bookmarkEnd w:id="74"/>
    <w:p>
      <w:pPr>
        <w:pStyle w:val="2"/>
        <w:spacing w:before="0" w:after="0" w:line="360" w:lineRule="auto"/>
        <w:jc w:val="center"/>
        <w:rPr>
          <w:rFonts w:ascii="Times New Roman"/>
          <w:sz w:val="30"/>
        </w:rPr>
      </w:pPr>
      <w:bookmarkStart w:id="75" w:name="_Toc176189756"/>
      <w:bookmarkStart w:id="76" w:name="_Toc4771"/>
      <w:bookmarkStart w:id="77" w:name="_Toc27189"/>
      <w:bookmarkStart w:id="78" w:name="_Toc29948"/>
      <w:bookmarkStart w:id="79" w:name="_Toc16265"/>
      <w:bookmarkStart w:id="80" w:name="_Toc90742390"/>
      <w:bookmarkStart w:id="81" w:name="_Toc90742321"/>
      <w:bookmarkStart w:id="82" w:name="_Toc29784"/>
      <w:bookmarkStart w:id="83" w:name="_Toc6714"/>
      <w:bookmarkStart w:id="84" w:name="_Toc22074"/>
      <w:bookmarkStart w:id="85" w:name="_Toc90742688"/>
      <w:bookmarkStart w:id="86" w:name="_Toc27226"/>
      <w:bookmarkStart w:id="87" w:name="_Toc15203"/>
      <w:bookmarkStart w:id="88" w:name="_Toc79154668"/>
      <w:bookmarkStart w:id="89" w:name="_Toc3266"/>
      <w:bookmarkStart w:id="90" w:name="_Toc7151"/>
      <w:bookmarkStart w:id="91" w:name="_Toc74065741"/>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75"/>
      <w:bookmarkEnd w:id="76"/>
    </w:p>
    <w:p>
      <w:pPr>
        <w:pStyle w:val="1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本产品为封闭式产品，不设置申购与赎回。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92" w:name="_Toc176189757"/>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1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1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w:t>
      </w:r>
      <w:r>
        <w:rPr>
          <w:rFonts w:hint="eastAsia" w:asciiTheme="majorEastAsia" w:hAnsiTheme="majorEastAsia" w:eastAsiaTheme="majorEastAsia"/>
          <w:color w:val="auto"/>
          <w:sz w:val="18"/>
          <w:szCs w:val="18"/>
        </w:rPr>
        <w:t>在严格控制组合风险的前提下，通过不断优化组合，力争实现超越业绩比较基准的收益</w:t>
      </w:r>
      <w:r>
        <w:rPr>
          <w:rFonts w:hint="eastAsia" w:asciiTheme="majorEastAsia" w:hAnsiTheme="majorEastAsia" w:eastAsiaTheme="majorEastAsia"/>
          <w:bCs/>
          <w:color w:val="auto"/>
          <w:sz w:val="18"/>
          <w:szCs w:val="18"/>
        </w:rPr>
        <w:t>。】</w:t>
      </w:r>
    </w:p>
    <w:p>
      <w:pPr>
        <w:pStyle w:val="1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本产品主要投资范围包括但不限于（实际投资范围可根据法律法规及监管规定进行调整）：</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（4）投资于上述资产的符合监管要求的公募基金、基金公司或子公司资产管理计划、证券公司资产管理计划、保险资产管理计划及信托计划等。</w:t>
      </w:r>
    </w:p>
    <w:p>
      <w:pPr>
        <w:pStyle w:val="14"/>
        <w:spacing w:line="360" w:lineRule="auto"/>
        <w:ind w:firstLine="360" w:firstLineChars="200"/>
        <w:jc w:val="both"/>
        <w:rPr>
          <w:rFonts w:hint="eastAsia" w:asciiTheme="majorEastAsia" w:hAnsiTheme="majorEastAsia" w:eastAsiaTheme="majorEastAsia"/>
          <w:bCs/>
          <w:color w:val="auto"/>
          <w:sz w:val="18"/>
          <w:szCs w:val="18"/>
        </w:rPr>
      </w:pPr>
      <w:r>
        <w:rPr>
          <w:rFonts w:hint="eastAsia" w:asciiTheme="majorEastAsia" w:hAnsiTheme="majorEastAsia" w:eastAsiaTheme="majorEastAsia"/>
          <w:bCs/>
          <w:sz w:val="18"/>
          <w:szCs w:val="18"/>
        </w:rPr>
        <w:t>（5）其他风险不高于前述资产的资产</w:t>
      </w:r>
      <w:r>
        <w:rPr>
          <w:rFonts w:hint="eastAsia" w:asciiTheme="majorEastAsia" w:hAnsiTheme="majorEastAsia" w:eastAsiaTheme="majorEastAsia"/>
          <w:bCs/>
          <w:color w:val="auto"/>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2.投资组合比例</w:t>
      </w:r>
    </w:p>
    <w:p>
      <w:pPr>
        <w:spacing w:line="360" w:lineRule="auto"/>
        <w:ind w:firstLine="360" w:firstLineChars="200"/>
        <w:rPr>
          <w:rFonts w:hint="eastAsia" w:asciiTheme="majorEastAsia" w:hAnsiTheme="majorEastAsia" w:eastAsiaTheme="majorEastAsia"/>
          <w:bCs/>
          <w:sz w:val="18"/>
          <w:szCs w:val="18"/>
        </w:rPr>
      </w:pPr>
      <w:r>
        <w:rPr>
          <w:rFonts w:hint="eastAsia" w:asciiTheme="majorEastAsia" w:hAnsiTheme="majorEastAsia" w:eastAsiaTheme="majorEastAsia"/>
          <w:bCs/>
          <w:kern w:val="0"/>
          <w:sz w:val="18"/>
          <w:szCs w:val="18"/>
        </w:rPr>
        <w:t>【（</w:t>
      </w:r>
      <w:r>
        <w:rPr>
          <w:rFonts w:hint="eastAsia" w:asciiTheme="majorEastAsia" w:hAnsiTheme="majorEastAsia" w:eastAsiaTheme="majorEastAsia"/>
          <w:bCs/>
          <w:sz w:val="18"/>
          <w:szCs w:val="18"/>
        </w:rPr>
        <w:t xml:space="preserve">1）本产品投资于债权类资产的比例不低于产品总资产的80%。 </w:t>
      </w:r>
    </w:p>
    <w:p>
      <w:pPr>
        <w:spacing w:line="360" w:lineRule="auto"/>
        <w:ind w:firstLine="360" w:firstLineChars="200"/>
        <w:rPr>
          <w:rFonts w:hint="eastAsia" w:asciiTheme="majorEastAsia" w:hAnsiTheme="majorEastAsia" w:eastAsiaTheme="majorEastAsia"/>
          <w:bCs/>
          <w:sz w:val="18"/>
          <w:szCs w:val="18"/>
        </w:rPr>
      </w:pPr>
      <w:r>
        <w:rPr>
          <w:rFonts w:hint="eastAsia" w:asciiTheme="majorEastAsia" w:hAnsiTheme="majorEastAsia" w:eastAsiaTheme="majorEastAsia"/>
          <w:bCs/>
          <w:sz w:val="18"/>
          <w:szCs w:val="18"/>
        </w:rPr>
        <w:t>（2）本产品投资于金融衍生品类资产的比例合计不超过产品总资产的【20】%。</w:t>
      </w:r>
    </w:p>
    <w:p>
      <w:pPr>
        <w:autoSpaceDE w:val="0"/>
        <w:autoSpaceDN w:val="0"/>
        <w:adjustRightInd w:val="0"/>
        <w:spacing w:line="360" w:lineRule="auto"/>
        <w:ind w:firstLine="361"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
          <w:bCs/>
          <w:sz w:val="18"/>
          <w:szCs w:val="18"/>
        </w:rPr>
        <w:t>注：本产品可能投资不存在活跃交易市场，并且需要采用估值技术确定公允价值的资产，且投资上述资产的比例达到理财产品净资产50%以上。</w:t>
      </w:r>
      <w:r>
        <w:rPr>
          <w:rFonts w:hint="eastAsia" w:asciiTheme="majorEastAsia" w:hAnsiTheme="majorEastAsia" w:eastAsiaTheme="majorEastAsia"/>
          <w:bCs/>
          <w:kern w:val="0"/>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w:t>
      </w:r>
      <w:r>
        <w:rPr>
          <w:rFonts w:asciiTheme="majorEastAsia" w:hAnsiTheme="majorEastAsia" w:eastAsiaTheme="majorEastAsia"/>
          <w:bCs/>
          <w:sz w:val="18"/>
          <w:szCs w:val="18"/>
        </w:rPr>
        <w:t>销售文件</w:t>
      </w:r>
      <w:r>
        <w:rPr>
          <w:rFonts w:hint="eastAsia" w:asciiTheme="majorEastAsia" w:hAnsiTheme="majorEastAsia" w:eastAsiaTheme="majorEastAsia"/>
          <w:bCs/>
          <w:sz w:val="18"/>
          <w:szCs w:val="18"/>
        </w:rPr>
        <w:t>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w:t>
      </w:r>
      <w:r>
        <w:rPr>
          <w:rFonts w:asciiTheme="majorEastAsia" w:hAnsiTheme="majorEastAsia" w:eastAsiaTheme="majorEastAsia"/>
          <w:bCs/>
          <w:sz w:val="18"/>
          <w:szCs w:val="18"/>
        </w:rPr>
        <w:t>销售文件的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产品管理人应当根据市场情况调整投资范围、投资资产种类或投资比例，并进行相应公告。高风险类型的理财产品超出比例范围投资较低风险资产的，</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1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按照本销售文件及其他相关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1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如果法律法规对本销售文件约定的投资限制进行变更的，以变更后的规定为准。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14"/>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w:t>
      </w:r>
      <w:r>
        <w:rPr>
          <w:rFonts w:hint="eastAsia"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r>
        <w:rPr>
          <w:rFonts w:hint="eastAsia" w:asciiTheme="majorEastAsia" w:hAnsiTheme="majorEastAsia" w:eastAsiaTheme="majorEastAsia"/>
          <w:sz w:val="18"/>
          <w:szCs w:val="18"/>
        </w:rPr>
        <w:t>】</w:t>
      </w:r>
    </w:p>
    <w:p>
      <w:pPr>
        <w:pStyle w:val="1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93" w:name="_Toc139991735"/>
      <w:bookmarkStart w:id="94" w:name="_Toc4741"/>
      <w:bookmarkStart w:id="95" w:name="_Toc14893"/>
      <w:bookmarkStart w:id="96" w:name="_Toc26986"/>
      <w:bookmarkStart w:id="97" w:name="_Toc21988"/>
      <w:bookmarkStart w:id="98" w:name="_Toc7848"/>
      <w:bookmarkStart w:id="99" w:name="_Toc141703885"/>
      <w:bookmarkStart w:id="100" w:name="_Toc18526"/>
      <w:bookmarkStart w:id="101" w:name="_Toc1823"/>
      <w:bookmarkStart w:id="102" w:name="_Toc79154669"/>
      <w:bookmarkStart w:id="103" w:name="_Toc17912"/>
      <w:bookmarkStart w:id="104" w:name="_Toc18329"/>
      <w:bookmarkStart w:id="105" w:name="_Toc176189758"/>
      <w:bookmarkStart w:id="106" w:name="_Toc74065742"/>
      <w:bookmarkStart w:id="107" w:name="_Toc18797"/>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14"/>
        <w:spacing w:line="360" w:lineRule="auto"/>
        <w:ind w:firstLine="361" w:firstLineChars="200"/>
        <w:rPr>
          <w:rFonts w:asciiTheme="majorEastAsia" w:hAnsiTheme="majorEastAsia" w:eastAsiaTheme="majorEastAsia"/>
          <w:b/>
          <w:color w:val="auto"/>
          <w:sz w:val="18"/>
          <w:szCs w:val="18"/>
        </w:rPr>
      </w:pPr>
      <w:bookmarkStart w:id="108" w:name="_Hlk490214295"/>
      <w:r>
        <w:rPr>
          <w:rFonts w:hint="eastAsia" w:asciiTheme="majorEastAsia" w:hAnsiTheme="majorEastAsia" w:eastAsiaTheme="majorEastAsia"/>
          <w:b/>
          <w:color w:val="auto"/>
          <w:sz w:val="18"/>
          <w:szCs w:val="18"/>
        </w:rPr>
        <w:t>（一）理财产品的资产的保管和处分</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1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1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108"/>
    <w:p>
      <w:pPr>
        <w:pStyle w:val="2"/>
        <w:spacing w:before="0" w:after="0" w:line="360" w:lineRule="auto"/>
        <w:jc w:val="center"/>
        <w:rPr>
          <w:rFonts w:ascii="Times New Roman"/>
          <w:sz w:val="30"/>
        </w:rPr>
      </w:pPr>
      <w:bookmarkStart w:id="109" w:name="_Toc74065743"/>
      <w:bookmarkStart w:id="110" w:name="_Toc10463"/>
      <w:bookmarkStart w:id="111" w:name="_Toc20733"/>
      <w:bookmarkStart w:id="112" w:name="_Toc23261"/>
      <w:bookmarkStart w:id="113" w:name="_Toc7920"/>
      <w:bookmarkStart w:id="114" w:name="_Toc1427"/>
      <w:bookmarkStart w:id="115" w:name="_Toc123102453"/>
      <w:bookmarkStart w:id="116" w:name="_Toc98560352"/>
      <w:bookmarkStart w:id="117" w:name="_Toc123112234"/>
      <w:bookmarkStart w:id="118" w:name="_Toc17244"/>
      <w:bookmarkStart w:id="119" w:name="_Toc79154670"/>
      <w:bookmarkStart w:id="120" w:name="_Toc139991736"/>
      <w:bookmarkStart w:id="121" w:name="_Toc4003"/>
      <w:bookmarkStart w:id="122" w:name="_Toc123051452"/>
      <w:bookmarkStart w:id="123" w:name="_Toc48649707"/>
      <w:bookmarkStart w:id="124" w:name="_Toc176189759"/>
      <w:bookmarkStart w:id="125" w:name="_Toc610"/>
      <w:bookmarkStart w:id="126" w:name="_Toc141703886"/>
      <w:bookmarkStart w:id="127" w:name="_Toc1270"/>
      <w:bookmarkStart w:id="128" w:name="_Toc79392606"/>
      <w:bookmarkStart w:id="129" w:name="_Toc23822"/>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1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14"/>
        <w:spacing w:line="360" w:lineRule="auto"/>
        <w:ind w:firstLine="361" w:firstLineChars="200"/>
        <w:rPr>
          <w:rFonts w:hAnsi="宋体"/>
          <w:b/>
          <w:bCs/>
          <w:sz w:val="18"/>
          <w:szCs w:val="18"/>
        </w:rPr>
      </w:pPr>
      <w:r>
        <w:rPr>
          <w:rFonts w:hint="eastAsia" w:hAnsi="宋体"/>
          <w:b/>
          <w:bCs/>
          <w:sz w:val="18"/>
          <w:szCs w:val="18"/>
        </w:rPr>
        <w:t>（一）估值目的</w:t>
      </w:r>
    </w:p>
    <w:p>
      <w:pPr>
        <w:pStyle w:val="1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14"/>
        <w:spacing w:line="360" w:lineRule="auto"/>
        <w:ind w:firstLine="361" w:firstLineChars="200"/>
        <w:rPr>
          <w:rFonts w:hAnsi="宋体"/>
          <w:b/>
          <w:bCs/>
          <w:sz w:val="18"/>
          <w:szCs w:val="18"/>
        </w:rPr>
      </w:pPr>
      <w:r>
        <w:rPr>
          <w:rFonts w:hint="eastAsia" w:hAnsi="宋体"/>
          <w:b/>
          <w:bCs/>
          <w:sz w:val="18"/>
          <w:szCs w:val="18"/>
        </w:rPr>
        <w:t>（二）估值频率</w:t>
      </w:r>
    </w:p>
    <w:p>
      <w:pPr>
        <w:pStyle w:val="14"/>
        <w:spacing w:line="360" w:lineRule="auto"/>
        <w:ind w:firstLine="450" w:firstLineChars="250"/>
        <w:rPr>
          <w:sz w:val="18"/>
          <w:szCs w:val="18"/>
        </w:rPr>
      </w:pPr>
      <w:r>
        <w:rPr>
          <w:rFonts w:hint="eastAsia" w:hAnsi="宋体"/>
          <w:sz w:val="18"/>
          <w:szCs w:val="18"/>
        </w:rPr>
        <w:t>本产品存续期间，每【</w:t>
      </w:r>
      <w:r>
        <w:rPr>
          <w:rFonts w:hint="eastAsia" w:hAnsi="宋体"/>
          <w:sz w:val="18"/>
          <w:szCs w:val="18"/>
          <w:lang w:val="en-US" w:eastAsia="zh-CN"/>
        </w:rPr>
        <w:t>周</w:t>
      </w:r>
      <w:r>
        <w:rPr>
          <w:rFonts w:hint="eastAsia" w:hAnsi="宋体"/>
          <w:sz w:val="18"/>
          <w:szCs w:val="18"/>
        </w:rPr>
        <w:t>】进行一次估值。如遇产品到期日、季度末、半年度末、年度末等时间节点管理人将增加估值日。</w:t>
      </w:r>
    </w:p>
    <w:p>
      <w:pPr>
        <w:pStyle w:val="14"/>
        <w:spacing w:line="360" w:lineRule="auto"/>
        <w:ind w:firstLine="452" w:firstLineChars="250"/>
        <w:rPr>
          <w:rFonts w:hAnsi="宋体"/>
          <w:b/>
          <w:bCs/>
          <w:sz w:val="18"/>
          <w:szCs w:val="18"/>
        </w:rPr>
      </w:pPr>
      <w:r>
        <w:rPr>
          <w:rFonts w:hint="eastAsia" w:hAnsi="宋体"/>
          <w:b/>
          <w:bCs/>
          <w:sz w:val="18"/>
          <w:szCs w:val="18"/>
        </w:rPr>
        <w:t>（三）估值对象</w:t>
      </w:r>
    </w:p>
    <w:p>
      <w:pPr>
        <w:pStyle w:val="1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14"/>
        <w:spacing w:line="360" w:lineRule="auto"/>
        <w:ind w:firstLine="452" w:firstLineChars="250"/>
        <w:rPr>
          <w:rFonts w:hAnsi="宋体"/>
          <w:b/>
          <w:bCs/>
          <w:sz w:val="18"/>
          <w:szCs w:val="18"/>
        </w:rPr>
      </w:pPr>
      <w:r>
        <w:rPr>
          <w:rFonts w:hint="eastAsia" w:hAnsi="宋体"/>
          <w:b/>
          <w:bCs/>
          <w:sz w:val="18"/>
          <w:szCs w:val="18"/>
        </w:rPr>
        <w:t>（四）估值方法</w:t>
      </w:r>
    </w:p>
    <w:p>
      <w:pPr>
        <w:pStyle w:val="14"/>
        <w:spacing w:line="360" w:lineRule="auto"/>
        <w:ind w:firstLine="360" w:firstLineChars="200"/>
        <w:rPr>
          <w:rFonts w:hAnsi="宋体"/>
          <w:bCs/>
          <w:sz w:val="18"/>
          <w:szCs w:val="18"/>
        </w:rPr>
      </w:pPr>
      <w:r>
        <w:rPr>
          <w:rFonts w:hAnsi="宋体"/>
          <w:bCs/>
          <w:sz w:val="18"/>
          <w:szCs w:val="18"/>
        </w:rPr>
        <w:t>1.标准化债权类资产估值</w:t>
      </w:r>
    </w:p>
    <w:p>
      <w:pPr>
        <w:pStyle w:val="1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14"/>
        <w:spacing w:line="360" w:lineRule="auto"/>
        <w:ind w:firstLine="360" w:firstLineChars="200"/>
        <w:rPr>
          <w:rFonts w:hAnsi="宋体"/>
          <w:sz w:val="18"/>
          <w:szCs w:val="18"/>
        </w:rPr>
      </w:pPr>
      <w:r>
        <w:rPr>
          <w:rFonts w:hint="eastAsia" w:hAnsi="宋体"/>
          <w:sz w:val="18"/>
          <w:szCs w:val="18"/>
        </w:rPr>
        <w:t>（1）投资以收取合同现金流量为目的并持有到期的标准化债权类资产，可使用摊余成本计量。</w:t>
      </w:r>
    </w:p>
    <w:p>
      <w:pPr>
        <w:pStyle w:val="1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14"/>
        <w:spacing w:line="360" w:lineRule="auto"/>
        <w:ind w:firstLine="360" w:firstLineChars="200"/>
        <w:rPr>
          <w:rFonts w:hAnsi="宋体"/>
          <w:sz w:val="18"/>
          <w:szCs w:val="18"/>
        </w:rPr>
      </w:pPr>
      <w:r>
        <w:rPr>
          <w:rFonts w:hint="eastAsia" w:hAnsi="宋体"/>
          <w:sz w:val="18"/>
          <w:szCs w:val="18"/>
        </w:rPr>
        <w:t>（</w:t>
      </w:r>
      <w:r>
        <w:rPr>
          <w:rFonts w:hAnsi="宋体"/>
          <w:sz w:val="18"/>
          <w:szCs w:val="18"/>
        </w:rPr>
        <w:t>3</w:t>
      </w:r>
      <w:r>
        <w:rPr>
          <w:rFonts w:hint="eastAsia" w:hAnsi="宋体"/>
          <w:sz w:val="18"/>
          <w:szCs w:val="18"/>
        </w:rPr>
        <w:t>）对已发行但未上市流通，且第三方估值机构未提供估值数据的标准化债权类资产，</w:t>
      </w:r>
      <w:r>
        <w:rPr>
          <w:rFonts w:hint="eastAsia" w:asciiTheme="majorEastAsia" w:hAnsiTheme="majorEastAsia" w:eastAsiaTheme="majorEastAsia"/>
          <w:bCs/>
          <w:color w:val="auto"/>
          <w:sz w:val="18"/>
          <w:szCs w:val="18"/>
        </w:rPr>
        <w:t>采用当前情况下适用并且有足够可利用数据和其他信息支持的估值技术确定其公允价值。</w:t>
      </w:r>
    </w:p>
    <w:p>
      <w:pPr>
        <w:pStyle w:val="14"/>
        <w:spacing w:line="360" w:lineRule="auto"/>
        <w:ind w:firstLine="360" w:firstLineChars="200"/>
        <w:rPr>
          <w:rFonts w:hAnsi="宋体"/>
          <w:sz w:val="18"/>
          <w:szCs w:val="18"/>
        </w:rPr>
      </w:pPr>
      <w:r>
        <w:rPr>
          <w:rFonts w:hint="eastAsia" w:hAnsi="宋体"/>
          <w:sz w:val="18"/>
          <w:szCs w:val="18"/>
        </w:rPr>
        <w:t>（</w:t>
      </w:r>
      <w:r>
        <w:rPr>
          <w:rFonts w:hAnsi="宋体"/>
          <w:sz w:val="18"/>
          <w:szCs w:val="18"/>
        </w:rPr>
        <w:t>4</w:t>
      </w:r>
      <w:r>
        <w:rPr>
          <w:rFonts w:hint="eastAsia" w:hAnsi="宋体"/>
          <w:sz w:val="18"/>
          <w:szCs w:val="18"/>
        </w:rPr>
        <w:t>）</w:t>
      </w:r>
      <w:r>
        <w:rPr>
          <w:rFonts w:hint="eastAsia" w:asciiTheme="majorEastAsia" w:hAnsiTheme="majorEastAsia" w:eastAsiaTheme="majorEastAsia"/>
          <w:bCs/>
          <w:color w:val="auto"/>
          <w:sz w:val="18"/>
          <w:szCs w:val="18"/>
        </w:rPr>
        <w:t>对于</w:t>
      </w:r>
      <w:r>
        <w:rPr>
          <w:rFonts w:asciiTheme="majorEastAsia" w:hAnsiTheme="majorEastAsia" w:eastAsiaTheme="majorEastAsia"/>
          <w:bCs/>
          <w:color w:val="auto"/>
          <w:sz w:val="18"/>
          <w:szCs w:val="18"/>
        </w:rPr>
        <w:t>同时在多个不同市场交易的标准化债权类资产，</w:t>
      </w:r>
      <w:r>
        <w:rPr>
          <w:rFonts w:hint="eastAsia" w:asciiTheme="majorEastAsia" w:hAnsiTheme="majorEastAsia" w:eastAsiaTheme="majorEastAsia"/>
          <w:bCs/>
          <w:color w:val="auto"/>
          <w:sz w:val="18"/>
          <w:szCs w:val="18"/>
        </w:rPr>
        <w:t>按照其</w:t>
      </w:r>
      <w:r>
        <w:rPr>
          <w:rFonts w:hint="eastAsia" w:hAnsi="宋体"/>
          <w:sz w:val="18"/>
          <w:szCs w:val="18"/>
        </w:rPr>
        <w:t>所处的市场及相应的估值标准，分别进行估值。</w:t>
      </w:r>
    </w:p>
    <w:p>
      <w:pPr>
        <w:pStyle w:val="1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color w:val="auto"/>
          <w:sz w:val="18"/>
        </w:rPr>
        <w:t>2.</w:t>
      </w:r>
      <w:r>
        <w:rPr>
          <w:rFonts w:hint="eastAsia" w:asciiTheme="majorEastAsia" w:hAnsiTheme="majorEastAsia" w:eastAsiaTheme="majorEastAsia"/>
          <w:bCs/>
          <w:color w:val="auto"/>
          <w:sz w:val="18"/>
          <w:szCs w:val="18"/>
        </w:rPr>
        <w:t>境外债券</w:t>
      </w:r>
    </w:p>
    <w:p>
      <w:pPr>
        <w:pStyle w:val="1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14"/>
        <w:spacing w:line="360" w:lineRule="auto"/>
        <w:ind w:firstLine="360" w:firstLineChars="200"/>
        <w:rPr>
          <w:rFonts w:hAnsi="宋体"/>
          <w:sz w:val="18"/>
          <w:szCs w:val="18"/>
        </w:rPr>
      </w:pPr>
      <w:r>
        <w:rPr>
          <w:rFonts w:hAnsi="宋体"/>
          <w:bCs/>
          <w:sz w:val="18"/>
          <w:szCs w:val="18"/>
        </w:rPr>
        <w:t>3.非标准化债权类资产</w:t>
      </w:r>
    </w:p>
    <w:p>
      <w:pPr>
        <w:pStyle w:val="1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符合监管机构规定的，可按照企业会计准则以摊余成本计量。</w:t>
      </w:r>
    </w:p>
    <w:p>
      <w:pPr>
        <w:pStyle w:val="14"/>
        <w:spacing w:line="360" w:lineRule="auto"/>
        <w:ind w:firstLine="360" w:firstLineChars="200"/>
        <w:rPr>
          <w:rFonts w:hAnsi="宋体"/>
          <w:bCs/>
          <w:sz w:val="18"/>
          <w:szCs w:val="18"/>
        </w:rPr>
      </w:pPr>
      <w:r>
        <w:rPr>
          <w:rFonts w:hAnsi="宋体"/>
          <w:bCs/>
          <w:sz w:val="18"/>
          <w:szCs w:val="18"/>
        </w:rPr>
        <w:t>4.上市公司股票估值</w:t>
      </w:r>
    </w:p>
    <w:p>
      <w:pPr>
        <w:pStyle w:val="1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1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1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1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1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1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14"/>
        <w:spacing w:line="360" w:lineRule="auto"/>
        <w:ind w:firstLine="360" w:firstLineChars="200"/>
        <w:rPr>
          <w:rFonts w:hAnsi="宋体"/>
          <w:bCs/>
          <w:sz w:val="18"/>
          <w:szCs w:val="18"/>
        </w:rPr>
      </w:pPr>
      <w:r>
        <w:rPr>
          <w:rFonts w:hAnsi="宋体"/>
          <w:bCs/>
          <w:sz w:val="18"/>
          <w:szCs w:val="18"/>
        </w:rPr>
        <w:t>5.未上市公司股权</w:t>
      </w:r>
    </w:p>
    <w:p>
      <w:pPr>
        <w:pStyle w:val="1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r>
        <w:rPr>
          <w:rFonts w:hAnsi="宋体"/>
          <w:sz w:val="18"/>
          <w:szCs w:val="18"/>
        </w:rPr>
        <w:t>；或采用第三方估值机构提供的价格数据确认公允价值</w:t>
      </w:r>
      <w:r>
        <w:rPr>
          <w:rFonts w:hint="eastAsia" w:hAnsi="宋体"/>
          <w:sz w:val="18"/>
          <w:szCs w:val="18"/>
        </w:rPr>
        <w:t>。</w:t>
      </w:r>
    </w:p>
    <w:p>
      <w:pPr>
        <w:pStyle w:val="14"/>
        <w:spacing w:line="360" w:lineRule="auto"/>
        <w:ind w:firstLine="360" w:firstLineChars="200"/>
        <w:rPr>
          <w:rFonts w:hAnsi="宋体"/>
          <w:bCs/>
          <w:sz w:val="18"/>
          <w:szCs w:val="18"/>
        </w:rPr>
      </w:pPr>
      <w:r>
        <w:rPr>
          <w:rFonts w:hAnsi="宋体"/>
          <w:bCs/>
          <w:sz w:val="18"/>
          <w:szCs w:val="18"/>
        </w:rPr>
        <w:t>6.优先股</w:t>
      </w:r>
    </w:p>
    <w:p>
      <w:pPr>
        <w:pStyle w:val="1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14"/>
        <w:spacing w:line="360" w:lineRule="auto"/>
        <w:ind w:firstLine="360" w:firstLineChars="200"/>
        <w:rPr>
          <w:rFonts w:hAnsi="宋体"/>
          <w:bCs/>
          <w:sz w:val="18"/>
          <w:szCs w:val="18"/>
        </w:rPr>
      </w:pPr>
      <w:r>
        <w:rPr>
          <w:rFonts w:hAnsi="宋体"/>
          <w:bCs/>
          <w:sz w:val="18"/>
          <w:szCs w:val="18"/>
        </w:rPr>
        <w:t>7.证券投资基金估值</w:t>
      </w:r>
    </w:p>
    <w:p>
      <w:pPr>
        <w:pStyle w:val="14"/>
        <w:spacing w:line="360" w:lineRule="auto"/>
        <w:ind w:firstLine="360" w:firstLineChars="200"/>
        <w:rPr>
          <w:rFonts w:hAnsi="宋体"/>
          <w:sz w:val="18"/>
          <w:szCs w:val="18"/>
        </w:rPr>
      </w:pPr>
      <w:r>
        <w:rPr>
          <w:rFonts w:hint="eastAsia" w:hAnsi="宋体"/>
          <w:sz w:val="18"/>
          <w:szCs w:val="18"/>
        </w:rPr>
        <w:t>（1）非上市基金估值</w:t>
      </w:r>
    </w:p>
    <w:p>
      <w:pPr>
        <w:pStyle w:val="1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1)本产品投资的境内非货币市场基金，按所投资基金估值日的基金份额净值估值；估值日基金净值未公布的，以基金管理人最近公布的基金份额净值计算。</w:t>
      </w:r>
    </w:p>
    <w:p>
      <w:pPr>
        <w:pStyle w:val="1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pPr>
        <w:pStyle w:val="14"/>
        <w:spacing w:line="360" w:lineRule="auto"/>
        <w:ind w:firstLine="360" w:firstLineChars="200"/>
        <w:rPr>
          <w:rFonts w:hAnsi="宋体"/>
          <w:sz w:val="18"/>
          <w:szCs w:val="18"/>
        </w:rPr>
      </w:pPr>
      <w:r>
        <w:rPr>
          <w:rFonts w:hint="eastAsia" w:hAnsi="宋体"/>
          <w:sz w:val="18"/>
          <w:szCs w:val="18"/>
        </w:rPr>
        <w:t>（2）上市基金估值</w:t>
      </w:r>
    </w:p>
    <w:p>
      <w:pPr>
        <w:pStyle w:val="1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1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2)本产品投资的境内上市开放式基金（LOF），按所投资基金估值日的基金份额净值估值；估值日基金净值未公布的，以基金管理人最近公布的基金份额净值计算。</w:t>
      </w:r>
    </w:p>
    <w:p>
      <w:pPr>
        <w:pStyle w:val="1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hint="eastAsia" w:hAnsi="宋体"/>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p>
    <w:p>
      <w:pPr>
        <w:pStyle w:val="14"/>
        <w:spacing w:line="360" w:lineRule="auto"/>
        <w:ind w:firstLine="360" w:firstLineChars="200"/>
        <w:rPr>
          <w:rFonts w:hAnsi="宋体"/>
          <w:bCs/>
          <w:sz w:val="18"/>
          <w:szCs w:val="18"/>
        </w:rPr>
      </w:pPr>
      <w:r>
        <w:rPr>
          <w:rFonts w:hAnsi="宋体"/>
          <w:bCs/>
          <w:sz w:val="18"/>
          <w:szCs w:val="18"/>
        </w:rPr>
        <w:t>8.其他资产管理产品的估值</w:t>
      </w:r>
    </w:p>
    <w:p>
      <w:pPr>
        <w:pStyle w:val="1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信托公司、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asciiTheme="minorEastAsia" w:hAnsiTheme="minorEastAsia" w:eastAsiaTheme="minorEastAsia"/>
          <w:bCs/>
          <w:sz w:val="18"/>
          <w:szCs w:val="18"/>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pStyle w:val="14"/>
        <w:spacing w:line="360" w:lineRule="auto"/>
        <w:ind w:firstLine="360" w:firstLineChars="200"/>
        <w:rPr>
          <w:rFonts w:hAnsi="宋体"/>
          <w:bCs/>
          <w:sz w:val="18"/>
          <w:szCs w:val="18"/>
        </w:rPr>
      </w:pPr>
      <w:r>
        <w:rPr>
          <w:rFonts w:hAnsi="宋体"/>
          <w:bCs/>
          <w:sz w:val="18"/>
          <w:szCs w:val="18"/>
        </w:rPr>
        <w:t>9.衍生金融工具估值</w:t>
      </w:r>
    </w:p>
    <w:p>
      <w:pPr>
        <w:pStyle w:val="14"/>
        <w:spacing w:line="360" w:lineRule="auto"/>
        <w:ind w:firstLine="360" w:firstLineChars="200"/>
        <w:rPr>
          <w:rFonts w:asciiTheme="minorEastAsia" w:hAnsiTheme="minorEastAsia" w:eastAsiaTheme="minorEastAsia"/>
          <w:bCs/>
          <w:sz w:val="18"/>
          <w:szCs w:val="18"/>
        </w:rPr>
      </w:pPr>
      <w:r>
        <w:rPr>
          <w:rFonts w:hint="eastAsia" w:asciiTheme="minorEastAsia" w:hAnsiTheme="minorEastAsia" w:eastAsiaTheme="minorEastAsia"/>
          <w:bCs/>
          <w:sz w:val="18"/>
          <w:szCs w:val="18"/>
        </w:rPr>
        <w:t>（</w:t>
      </w:r>
      <w:r>
        <w:rPr>
          <w:rFonts w:asciiTheme="minorEastAsia" w:hAnsiTheme="minorEastAsia" w:eastAsiaTheme="minorEastAsia"/>
          <w:bCs/>
          <w:sz w:val="18"/>
          <w:szCs w:val="18"/>
        </w:rPr>
        <w:t>1</w:t>
      </w:r>
      <w:r>
        <w:rPr>
          <w:rFonts w:hint="eastAsia" w:asciiTheme="minorEastAsia" w:hAnsiTheme="minorEastAsia" w:eastAsiaTheme="minorEastAsia"/>
          <w:bCs/>
          <w:sz w:val="18"/>
          <w:szCs w:val="18"/>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pStyle w:val="14"/>
        <w:spacing w:line="360" w:lineRule="auto"/>
        <w:ind w:firstLine="360" w:firstLineChars="200"/>
        <w:rPr>
          <w:rFonts w:hAnsi="宋体"/>
          <w:sz w:val="18"/>
          <w:szCs w:val="18"/>
        </w:rPr>
      </w:pPr>
      <w:r>
        <w:rPr>
          <w:rFonts w:hint="eastAsia" w:asciiTheme="minorEastAsia" w:hAnsiTheme="minorEastAsia" w:eastAsiaTheme="minorEastAsia"/>
          <w:bCs/>
          <w:sz w:val="18"/>
          <w:szCs w:val="18"/>
        </w:rPr>
        <w:t>（</w:t>
      </w:r>
      <w:r>
        <w:rPr>
          <w:rFonts w:asciiTheme="minorEastAsia" w:hAnsiTheme="minorEastAsia" w:eastAsiaTheme="minorEastAsia"/>
          <w:bCs/>
          <w:sz w:val="18"/>
          <w:szCs w:val="18"/>
        </w:rPr>
        <w:t>2</w:t>
      </w:r>
      <w:r>
        <w:rPr>
          <w:rFonts w:hint="eastAsia" w:asciiTheme="minorEastAsia" w:hAnsiTheme="minorEastAsia" w:eastAsiaTheme="minorEastAsia"/>
          <w:bCs/>
          <w:sz w:val="18"/>
          <w:szCs w:val="18"/>
        </w:rPr>
        <w:t>）对于非交易所交易的衍生金融工具，可依据第三方机构提供的价格数据或采取相应衍生金融工具估值模型确定公允价值。</w:t>
      </w:r>
    </w:p>
    <w:p>
      <w:pPr>
        <w:pStyle w:val="14"/>
        <w:spacing w:line="360" w:lineRule="auto"/>
        <w:ind w:firstLine="360" w:firstLineChars="200"/>
        <w:rPr>
          <w:rFonts w:hAnsi="宋体"/>
          <w:bCs/>
          <w:sz w:val="18"/>
          <w:szCs w:val="18"/>
        </w:rPr>
      </w:pPr>
      <w:r>
        <w:rPr>
          <w:rFonts w:hAnsi="宋体"/>
          <w:bCs/>
          <w:sz w:val="18"/>
          <w:szCs w:val="18"/>
        </w:rPr>
        <w:t>10.存款、拆借、回购等货币市场工具的估值</w:t>
      </w:r>
    </w:p>
    <w:p>
      <w:pPr>
        <w:pStyle w:val="1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1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14"/>
        <w:spacing w:line="360" w:lineRule="auto"/>
        <w:ind w:firstLine="360" w:firstLineChars="200"/>
        <w:rPr>
          <w:rFonts w:ascii="黑体" w:hAnsi="黑体" w:eastAsia="黑体"/>
          <w:sz w:val="18"/>
          <w:szCs w:val="18"/>
        </w:rPr>
      </w:pPr>
      <w:r>
        <w:rPr>
          <w:rFonts w:ascii="黑体" w:hAnsi="黑体" w:eastAsia="黑体"/>
          <w:sz w:val="18"/>
          <w:szCs w:val="18"/>
        </w:rPr>
        <w:t>12.★估值方法的调整</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14"/>
        <w:spacing w:line="360" w:lineRule="auto"/>
        <w:ind w:firstLine="361" w:firstLineChars="200"/>
        <w:rPr>
          <w:rFonts w:hAnsi="宋体"/>
          <w:b/>
          <w:bCs/>
          <w:sz w:val="18"/>
          <w:szCs w:val="18"/>
        </w:rPr>
      </w:pPr>
      <w:r>
        <w:rPr>
          <w:rFonts w:hint="eastAsia" w:hAnsi="宋体"/>
          <w:b/>
          <w:bCs/>
          <w:sz w:val="18"/>
          <w:szCs w:val="18"/>
        </w:rPr>
        <w:t>（五）估值程序</w:t>
      </w:r>
    </w:p>
    <w:p>
      <w:pPr>
        <w:pStyle w:val="1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1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14"/>
        <w:spacing w:line="360" w:lineRule="auto"/>
        <w:ind w:firstLine="360" w:firstLineChars="200"/>
        <w:rPr>
          <w:rFonts w:hAnsi="宋体"/>
          <w:sz w:val="18"/>
          <w:szCs w:val="18"/>
        </w:rPr>
      </w:pPr>
      <w:r>
        <w:rPr>
          <w:rFonts w:hint="eastAsia" w:hAnsi="宋体"/>
          <w:sz w:val="18"/>
          <w:szCs w:val="18"/>
        </w:rPr>
        <w:t xml:space="preserve">3.如产品管理人或产品托管人发现理财估值违反本说明书约定的估值方法、程序及相关法律法规的规定或者未能充分维护理财份额持有人权益时，应立即通知对方，共同查明原因，双方协商解决。 </w:t>
      </w:r>
    </w:p>
    <w:p>
      <w:pPr>
        <w:pStyle w:val="14"/>
        <w:spacing w:line="360" w:lineRule="auto"/>
        <w:ind w:firstLine="361" w:firstLineChars="200"/>
        <w:rPr>
          <w:rFonts w:hAnsi="宋体"/>
          <w:b/>
          <w:bCs/>
          <w:sz w:val="18"/>
          <w:szCs w:val="18"/>
        </w:rPr>
      </w:pPr>
      <w:r>
        <w:rPr>
          <w:rFonts w:hint="eastAsia" w:hAnsi="宋体"/>
          <w:b/>
          <w:bCs/>
          <w:sz w:val="18"/>
          <w:szCs w:val="18"/>
        </w:rPr>
        <w:t>（六）估值主体</w:t>
      </w:r>
    </w:p>
    <w:p>
      <w:pPr>
        <w:pStyle w:val="1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14"/>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130" w:name="_Hlt70481650"/>
      <w:bookmarkEnd w:id="130"/>
      <w:bookmarkStart w:id="131" w:name="_Toc6405"/>
      <w:bookmarkStart w:id="132" w:name="_Toc123051453"/>
      <w:bookmarkStart w:id="133" w:name="_Toc15143"/>
      <w:bookmarkStart w:id="134" w:name="_Toc3601"/>
      <w:bookmarkStart w:id="135" w:name="_Toc74065744"/>
      <w:bookmarkStart w:id="136" w:name="_Toc98560353"/>
      <w:bookmarkStart w:id="137" w:name="_Toc176189760"/>
      <w:bookmarkStart w:id="138" w:name="_Toc141703887"/>
      <w:bookmarkStart w:id="139" w:name="_Toc31235"/>
      <w:bookmarkStart w:id="140" w:name="_Toc79154671"/>
      <w:bookmarkStart w:id="141" w:name="_Toc26207"/>
      <w:bookmarkStart w:id="142" w:name="_Toc123102454"/>
      <w:bookmarkStart w:id="143" w:name="_Toc29251"/>
      <w:bookmarkStart w:id="144" w:name="_Toc139991737"/>
      <w:bookmarkStart w:id="145" w:name="_Toc31644"/>
      <w:bookmarkStart w:id="146" w:name="_Toc14835"/>
      <w:bookmarkStart w:id="147" w:name="_Toc123112235"/>
      <w:bookmarkStart w:id="148" w:name="_Toc12245"/>
      <w:bookmarkStart w:id="149" w:name="_Toc31653"/>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Start w:id="150" w:name="_Hlt55355235"/>
      <w:bookmarkEnd w:id="150"/>
      <w:bookmarkStart w:id="151" w:name="_Toc523711668"/>
      <w:bookmarkStart w:id="152" w:name="_Toc15118234"/>
      <w:bookmarkStart w:id="153" w:name="_Toc57530239"/>
      <w:bookmarkStart w:id="154" w:name="_Toc79392580"/>
    </w:p>
    <w:p>
      <w:pPr>
        <w:pStyle w:val="1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14"/>
        <w:spacing w:line="360" w:lineRule="auto"/>
        <w:ind w:firstLine="360" w:firstLineChars="200"/>
        <w:rPr>
          <w:rFonts w:hAnsi="宋体"/>
          <w:color w:val="auto"/>
          <w:sz w:val="18"/>
          <w:szCs w:val="18"/>
        </w:rPr>
      </w:pPr>
      <w:r>
        <w:rPr>
          <w:rFonts w:hint="eastAsia" w:hAnsi="宋体"/>
          <w:color w:val="auto"/>
          <w:sz w:val="18"/>
          <w:szCs w:val="18"/>
        </w:rPr>
        <w:t>1.依据分配时点，理财利益的分配可分为“期间分配”与“终止分配”。</w:t>
      </w:r>
    </w:p>
    <w:p>
      <w:pPr>
        <w:pStyle w:val="14"/>
        <w:spacing w:line="360" w:lineRule="auto"/>
        <w:ind w:firstLine="360" w:firstLineChars="200"/>
        <w:rPr>
          <w:rFonts w:hAnsi="宋体"/>
          <w:color w:val="auto"/>
          <w:sz w:val="18"/>
          <w:szCs w:val="18"/>
        </w:rPr>
      </w:pPr>
      <w:r>
        <w:rPr>
          <w:rFonts w:hint="eastAsia" w:hAnsi="宋体"/>
          <w:color w:val="auto"/>
          <w:sz w:val="18"/>
          <w:szCs w:val="18"/>
        </w:rPr>
        <w:t>2.依据分配方式，理财利益的分配可分为“现金分配”与“非现金分配”。</w:t>
      </w:r>
    </w:p>
    <w:p>
      <w:pPr>
        <w:pStyle w:val="1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1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1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1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1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14"/>
        <w:spacing w:line="360" w:lineRule="auto"/>
        <w:ind w:firstLine="360" w:firstLineChars="200"/>
        <w:rPr>
          <w:rFonts w:hAnsi="宋体"/>
          <w:bCs/>
          <w:color w:val="auto"/>
          <w:sz w:val="18"/>
          <w:szCs w:val="18"/>
        </w:rPr>
      </w:pPr>
      <w:r>
        <w:rPr>
          <w:rFonts w:hAnsi="宋体"/>
          <w:bCs/>
          <w:color w:val="auto"/>
          <w:sz w:val="18"/>
          <w:szCs w:val="18"/>
        </w:rPr>
        <w:t>1.分配方案要点：</w:t>
      </w:r>
    </w:p>
    <w:p>
      <w:pPr>
        <w:pStyle w:val="1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1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1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14"/>
        <w:spacing w:line="360" w:lineRule="auto"/>
        <w:ind w:firstLine="360" w:firstLineChars="200"/>
        <w:rPr>
          <w:rFonts w:hAnsi="宋体"/>
          <w:color w:val="auto"/>
          <w:sz w:val="18"/>
          <w:szCs w:val="18"/>
        </w:rPr>
      </w:pPr>
      <w:r>
        <w:rPr>
          <w:rFonts w:hint="eastAsia" w:hAnsi="宋体"/>
          <w:color w:val="auto"/>
          <w:sz w:val="18"/>
          <w:szCs w:val="18"/>
        </w:rPr>
        <w:t>3.理财产品存续期间，产品管理人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1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1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1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1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具体的理财利益分配以管理人实际分配的为准。</w:t>
      </w:r>
    </w:p>
    <w:p>
      <w:pPr>
        <w:widowControl/>
        <w:spacing w:line="360" w:lineRule="auto"/>
        <w:jc w:val="left"/>
        <w:rPr>
          <w:rFonts w:ascii="宋体" w:hAnsi="宋体"/>
          <w:kern w:val="0"/>
          <w:sz w:val="18"/>
          <w:szCs w:val="18"/>
        </w:rPr>
      </w:pPr>
      <w:r>
        <w:rPr>
          <w:rFonts w:hAnsi="宋体"/>
          <w:sz w:val="18"/>
          <w:szCs w:val="18"/>
        </w:rPr>
        <w:br w:type="page"/>
      </w:r>
    </w:p>
    <w:bookmarkEnd w:id="151"/>
    <w:bookmarkEnd w:id="152"/>
    <w:bookmarkEnd w:id="153"/>
    <w:bookmarkEnd w:id="154"/>
    <w:p>
      <w:pPr>
        <w:pStyle w:val="2"/>
        <w:spacing w:before="0" w:after="0" w:line="360" w:lineRule="auto"/>
        <w:jc w:val="center"/>
        <w:rPr>
          <w:rFonts w:ascii="Times New Roman"/>
          <w:sz w:val="30"/>
        </w:rPr>
      </w:pPr>
      <w:bookmarkStart w:id="155" w:name="_Hlt88825574"/>
      <w:bookmarkEnd w:id="155"/>
      <w:bookmarkStart w:id="156" w:name="_Hlt88897298"/>
      <w:bookmarkEnd w:id="156"/>
      <w:bookmarkStart w:id="157" w:name="_Toc139991738"/>
      <w:bookmarkStart w:id="158" w:name="_Toc10650"/>
      <w:bookmarkStart w:id="159" w:name="_Toc123102455"/>
      <w:bookmarkStart w:id="160" w:name="_Toc3321"/>
      <w:bookmarkStart w:id="161" w:name="_Toc7058"/>
      <w:bookmarkStart w:id="162" w:name="_Toc79154672"/>
      <w:bookmarkStart w:id="163" w:name="_Toc141703888"/>
      <w:bookmarkStart w:id="164" w:name="_Toc18567"/>
      <w:bookmarkStart w:id="165" w:name="_Toc6447"/>
      <w:bookmarkStart w:id="166" w:name="_Toc11030"/>
      <w:bookmarkStart w:id="167" w:name="_Toc4559"/>
      <w:bookmarkStart w:id="168" w:name="_Toc123112236"/>
      <w:bookmarkStart w:id="169" w:name="_Toc9706"/>
      <w:bookmarkStart w:id="170" w:name="_Toc98560354"/>
      <w:bookmarkStart w:id="171" w:name="_Toc74065745"/>
      <w:bookmarkStart w:id="172" w:name="_Toc25783"/>
      <w:bookmarkStart w:id="173" w:name="_Toc123051454"/>
      <w:bookmarkStart w:id="174" w:name="_Toc3771"/>
      <w:bookmarkStart w:id="175" w:name="_Toc176189761"/>
      <w:bookmarkStart w:id="176" w:name="_Toc79392583"/>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1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）理财产品的交易费用（包括但不限于证券交易费用、经纪费用等）；</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1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一定比例作为超额业绩报酬。</w:t>
      </w:r>
      <w:r>
        <w:rPr>
          <w:rFonts w:hint="eastAsia" w:ascii="黑体" w:hAnsi="黑体" w:eastAsia="黑体"/>
          <w:sz w:val="18"/>
          <w:szCs w:val="18"/>
        </w:rPr>
        <w:t>★</w:t>
      </w:r>
      <w:r>
        <w:rPr>
          <w:rFonts w:hint="eastAsia" w:asciiTheme="majorEastAsia" w:hAnsiTheme="majorEastAsia" w:eastAsiaTheme="majorEastAsia"/>
          <w:sz w:val="18"/>
          <w:szCs w:val="18"/>
        </w:rPr>
        <w:t>由此造成超额业绩报酬计提日产品份额净值调整的，以调整后的数值为准进行利益分配。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业绩报酬计提基准的设置、超额业绩报酬的具体比例数值以《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②在超额业绩报酬计提日，本产品对符合超额业绩报酬提取条件的产品份额计提超额业绩报酬；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每份产品份额超额业绩报酬每日计提，产品终止日结算。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份额当前年化收益率（R）超过当前业绩报酬计提基准的部分，按比例（N）以及产品份额持有天数（D）提取超额业绩报酬，计算方法如下：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当R≤当前业绩报酬计提基准，超额业绩报酬=0；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当R＞当前业绩报酬计提基准，超额业绩报酬=产品终止时投资者持有的产品份额×产品成立日产品份额净值×（R-当前业绩报酬计提基准）×N×D/365。</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1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1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1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77" w:name="_Toc3963"/>
      <w:bookmarkStart w:id="178" w:name="_Toc1745"/>
      <w:r>
        <w:br w:type="page"/>
      </w:r>
      <w:bookmarkStart w:id="179" w:name="_Toc16164"/>
      <w:bookmarkStart w:id="180" w:name="_Toc31821"/>
      <w:bookmarkStart w:id="181" w:name="_Toc123051455"/>
      <w:bookmarkStart w:id="182" w:name="_Toc123102456"/>
      <w:bookmarkStart w:id="183" w:name="_Toc141703889"/>
      <w:bookmarkStart w:id="184" w:name="_Toc18206"/>
      <w:bookmarkStart w:id="185" w:name="_Toc3572"/>
      <w:bookmarkStart w:id="186" w:name="_Toc123112237"/>
      <w:bookmarkStart w:id="187" w:name="_Toc725"/>
      <w:bookmarkStart w:id="188" w:name="_Toc10398"/>
      <w:bookmarkStart w:id="189" w:name="_Toc3080"/>
      <w:bookmarkStart w:id="190" w:name="_Toc21735"/>
      <w:bookmarkStart w:id="191" w:name="_Toc176189762"/>
      <w:bookmarkStart w:id="192" w:name="_Toc74065746"/>
      <w:bookmarkStart w:id="193" w:name="_Toc139991739"/>
      <w:bookmarkStart w:id="194" w:name="_Toc79154673"/>
      <w:bookmarkStart w:id="195" w:name="_Toc98560355"/>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spacing w:line="360" w:lineRule="auto"/>
        <w:ind w:firstLine="361" w:firstLineChars="200"/>
        <w:rPr>
          <w:rFonts w:asciiTheme="majorEastAsia" w:hAnsiTheme="majorEastAsia" w:eastAsiaTheme="majorEastAsia"/>
          <w:b/>
          <w:bCs/>
          <w:sz w:val="18"/>
          <w:szCs w:val="18"/>
        </w:rPr>
      </w:pPr>
      <w:bookmarkStart w:id="196" w:name="_Toc79392593"/>
      <w:bookmarkStart w:id="197" w:name="_Toc57530252"/>
      <w:bookmarkStart w:id="198"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部分终止的利益分配：产品管理人将依照销售文件公布部分终止日并指定利益分配日（一般为部分终止日之后的【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bookmarkEnd w:id="196"/>
    <w:bookmarkEnd w:id="197"/>
    <w:bookmarkEnd w:id="198"/>
    <w:p>
      <w:pPr>
        <w:pStyle w:val="2"/>
        <w:spacing w:before="0" w:after="0" w:line="360" w:lineRule="auto"/>
        <w:jc w:val="center"/>
        <w:rPr>
          <w:rFonts w:ascii="Times New Roman"/>
          <w:sz w:val="30"/>
        </w:rPr>
      </w:pPr>
      <w:r>
        <w:rPr>
          <w:rFonts w:ascii="Times New Roman"/>
          <w:b w:val="0"/>
          <w:bCs w:val="0"/>
          <w:kern w:val="2"/>
        </w:rPr>
        <w:br w:type="page"/>
      </w:r>
      <w:bookmarkStart w:id="199" w:name="_Toc176189763"/>
      <w:bookmarkStart w:id="200" w:name="_Toc17920"/>
      <w:bookmarkStart w:id="201" w:name="_Toc48649708"/>
      <w:bookmarkStart w:id="202" w:name="_Toc123112238"/>
      <w:bookmarkStart w:id="203" w:name="_Toc139991740"/>
      <w:bookmarkStart w:id="204" w:name="_Toc123051456"/>
      <w:bookmarkStart w:id="205" w:name="_Toc21237"/>
      <w:bookmarkStart w:id="206" w:name="_Toc141703890"/>
      <w:bookmarkStart w:id="207" w:name="_Toc17198"/>
      <w:bookmarkStart w:id="208" w:name="_Toc123102457"/>
      <w:bookmarkStart w:id="209" w:name="_Toc29408"/>
      <w:bookmarkStart w:id="210" w:name="_Toc3329"/>
      <w:bookmarkStart w:id="211" w:name="_Toc98560356"/>
      <w:bookmarkStart w:id="212" w:name="_Toc32584"/>
      <w:bookmarkStart w:id="213" w:name="_Toc8791"/>
      <w:bookmarkStart w:id="214" w:name="_Toc79392622"/>
      <w:bookmarkStart w:id="215" w:name="_Toc32092"/>
      <w:bookmarkStart w:id="216" w:name="_Toc739"/>
      <w:bookmarkStart w:id="217" w:name="_Toc5170"/>
      <w:bookmarkStart w:id="218" w:name="_Toc74065747"/>
      <w:bookmarkStart w:id="219" w:name="_Toc79154674"/>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w:t>
      </w:r>
      <w:r>
        <w:rPr>
          <w:rFonts w:ascii="宋体" w:hAnsi="宋体"/>
          <w:bCs/>
          <w:sz w:val="18"/>
          <w:szCs w:val="18"/>
        </w:rPr>
        <w:t>。本理财产品认购期和存续期间，产品管理人将通过产品管理人或销售机构的信息披露渠道开展理财产品的信息披露工作。请投资者及时关注。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w:t>
      </w:r>
      <w:r>
        <w:rPr>
          <w:rFonts w:hint="eastAsia" w:ascii="宋体" w:hAnsi="宋体"/>
          <w:bCs/>
          <w:sz w:val="18"/>
          <w:szCs w:val="18"/>
          <w:lang w:val="en-US" w:eastAsia="zh-CN"/>
        </w:rPr>
        <w:t>周</w:t>
      </w:r>
      <w:r>
        <w:rPr>
          <w:rFonts w:hint="eastAsia" w:ascii="宋体" w:hAnsi="宋体"/>
          <w:bCs/>
          <w:sz w:val="18"/>
          <w:szCs w:val="18"/>
        </w:rPr>
        <w:t>】向投资者披露一次估值日公告，估值日公告披露的内容包括估值日的产品份额净值、产品份额累计净值等。如遇法定节假日顺延。此外，如遇其他特殊情况，以产品管理人信息披露为准。</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★产品管理人</w:t>
      </w:r>
      <w:r>
        <w:rPr>
          <w:rFonts w:ascii="黑体" w:hAnsi="黑体" w:eastAsia="黑体"/>
          <w:bCs/>
          <w:sz w:val="18"/>
          <w:szCs w:val="18"/>
        </w:rPr>
        <w:t>对</w:t>
      </w:r>
      <w:r>
        <w:rPr>
          <w:rFonts w:hint="eastAsia" w:ascii="黑体" w:hAnsi="黑体" w:eastAsia="黑体"/>
          <w:bCs/>
          <w:sz w:val="18"/>
          <w:szCs w:val="18"/>
        </w:rPr>
        <w:t>投资范围、投资资产种类、</w:t>
      </w:r>
      <w:r>
        <w:rPr>
          <w:rFonts w:ascii="黑体" w:hAnsi="黑体" w:eastAsia="黑体"/>
          <w:bCs/>
          <w:sz w:val="18"/>
          <w:szCs w:val="18"/>
        </w:rPr>
        <w:t>投资</w:t>
      </w:r>
      <w:r>
        <w:rPr>
          <w:rFonts w:hint="eastAsia" w:ascii="黑体" w:hAnsi="黑体" w:eastAsia="黑体"/>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Cs/>
          <w:sz w:val="18"/>
          <w:szCs w:val="18"/>
        </w:rPr>
        <w:t>2个工作日发布变更公告</w:t>
      </w:r>
      <w:r>
        <w:rPr>
          <w:rFonts w:hint="eastAsia"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4）★在本产品存续期内，如因国家法律法规、监管规定发生变化，或是出于维护本产品正常运营的需要，在不损害投资者</w:t>
      </w:r>
      <w:r>
        <w:rPr>
          <w:rFonts w:hint="eastAsia" w:ascii="黑体" w:hAnsi="黑体" w:eastAsia="黑体"/>
          <w:bCs/>
          <w:sz w:val="18"/>
          <w:szCs w:val="18"/>
        </w:rPr>
        <w:t>权益</w:t>
      </w:r>
      <w:r>
        <w:rPr>
          <w:rFonts w:ascii="黑体" w:hAnsi="黑体" w:eastAsia="黑体"/>
          <w:bCs/>
          <w:sz w:val="18"/>
          <w:szCs w:val="18"/>
        </w:rPr>
        <w:t>的前提下，</w:t>
      </w:r>
      <w:r>
        <w:rPr>
          <w:rFonts w:hint="eastAsia" w:ascii="黑体" w:hAnsi="黑体" w:eastAsia="黑体"/>
          <w:bCs/>
          <w:sz w:val="18"/>
          <w:szCs w:val="18"/>
        </w:rPr>
        <w:t>产品管理人</w:t>
      </w:r>
      <w:r>
        <w:rPr>
          <w:rFonts w:ascii="黑体" w:hAnsi="黑体" w:eastAsia="黑体"/>
          <w:bCs/>
          <w:sz w:val="18"/>
          <w:szCs w:val="18"/>
        </w:rPr>
        <w:t>有权对</w:t>
      </w:r>
      <w:r>
        <w:rPr>
          <w:rFonts w:hint="eastAsia" w:ascii="黑体" w:hAnsi="黑体" w:eastAsia="黑体"/>
          <w:bCs/>
          <w:sz w:val="18"/>
          <w:szCs w:val="18"/>
        </w:rPr>
        <w:t>理财产品销售文件</w:t>
      </w:r>
      <w:r>
        <w:rPr>
          <w:rFonts w:ascii="黑体" w:hAnsi="黑体" w:eastAsia="黑体"/>
          <w:bCs/>
          <w:sz w:val="18"/>
          <w:szCs w:val="18"/>
        </w:rPr>
        <w:t>进行修订，并提前2个工作日进行</w:t>
      </w:r>
      <w:r>
        <w:rPr>
          <w:rFonts w:hint="eastAsia" w:ascii="黑体" w:hAnsi="黑体" w:eastAsia="黑体"/>
          <w:bCs/>
          <w:sz w:val="18"/>
          <w:szCs w:val="18"/>
        </w:rPr>
        <w:t>公告</w:t>
      </w:r>
      <w:r>
        <w:rPr>
          <w:rFonts w:ascii="黑体" w:hAnsi="黑体" w:eastAsia="黑体"/>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bCs/>
          <w:sz w:val="18"/>
          <w:szCs w:val="18"/>
        </w:rPr>
        <w:t>并提前2个工作日进行</w:t>
      </w:r>
      <w:r>
        <w:rPr>
          <w:rFonts w:hint="eastAsia" w:ascii="黑体" w:hAnsi="黑体" w:eastAsia="黑体"/>
          <w:bCs/>
          <w:sz w:val="18"/>
          <w:szCs w:val="18"/>
        </w:rPr>
        <w:t>公告。若投资者未选择退出本产品的，则视为已理解并接受管理人的相应变更。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220" w:name="_Toc79154675"/>
      <w:bookmarkStart w:id="221" w:name="_Toc176189764"/>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220"/>
      <w:bookmarkEnd w:id="221"/>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sz w:val="18"/>
          <w:szCs w:val="18"/>
        </w:rPr>
      </w:pPr>
      <w:r>
        <w:rPr>
          <w:rFonts w:hint="eastAsia" w:ascii="宋体" w:hAnsi="宋体"/>
          <w:sz w:val="18"/>
          <w:szCs w:val="18"/>
        </w:rPr>
        <w:t>【1、拟投资市场和资产的风险：</w:t>
      </w:r>
    </w:p>
    <w:p>
      <w:pPr>
        <w:spacing w:line="360" w:lineRule="auto"/>
        <w:ind w:firstLine="360" w:firstLineChars="200"/>
        <w:rPr>
          <w:rFonts w:ascii="宋体" w:hAnsi="宋体"/>
          <w:sz w:val="18"/>
          <w:szCs w:val="18"/>
        </w:rPr>
      </w:pPr>
      <w:r>
        <w:rPr>
          <w:rFonts w:hint="eastAsia" w:ascii="宋体" w:hAnsi="宋体"/>
          <w:sz w:val="18"/>
          <w:szCs w:val="18"/>
        </w:rPr>
        <w:t>（1）投资债权类资产的风险</w:t>
      </w:r>
    </w:p>
    <w:p>
      <w:pPr>
        <w:spacing w:line="360" w:lineRule="auto"/>
        <w:ind w:firstLine="360" w:firstLineChars="200"/>
        <w:rPr>
          <w:rFonts w:ascii="宋体" w:hAnsi="宋体"/>
          <w:sz w:val="18"/>
          <w:szCs w:val="18"/>
        </w:rPr>
      </w:pPr>
      <w:r>
        <w:rPr>
          <w:rFonts w:hint="eastAsia" w:ascii="宋体" w:hAnsi="宋体"/>
          <w:sz w:val="18"/>
          <w:szCs w:val="18"/>
        </w:rPr>
        <w:t>1）投资标准化债权类资产的风险</w:t>
      </w:r>
    </w:p>
    <w:p>
      <w:pPr>
        <w:spacing w:line="360" w:lineRule="auto"/>
        <w:ind w:firstLine="360" w:firstLineChars="200"/>
        <w:rPr>
          <w:rFonts w:ascii="宋体" w:hAnsi="宋体"/>
          <w:sz w:val="18"/>
          <w:szCs w:val="18"/>
        </w:rPr>
      </w:pPr>
      <w:r>
        <w:rPr>
          <w:rFonts w:hint="eastAsia" w:ascii="宋体" w:hAnsi="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r>
        <w:rPr>
          <w:rFonts w:hint="eastAsia" w:ascii="宋体" w:hAnsi="宋体"/>
          <w:sz w:val="18"/>
          <w:szCs w:val="18"/>
        </w:rPr>
        <w:t>】</w:t>
      </w:r>
    </w:p>
    <w:p>
      <w:pPr>
        <w:pStyle w:val="12"/>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w:t>
      </w:r>
    </w:p>
    <w:p>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终止</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w:t>
      </w:r>
    </w:p>
    <w:p>
      <w:pPr>
        <w:spacing w:line="360" w:lineRule="auto"/>
        <w:ind w:firstLine="360" w:firstLineChars="20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widowControl/>
        <w:jc w:val="left"/>
        <w:rPr>
          <w:rFonts w:ascii="宋体" w:hAnsi="宋体"/>
          <w:color w:val="000000"/>
          <w:kern w:val="0"/>
          <w:sz w:val="18"/>
          <w:szCs w:val="18"/>
        </w:rPr>
      </w:pPr>
      <w:r>
        <w:rPr>
          <w:rFonts w:hAnsi="宋体"/>
          <w:sz w:val="18"/>
          <w:szCs w:val="18"/>
        </w:rPr>
        <w:br w:type="page"/>
      </w:r>
    </w:p>
    <w:tbl>
      <w:tblPr>
        <w:tblStyle w:val="8"/>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b/>
                <w:sz w:val="18"/>
                <w:szCs w:val="18"/>
              </w:rPr>
            </w:pPr>
            <w:r>
              <w:rPr>
                <w:rFonts w:hint="eastAsia"/>
                <w:b/>
                <w:sz w:val="18"/>
                <w:szCs w:val="18"/>
              </w:rPr>
              <w:t>个人投资者适用</w:t>
            </w:r>
          </w:p>
        </w:tc>
        <w:tc>
          <w:tcPr>
            <w:tcW w:w="7371" w:type="dxa"/>
          </w:tcPr>
          <w:p>
            <w:pPr>
              <w:spacing w:line="360" w:lineRule="auto"/>
              <w:ind w:firstLine="360"/>
              <w:jc w:val="left"/>
              <w:rPr>
                <w:sz w:val="18"/>
                <w:szCs w:val="18"/>
              </w:rPr>
            </w:pPr>
            <w:r>
              <w:rPr>
                <w:rFonts w:hint="eastAsia"/>
                <w:sz w:val="18"/>
                <w:szCs w:val="18"/>
              </w:rPr>
              <w:t>投资者（</w:t>
            </w:r>
            <w:r>
              <w:rPr>
                <w:sz w:val="18"/>
                <w:szCs w:val="18"/>
              </w:rPr>
              <w:t>签名/</w:t>
            </w:r>
            <w:r>
              <w:rPr>
                <w:rFonts w:hint="eastAsia"/>
                <w:sz w:val="18"/>
                <w:szCs w:val="18"/>
              </w:rPr>
              <w:t>线上确认）：</w:t>
            </w:r>
          </w:p>
          <w:p>
            <w:pPr>
              <w:spacing w:line="360" w:lineRule="auto"/>
              <w:ind w:firstLine="361"/>
              <w:jc w:val="left"/>
              <w:rPr>
                <w:b/>
                <w:sz w:val="18"/>
                <w:szCs w:val="18"/>
              </w:rPr>
            </w:pPr>
          </w:p>
          <w:p>
            <w:pPr>
              <w:spacing w:line="360" w:lineRule="auto"/>
              <w:ind w:firstLine="360"/>
              <w:jc w:val="left"/>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b/>
                <w:sz w:val="18"/>
                <w:szCs w:val="18"/>
              </w:rPr>
            </w:pPr>
            <w:r>
              <w:rPr>
                <w:rFonts w:hint="eastAsia"/>
                <w:b/>
                <w:sz w:val="18"/>
                <w:szCs w:val="18"/>
              </w:rPr>
              <w:t>机构投资者适用</w:t>
            </w:r>
          </w:p>
        </w:tc>
        <w:tc>
          <w:tcPr>
            <w:tcW w:w="7371" w:type="dxa"/>
          </w:tcPr>
          <w:p>
            <w:pPr>
              <w:spacing w:line="360" w:lineRule="auto"/>
              <w:ind w:firstLine="360"/>
              <w:jc w:val="left"/>
              <w:rPr>
                <w:rFonts w:cs="Arial"/>
                <w:sz w:val="18"/>
                <w:szCs w:val="18"/>
              </w:rPr>
            </w:pPr>
            <w:r>
              <w:rPr>
                <w:rFonts w:hint="eastAsia"/>
                <w:sz w:val="18"/>
                <w:szCs w:val="18"/>
              </w:rPr>
              <w:t>投资者</w:t>
            </w:r>
            <w:r>
              <w:rPr>
                <w:rFonts w:hint="eastAsia" w:cs="Arial"/>
                <w:sz w:val="18"/>
                <w:szCs w:val="18"/>
              </w:rPr>
              <w:t>（盖章</w:t>
            </w:r>
            <w:r>
              <w:rPr>
                <w:rFonts w:cs="Arial"/>
                <w:sz w:val="18"/>
                <w:szCs w:val="18"/>
              </w:rPr>
              <w:t>/</w:t>
            </w:r>
            <w:r>
              <w:rPr>
                <w:rFonts w:hint="eastAsia" w:cs="Arial"/>
                <w:sz w:val="18"/>
                <w:szCs w:val="18"/>
              </w:rPr>
              <w:t>线上确认）：</w:t>
            </w:r>
          </w:p>
          <w:p>
            <w:pPr>
              <w:tabs>
                <w:tab w:val="left" w:pos="5609"/>
              </w:tabs>
              <w:spacing w:line="360" w:lineRule="auto"/>
              <w:ind w:firstLine="360"/>
              <w:jc w:val="left"/>
              <w:rPr>
                <w:rFonts w:cs="Arial"/>
                <w:sz w:val="18"/>
                <w:szCs w:val="18"/>
              </w:rPr>
            </w:pPr>
            <w:r>
              <w:rPr>
                <w:rFonts w:cs="Arial"/>
                <w:sz w:val="18"/>
                <w:szCs w:val="18"/>
              </w:rPr>
              <w:tab/>
            </w:r>
          </w:p>
          <w:p>
            <w:pPr>
              <w:spacing w:line="360" w:lineRule="auto"/>
              <w:ind w:firstLine="360"/>
              <w:jc w:val="left"/>
              <w:rPr>
                <w:rFonts w:cs="Arial"/>
                <w:sz w:val="18"/>
                <w:szCs w:val="18"/>
              </w:rPr>
            </w:pPr>
            <w:r>
              <w:rPr>
                <w:rFonts w:hint="eastAsia" w:cs="Arial"/>
                <w:sz w:val="18"/>
                <w:szCs w:val="18"/>
              </w:rPr>
              <w:t>投资者法定代表人或授权代理人（签名</w:t>
            </w:r>
            <w:r>
              <w:rPr>
                <w:rFonts w:cs="Arial"/>
                <w:sz w:val="18"/>
                <w:szCs w:val="18"/>
              </w:rPr>
              <w:t>/</w:t>
            </w:r>
            <w:r>
              <w:rPr>
                <w:rFonts w:hint="eastAsia" w:cs="Arial"/>
                <w:sz w:val="18"/>
                <w:szCs w:val="18"/>
              </w:rPr>
              <w:t>盖章</w:t>
            </w:r>
            <w:r>
              <w:rPr>
                <w:rFonts w:cs="Arial"/>
                <w:sz w:val="18"/>
                <w:szCs w:val="18"/>
              </w:rPr>
              <w:t>/</w:t>
            </w:r>
            <w:r>
              <w:rPr>
                <w:rFonts w:hint="eastAsia" w:cs="Arial"/>
                <w:sz w:val="18"/>
                <w:szCs w:val="18"/>
              </w:rPr>
              <w:t>线上确认）：</w:t>
            </w:r>
          </w:p>
          <w:p>
            <w:pPr>
              <w:spacing w:line="360" w:lineRule="auto"/>
              <w:ind w:firstLine="360"/>
              <w:jc w:val="left"/>
              <w:rPr>
                <w:sz w:val="18"/>
                <w:szCs w:val="18"/>
              </w:rPr>
            </w:pPr>
            <w:r>
              <w:rPr>
                <w:rFonts w:hint="eastAsia"/>
                <w:sz w:val="18"/>
                <w:szCs w:val="18"/>
              </w:rPr>
              <w:t>日期：</w:t>
            </w:r>
          </w:p>
        </w:tc>
      </w:tr>
    </w:tbl>
    <w:p>
      <w:pPr>
        <w:spacing w:line="360" w:lineRule="auto"/>
        <w:jc w:val="left"/>
        <w:rPr>
          <w:b/>
          <w:bCs/>
        </w:rPr>
      </w:pPr>
      <w:r>
        <w:rPr>
          <w:rFonts w:hint="eastAsia" w:ascii="宋体" w:hAnsi="宋体"/>
          <w:b/>
          <w:bCs/>
          <w:sz w:val="18"/>
          <w:szCs w:val="18"/>
        </w:rPr>
        <w:t>（本《产品说明书》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pPr>
        <w:pStyle w:val="14"/>
        <w:spacing w:line="360" w:lineRule="auto"/>
        <w:rPr>
          <w:rFonts w:hAnsi="宋体"/>
          <w:sz w:val="18"/>
          <w:szCs w:val="18"/>
        </w:rPr>
      </w:pPr>
    </w:p>
    <w:p>
      <w:pPr>
        <w:sectPr>
          <w:headerReference r:id="rId5" w:type="default"/>
          <w:footerReference r:id="rId6" w:type="default"/>
          <w:pgSz w:w="11906" w:h="16838"/>
          <w:pgMar w:top="1276" w:right="1800" w:bottom="1418" w:left="1800" w:header="567" w:footer="850" w:gutter="0"/>
          <w:cols w:space="425" w:num="1"/>
          <w:docGrid w:type="lines" w:linePitch="312" w:charSpace="0"/>
        </w:sectPr>
      </w:pPr>
    </w:p>
    <w:p/>
    <w:p>
      <w:pPr>
        <w:widowControl/>
        <w:spacing w:before="156"/>
        <w:jc w:val="center"/>
        <w:rPr>
          <w:rFonts w:ascii="黑体" w:hAnsi="黑体" w:eastAsia="黑体"/>
          <w:b/>
          <w:sz w:val="28"/>
          <w:szCs w:val="28"/>
        </w:rPr>
      </w:pPr>
      <w:r>
        <w:rPr>
          <w:rFonts w:hint="eastAsia" w:ascii="黑体" w:hAnsi="黑体" w:eastAsia="黑体"/>
          <w:b/>
          <w:sz w:val="28"/>
          <w:szCs w:val="28"/>
        </w:rPr>
        <w:t>兴银理财【丰收封闭式固收类】理财产品</w:t>
      </w:r>
    </w:p>
    <w:p>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7"/>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个人投资者适用</w:t>
            </w: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姓名</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电子邮箱</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bCs/>
                <w:sz w:val="18"/>
                <w:szCs w:val="18"/>
              </w:rPr>
            </w:pPr>
            <w:r>
              <w:rPr>
                <w:rFonts w:hint="eastAsia" w:ascii="宋体" w:hAnsi="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pStyle w:val="4"/>
              <w:pBdr>
                <w:bottom w:val="none" w:color="auto" w:sz="0" w:space="0"/>
              </w:pBdr>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hAnsi="宋体"/>
                <w:sz w:val="18"/>
                <w:szCs w:val="18"/>
              </w:rPr>
              <w:t>★</w:t>
            </w:r>
            <w:r>
              <w:rPr>
                <w:rFonts w:hint="eastAsia" w:ascii="宋体" w:hAnsi="宋体"/>
                <w:bCs/>
                <w:sz w:val="18"/>
                <w:szCs w:val="18"/>
              </w:rPr>
              <w:t>销售性质</w:t>
            </w:r>
          </w:p>
        </w:tc>
        <w:tc>
          <w:tcPr>
            <w:tcW w:w="5061" w:type="dxa"/>
            <w:gridSpan w:val="3"/>
            <w:shd w:val="solid" w:color="FFFFFF" w:fill="FFFFFF"/>
            <w:vAlign w:val="center"/>
          </w:tcPr>
          <w:p>
            <w:pPr>
              <w:spacing w:line="320" w:lineRule="exact"/>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 直销：产品管理人销售</w:t>
            </w:r>
          </w:p>
          <w:p>
            <w:pPr>
              <w:spacing w:line="320" w:lineRule="exact"/>
              <w:jc w:val="left"/>
              <w:rPr>
                <w:rFonts w:ascii="宋体" w:hAnsi="宋体"/>
                <w:bCs/>
                <w:sz w:val="18"/>
                <w:szCs w:val="18"/>
              </w:rPr>
            </w:pPr>
            <w:r>
              <w:rPr>
                <w:rFonts w:hint="eastAsia" w:asciiTheme="majorEastAsia" w:hAnsiTheme="majorEastAsia" w:eastAsiaTheme="majorEastAsia"/>
                <w:bCs/>
                <w:sz w:val="18"/>
                <w:szCs w:val="18"/>
              </w:rPr>
              <w:t>■ 代销：代理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机构名称</w:t>
            </w:r>
          </w:p>
        </w:tc>
        <w:tc>
          <w:tcPr>
            <w:tcW w:w="5061" w:type="dxa"/>
            <w:gridSpan w:val="3"/>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机构简介</w:t>
            </w:r>
          </w:p>
        </w:tc>
        <w:tc>
          <w:tcPr>
            <w:tcW w:w="5061" w:type="dxa"/>
            <w:gridSpan w:val="3"/>
            <w:tcBorders>
              <w:bottom w:val="single" w:color="auto" w:sz="12" w:space="0"/>
            </w:tcBorders>
            <w:shd w:val="solid" w:color="FFFFFF" w:fill="FFFFFF"/>
            <w:vAlign w:val="center"/>
          </w:tcPr>
          <w:p>
            <w:pPr>
              <w:pStyle w:val="14"/>
              <w:jc w:val="both"/>
            </w:pP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pPr>
              <w:pStyle w:val="4"/>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pPr>
              <w:pStyle w:val="4"/>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r>
              <w:rPr>
                <w:rFonts w:ascii="宋体" w:hAnsi="宋体"/>
                <w:u w:val="single"/>
              </w:rPr>
              <w:t xml:space="preserve">　                     </w:t>
            </w:r>
            <w:r>
              <w:rPr>
                <w:rFonts w:hint="eastAsia" w:ascii="宋体" w:hAnsi="宋体"/>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pStyle w:val="14"/>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参照本条第（1）款非机构投资者要求执行；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其他：</w:t>
      </w:r>
      <w:r>
        <w:rPr>
          <w:rFonts w:hint="eastAsia"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w:t>
      </w:r>
      <w:r>
        <w:rPr>
          <w:rFonts w:hint="eastAsia" w:ascii="宋体" w:hAnsi="宋体" w:cs="仿宋_GB2312"/>
          <w:kern w:val="0"/>
          <w:sz w:val="18"/>
          <w:szCs w:val="18"/>
        </w:rPr>
        <w:t>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w:t>
            </w:r>
            <w:r>
              <w:rPr>
                <w:rFonts w:hint="eastAsia" w:ascii="黑体" w:hAnsi="黑体" w:eastAsia="黑体"/>
                <w:kern w:val="0"/>
                <w:sz w:val="18"/>
                <w:szCs w:val="18"/>
              </w:rPr>
              <w:t>.</w:t>
            </w:r>
            <w:r>
              <w:rPr>
                <w:rFonts w:ascii="黑体" w:hAnsi="黑体" w:eastAsia="黑体"/>
                <w:kern w:val="0"/>
                <w:sz w:val="18"/>
                <w:szCs w:val="18"/>
              </w:rPr>
              <w:t>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4" w:hRule="exact"/>
        </w:trPr>
        <w:tc>
          <w:tcPr>
            <w:tcW w:w="675" w:type="dxa"/>
            <w:vMerge w:val="restart"/>
            <w:vAlign w:val="center"/>
          </w:tcPr>
          <w:p>
            <w:pPr>
              <w:spacing w:line="360" w:lineRule="auto"/>
              <w:jc w:val="center"/>
              <w:rPr>
                <w:b/>
                <w:kern w:val="0"/>
                <w:sz w:val="18"/>
                <w:szCs w:val="18"/>
              </w:rPr>
            </w:pPr>
            <w:r>
              <w:rPr>
                <w:rFonts w:hint="eastAsia"/>
                <w:b/>
                <w:kern w:val="0"/>
                <w:sz w:val="18"/>
                <w:szCs w:val="18"/>
              </w:rPr>
              <w:t>甲方签署栏</w:t>
            </w:r>
          </w:p>
        </w:tc>
        <w:tc>
          <w:tcPr>
            <w:tcW w:w="851" w:type="dxa"/>
          </w:tcPr>
          <w:p>
            <w:pPr>
              <w:spacing w:line="360" w:lineRule="auto"/>
              <w:rPr>
                <w:kern w:val="0"/>
                <w:sz w:val="18"/>
                <w:szCs w:val="18"/>
              </w:rPr>
            </w:pPr>
            <w:r>
              <w:rPr>
                <w:rFonts w:hint="eastAsia"/>
                <w:kern w:val="0"/>
                <w:sz w:val="18"/>
                <w:szCs w:val="18"/>
              </w:rPr>
              <w:t>个人投资者适用</w:t>
            </w:r>
          </w:p>
        </w:tc>
        <w:tc>
          <w:tcPr>
            <w:tcW w:w="6998" w:type="dxa"/>
          </w:tcPr>
          <w:p>
            <w:pPr>
              <w:spacing w:line="360" w:lineRule="auto"/>
              <w:rPr>
                <w:kern w:val="0"/>
                <w:sz w:val="18"/>
                <w:szCs w:val="18"/>
              </w:rPr>
            </w:pPr>
            <w:r>
              <w:rPr>
                <w:rFonts w:hint="eastAsia"/>
                <w:kern w:val="0"/>
                <w:sz w:val="18"/>
                <w:szCs w:val="18"/>
              </w:rPr>
              <w:t>甲方（签名/线上确认）：</w:t>
            </w:r>
          </w:p>
          <w:p>
            <w:pPr>
              <w:spacing w:line="360" w:lineRule="auto"/>
              <w:rPr>
                <w:b/>
                <w:kern w:val="0"/>
                <w:sz w:val="18"/>
                <w:szCs w:val="18"/>
              </w:rPr>
            </w:pPr>
          </w:p>
          <w:p>
            <w:pPr>
              <w:spacing w:line="360" w:lineRule="auto"/>
              <w:rPr>
                <w:b/>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kern w:val="0"/>
                <w:sz w:val="18"/>
                <w:szCs w:val="18"/>
              </w:rPr>
            </w:pPr>
          </w:p>
        </w:tc>
        <w:tc>
          <w:tcPr>
            <w:tcW w:w="851" w:type="dxa"/>
          </w:tcPr>
          <w:p>
            <w:pPr>
              <w:spacing w:line="360" w:lineRule="auto"/>
              <w:rPr>
                <w:kern w:val="0"/>
                <w:sz w:val="18"/>
                <w:szCs w:val="18"/>
              </w:rPr>
            </w:pPr>
            <w:r>
              <w:rPr>
                <w:rFonts w:hint="eastAsia"/>
                <w:kern w:val="0"/>
                <w:sz w:val="18"/>
                <w:szCs w:val="18"/>
              </w:rPr>
              <w:t>机构投资者适用</w:t>
            </w:r>
          </w:p>
        </w:tc>
        <w:tc>
          <w:tcPr>
            <w:tcW w:w="6998" w:type="dxa"/>
          </w:tcPr>
          <w:p>
            <w:pPr>
              <w:spacing w:line="360" w:lineRule="auto"/>
              <w:rPr>
                <w:rFonts w:cs="Arial"/>
                <w:kern w:val="0"/>
                <w:sz w:val="18"/>
                <w:szCs w:val="18"/>
              </w:rPr>
            </w:pPr>
            <w:r>
              <w:rPr>
                <w:rFonts w:hint="eastAsia"/>
                <w:kern w:val="0"/>
                <w:sz w:val="18"/>
                <w:szCs w:val="18"/>
              </w:rPr>
              <w:t>甲方</w:t>
            </w:r>
            <w:r>
              <w:rPr>
                <w:rFonts w:hint="eastAsia" w:cs="Arial"/>
                <w:kern w:val="0"/>
                <w:sz w:val="18"/>
                <w:szCs w:val="18"/>
              </w:rPr>
              <w:t>（盖章/线上确认）：</w:t>
            </w:r>
          </w:p>
          <w:p>
            <w:pPr>
              <w:spacing w:line="360" w:lineRule="auto"/>
              <w:rPr>
                <w:rFonts w:cs="Arial"/>
                <w:kern w:val="0"/>
                <w:sz w:val="18"/>
                <w:szCs w:val="18"/>
              </w:rPr>
            </w:pPr>
          </w:p>
          <w:p>
            <w:pPr>
              <w:spacing w:line="360" w:lineRule="auto"/>
              <w:rPr>
                <w:rFonts w:cs="Arial"/>
                <w:kern w:val="0"/>
                <w:sz w:val="18"/>
                <w:szCs w:val="18"/>
              </w:rPr>
            </w:pPr>
            <w:r>
              <w:rPr>
                <w:rFonts w:hint="eastAsia" w:cs="Arial"/>
                <w:kern w:val="0"/>
                <w:sz w:val="18"/>
                <w:szCs w:val="18"/>
              </w:rPr>
              <w:t>甲方法定代表人或授权代理人（签名/盖章/线上确认）：</w:t>
            </w:r>
          </w:p>
          <w:p>
            <w:pPr>
              <w:spacing w:line="360" w:lineRule="auto"/>
              <w:rPr>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rFonts w:hint="eastAsia" w:cs="Arial"/>
                <w:kern w:val="0"/>
                <w:sz w:val="18"/>
                <w:szCs w:val="18"/>
              </w:rPr>
              <w:t>/线上确认</w:t>
            </w:r>
            <w:r>
              <w:rPr>
                <w:kern w:val="0"/>
                <w:sz w:val="18"/>
                <w:szCs w:val="18"/>
              </w:rPr>
              <w:t>）</w:t>
            </w:r>
            <w:r>
              <w:rPr>
                <w:rFonts w:hint="eastAsia"/>
                <w:kern w:val="0"/>
                <w:sz w:val="18"/>
                <w:szCs w:val="18"/>
              </w:rPr>
              <w:t>：</w:t>
            </w:r>
          </w:p>
          <w:p>
            <w:pPr>
              <w:spacing w:line="360" w:lineRule="auto"/>
              <w:rPr>
                <w:b/>
                <w:kern w:val="0"/>
                <w:sz w:val="18"/>
                <w:szCs w:val="18"/>
              </w:rPr>
            </w:pPr>
          </w:p>
          <w:p>
            <w:pPr>
              <w:spacing w:line="360" w:lineRule="auto"/>
              <w:rPr>
                <w:kern w:val="0"/>
                <w:sz w:val="18"/>
                <w:szCs w:val="18"/>
              </w:rPr>
            </w:pPr>
            <w:r>
              <w:rPr>
                <w:rFonts w:hint="eastAsia"/>
                <w:kern w:val="0"/>
                <w:sz w:val="18"/>
                <w:szCs w:val="18"/>
              </w:rPr>
              <w:t>日期：</w:t>
            </w:r>
          </w:p>
        </w:tc>
      </w:tr>
    </w:tbl>
    <w:p>
      <w:pPr>
        <w:spacing w:line="360" w:lineRule="auto"/>
        <w:jc w:val="left"/>
        <w:rPr>
          <w:rFonts w:ascii="宋体" w:hAnsi="宋体"/>
          <w:b/>
          <w:sz w:val="18"/>
          <w:szCs w:val="18"/>
        </w:rPr>
      </w:pPr>
      <w:r>
        <w:rPr>
          <w:rFonts w:hint="eastAsia" w:ascii="宋体" w:hAnsi="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
      <w:pPr>
        <w:sectPr>
          <w:headerReference r:id="rId7" w:type="default"/>
          <w:footerReference r:id="rId8" w:type="default"/>
          <w:pgSz w:w="11906" w:h="16838"/>
          <w:pgMar w:top="1440" w:right="1800" w:bottom="1440" w:left="1800" w:header="567" w:footer="964" w:gutter="0"/>
          <w:cols w:space="425" w:num="1"/>
          <w:docGrid w:type="lines" w:linePitch="312" w:charSpace="0"/>
        </w:sectPr>
      </w:pPr>
    </w:p>
    <w:p>
      <w:pPr>
        <w:adjustRightInd w:val="0"/>
        <w:spacing w:line="276" w:lineRule="auto"/>
        <w:ind w:firstLine="422"/>
        <w:jc w:val="center"/>
        <w:rPr>
          <w:rFonts w:ascii="黑体" w:hAnsi="黑体" w:eastAsia="黑体"/>
          <w:b/>
          <w:bCs/>
          <w:sz w:val="28"/>
          <w:szCs w:val="28"/>
        </w:rPr>
      </w:pPr>
      <w:r>
        <w:rPr>
          <w:rFonts w:hint="eastAsia" w:ascii="黑体" w:hAnsi="黑体" w:eastAsia="黑体"/>
          <w:b/>
          <w:bCs/>
          <w:sz w:val="28"/>
          <w:szCs w:val="28"/>
        </w:rPr>
        <w:t>兴银理财【丰收封闭式固收类】</w:t>
      </w:r>
      <w:r>
        <w:rPr>
          <w:rFonts w:ascii="黑体" w:hAnsi="黑体" w:eastAsia="黑体"/>
          <w:b/>
          <w:bCs/>
          <w:sz w:val="28"/>
          <w:szCs w:val="28"/>
        </w:rPr>
        <w:t>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w:t>
      </w:r>
      <w:r>
        <w:rPr>
          <w:rFonts w:ascii="宋体" w:hAnsi="宋体" w:cs="仿宋_GB2312"/>
          <w:kern w:val="0"/>
          <w:sz w:val="18"/>
          <w:szCs w:val="18"/>
        </w:rPr>
        <w:t>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（一）产品名称、销售</w:t>
      </w:r>
      <w:r>
        <w:rPr>
          <w:rFonts w:ascii="宋体" w:hAnsi="宋体" w:cs="仿宋_GB2312"/>
          <w:kern w:val="0"/>
          <w:sz w:val="18"/>
          <w:szCs w:val="18"/>
        </w:rPr>
        <w:t>名称</w:t>
      </w:r>
      <w:r>
        <w:rPr>
          <w:rFonts w:hint="eastAsia" w:ascii="宋体" w:hAnsi="宋体" w:cs="仿宋_GB2312"/>
          <w:kern w:val="0"/>
          <w:sz w:val="18"/>
          <w:szCs w:val="18"/>
        </w:rPr>
        <w:t>及产品</w:t>
      </w:r>
      <w:r>
        <w:rPr>
          <w:rFonts w:ascii="宋体" w:hAnsi="宋体" w:cs="仿宋_GB2312"/>
          <w:kern w:val="0"/>
          <w:sz w:val="18"/>
          <w:szCs w:val="18"/>
        </w:rPr>
        <w:t>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w:t>
      </w:r>
      <w:r>
        <w:rPr>
          <w:rFonts w:hint="eastAsia" w:ascii="宋体" w:hAnsi="宋体"/>
          <w:bCs/>
          <w:sz w:val="18"/>
          <w:szCs w:val="18"/>
        </w:rPr>
        <w:t>兴银理财丰收封闭式1</w:t>
      </w:r>
      <w:r>
        <w:rPr>
          <w:rFonts w:hint="eastAsia" w:ascii="宋体" w:hAnsi="宋体"/>
          <w:bCs/>
          <w:sz w:val="18"/>
          <w:szCs w:val="18"/>
          <w:lang w:val="en-US" w:eastAsia="zh-CN"/>
        </w:rPr>
        <w:t>92</w:t>
      </w:r>
      <w:r>
        <w:rPr>
          <w:rFonts w:hint="eastAsia" w:ascii="宋体" w:hAnsi="宋体"/>
          <w:bCs/>
          <w:sz w:val="18"/>
          <w:szCs w:val="18"/>
        </w:rPr>
        <w:t>号固收类理财产品</w:t>
      </w:r>
      <w:r>
        <w:rPr>
          <w:rFonts w:hint="eastAsia" w:asciiTheme="majorEastAsia" w:hAnsiTheme="majorEastAsia" w:eastAsiaTheme="majorEastAsia"/>
          <w:bCs/>
          <w:kern w:val="0"/>
          <w:sz w:val="18"/>
          <w:szCs w:val="18"/>
        </w:rPr>
        <w:t>】</w:t>
      </w:r>
    </w:p>
    <w:p>
      <w:pPr>
        <w:ind w:firstLine="448" w:firstLineChars="249"/>
        <w:rPr>
          <w:rFonts w:hint="eastAsia"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宋体" w:hAnsi="宋体" w:cs="仿宋_GB2312"/>
          <w:kern w:val="0"/>
          <w:sz w:val="18"/>
          <w:szCs w:val="18"/>
        </w:rPr>
        <w:t>【丰收封闭式</w:t>
      </w:r>
      <w:r>
        <w:rPr>
          <w:rFonts w:hint="eastAsia" w:ascii="宋体" w:hAnsi="宋体" w:cs="仿宋_GB2312"/>
          <w:kern w:val="0"/>
          <w:sz w:val="18"/>
          <w:szCs w:val="18"/>
          <w:lang w:val="en-US" w:eastAsia="zh-CN"/>
        </w:rPr>
        <w:t>192</w:t>
      </w:r>
      <w:r>
        <w:rPr>
          <w:rFonts w:hint="eastAsia" w:ascii="宋体" w:hAnsi="宋体" w:cs="仿宋_GB2312"/>
          <w:kern w:val="0"/>
          <w:sz w:val="18"/>
          <w:szCs w:val="18"/>
        </w:rPr>
        <w:t>号A】（适用【A】类份额）</w:t>
      </w:r>
    </w:p>
    <w:p>
      <w:pPr>
        <w:ind w:firstLine="448" w:firstLineChars="249"/>
        <w:rPr>
          <w:rFonts w:hint="eastAsia" w:ascii="宋体" w:hAnsi="宋体" w:cs="仿宋_GB2312"/>
          <w:kern w:val="0"/>
          <w:sz w:val="18"/>
          <w:szCs w:val="18"/>
        </w:rPr>
      </w:pPr>
      <w:r>
        <w:rPr>
          <w:rFonts w:hint="eastAsia" w:ascii="宋体" w:hAnsi="宋体" w:cs="仿宋_GB2312"/>
          <w:kern w:val="0"/>
          <w:sz w:val="18"/>
          <w:szCs w:val="18"/>
        </w:rPr>
        <w:t>【丰收封闭式</w:t>
      </w:r>
      <w:r>
        <w:rPr>
          <w:rFonts w:hint="eastAsia" w:ascii="宋体" w:hAnsi="宋体" w:cs="仿宋_GB2312"/>
          <w:kern w:val="0"/>
          <w:sz w:val="18"/>
          <w:szCs w:val="18"/>
          <w:lang w:val="en-US" w:eastAsia="zh-CN"/>
        </w:rPr>
        <w:t>192</w:t>
      </w:r>
      <w:r>
        <w:rPr>
          <w:rFonts w:hint="eastAsia" w:ascii="宋体" w:hAnsi="宋体" w:cs="仿宋_GB2312"/>
          <w:kern w:val="0"/>
          <w:sz w:val="18"/>
          <w:szCs w:val="18"/>
        </w:rPr>
        <w:t>号B】（适用【B】类份额）</w:t>
      </w:r>
    </w:p>
    <w:p>
      <w:pPr>
        <w:ind w:firstLine="448" w:firstLineChars="249"/>
        <w:rPr>
          <w:rFonts w:ascii="宋体" w:hAnsi="宋体" w:cs="仿宋_GB2312"/>
          <w:kern w:val="0"/>
          <w:sz w:val="18"/>
          <w:szCs w:val="18"/>
        </w:rPr>
      </w:pPr>
      <w:r>
        <w:rPr>
          <w:rFonts w:hint="eastAsia" w:ascii="宋体" w:hAnsi="宋体" w:cs="仿宋_GB2312"/>
          <w:kern w:val="0"/>
          <w:sz w:val="18"/>
          <w:szCs w:val="18"/>
        </w:rPr>
        <w:t>【丰收封闭式</w:t>
      </w:r>
      <w:r>
        <w:rPr>
          <w:rFonts w:hint="eastAsia" w:ascii="宋体" w:hAnsi="宋体" w:cs="仿宋_GB2312"/>
          <w:kern w:val="0"/>
          <w:sz w:val="18"/>
          <w:szCs w:val="18"/>
          <w:lang w:val="en-US" w:eastAsia="zh-CN"/>
        </w:rPr>
        <w:t>192</w:t>
      </w:r>
      <w:r>
        <w:rPr>
          <w:rFonts w:hint="eastAsia" w:ascii="宋体" w:hAnsi="宋体" w:cs="仿宋_GB2312"/>
          <w:kern w:val="0"/>
          <w:sz w:val="18"/>
          <w:szCs w:val="18"/>
        </w:rPr>
        <w:t>号C】（适用【C】类份额）</w:t>
      </w:r>
    </w:p>
    <w:p>
      <w:pPr>
        <w:ind w:firstLine="448" w:firstLineChars="249"/>
        <w:rPr>
          <w:rFonts w:ascii="宋体" w:hAnsi="宋体" w:cs="仿宋_GB2312"/>
          <w:kern w:val="0"/>
          <w:sz w:val="18"/>
          <w:szCs w:val="18"/>
        </w:rPr>
      </w:pPr>
      <w:r>
        <w:rPr>
          <w:rFonts w:hint="eastAsia" w:ascii="宋体" w:hAnsi="宋体" w:cs="仿宋_GB2312"/>
          <w:kern w:val="0"/>
          <w:sz w:val="18"/>
          <w:szCs w:val="18"/>
        </w:rPr>
        <w:t>产品登记编码</w:t>
      </w:r>
      <w:r>
        <w:rPr>
          <w:rFonts w:ascii="宋体" w:hAnsi="宋体" w:cs="仿宋_GB2312"/>
          <w:kern w:val="0"/>
          <w:sz w:val="18"/>
          <w:szCs w:val="18"/>
        </w:rPr>
        <w:t>：【</w:t>
      </w:r>
      <w:r>
        <w:rPr>
          <w:rFonts w:hint="eastAsia" w:ascii="宋体" w:hAnsi="宋体" w:cs="仿宋_GB2312"/>
          <w:kern w:val="0"/>
          <w:sz w:val="18"/>
          <w:szCs w:val="18"/>
        </w:rPr>
        <w:t>Z7002025001552</w:t>
      </w:r>
      <w:r>
        <w:rPr>
          <w:rFonts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448" w:firstLineChars="249"/>
        <w:rPr>
          <w:rFonts w:ascii="宋体" w:hAnsi="宋体" w:cs="仿宋_GB2312"/>
          <w:kern w:val="0"/>
          <w:sz w:val="18"/>
          <w:szCs w:val="18"/>
        </w:rPr>
      </w:pPr>
      <w:r>
        <w:rPr>
          <w:rFonts w:hint="eastAsia" w:ascii="宋体" w:hAnsi="宋体" w:cs="仿宋_GB2312"/>
          <w:kern w:val="0"/>
          <w:sz w:val="18"/>
          <w:szCs w:val="18"/>
        </w:rPr>
        <w:t>【公募、封闭式、固定收益</w:t>
      </w:r>
      <w:r>
        <w:rPr>
          <w:rFonts w:ascii="宋体" w:hAnsi="宋体" w:cs="仿宋_GB2312"/>
          <w:kern w:val="0"/>
          <w:sz w:val="18"/>
          <w:szCs w:val="18"/>
        </w:rPr>
        <w:t>类</w:t>
      </w:r>
      <w:r>
        <w:rPr>
          <w:rFonts w:hint="eastAsia" w:ascii="宋体" w:hAnsi="宋体" w:cs="仿宋_GB2312"/>
          <w:kern w:val="0"/>
          <w:sz w:val="18"/>
          <w:szCs w:val="18"/>
        </w:rPr>
        <w:t>、非保本浮动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r>
        <w:rPr>
          <w:rFonts w:hint="eastAsia" w:asciiTheme="majorEastAsia" w:hAnsiTheme="majorEastAsia" w:eastAsiaTheme="majorEastAsia"/>
          <w:bCs/>
          <w:sz w:val="18"/>
          <w:szCs w:val="18"/>
          <w:lang w:val="en-US" w:eastAsia="zh-CN"/>
        </w:rPr>
        <w:t>369</w:t>
      </w:r>
      <w:r>
        <w:rPr>
          <w:rFonts w:hint="eastAsia" w:asciiTheme="majorEastAsia" w:hAnsiTheme="majorEastAsia" w:eastAsiaTheme="majorEastAsia"/>
          <w:bCs/>
          <w:sz w:val="18"/>
          <w:szCs w:val="18"/>
        </w:rPr>
        <w:t>天】</w:t>
      </w:r>
    </w:p>
    <w:p>
      <w:pPr>
        <w:ind w:firstLine="448" w:firstLineChars="249"/>
        <w:rPr>
          <w:rFonts w:ascii="宋体" w:hAnsi="宋体" w:cs="仿宋_GB2312"/>
          <w:kern w:val="0"/>
          <w:sz w:val="18"/>
          <w:szCs w:val="18"/>
        </w:rPr>
      </w:pPr>
      <w:r>
        <w:rPr>
          <w:rFonts w:hint="eastAsia" w:asciiTheme="majorEastAsia" w:hAnsiTheme="majorEastAsia" w:eastAsiaTheme="majorEastAsia"/>
          <w:bCs/>
          <w:sz w:val="18"/>
          <w:szCs w:val="18"/>
        </w:rPr>
        <w:t>□无固定期限</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本理财产品风险评级最终定义为【R</w:t>
      </w:r>
      <w:r>
        <w:rPr>
          <w:rFonts w:ascii="宋体" w:hAnsi="宋体" w:cs="仿宋_GB2312"/>
          <w:kern w:val="0"/>
          <w:sz w:val="18"/>
          <w:szCs w:val="18"/>
        </w:rPr>
        <w:t>2】</w:t>
      </w:r>
      <w:r>
        <w:rPr>
          <w:rFonts w:hint="eastAsia" w:ascii="宋体" w:hAnsi="宋体" w:cs="仿宋_GB2312"/>
          <w:kern w:val="0"/>
          <w:sz w:val="18"/>
          <w:szCs w:val="18"/>
        </w:rPr>
        <w:t>（产品管理人定义的产品风险评级为【R</w:t>
      </w:r>
      <w:r>
        <w:rPr>
          <w:rFonts w:ascii="宋体" w:hAnsi="宋体" w:cs="仿宋_GB2312"/>
          <w:kern w:val="0"/>
          <w:sz w:val="18"/>
          <w:szCs w:val="18"/>
        </w:rPr>
        <w:t>2</w:t>
      </w:r>
      <w:r>
        <w:rPr>
          <w:rFonts w:hint="eastAsia" w:ascii="宋体" w:hAnsi="宋体" w:cs="仿宋_GB2312"/>
          <w:kern w:val="0"/>
          <w:sz w:val="18"/>
          <w:szCs w:val="18"/>
        </w:rPr>
        <w:t>】；代理销售机构定义的产品风险评级为【R</w:t>
      </w:r>
      <w:r>
        <w:rPr>
          <w:rFonts w:ascii="宋体" w:hAnsi="宋体" w:cs="仿宋_GB2312"/>
          <w:kern w:val="0"/>
          <w:sz w:val="18"/>
          <w:szCs w:val="18"/>
        </w:rPr>
        <w:t>2</w:t>
      </w:r>
      <w:r>
        <w:rPr>
          <w:rFonts w:hint="eastAsia" w:ascii="宋体" w:hAnsi="宋体" w:cs="仿宋_GB2312"/>
          <w:kern w:val="0"/>
          <w:sz w:val="18"/>
          <w:szCs w:val="18"/>
        </w:rPr>
        <w:t>】）。</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C6】</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pStyle w:val="12"/>
        <w:ind w:firstLine="360"/>
        <w:rPr>
          <w:rFonts w:ascii="宋体" w:hAnsi="宋体"/>
          <w:bCs/>
          <w:sz w:val="18"/>
          <w:szCs w:val="18"/>
        </w:rPr>
      </w:pPr>
      <w:r>
        <w:rPr>
          <w:rFonts w:hint="eastAsia" w:ascii="宋体" w:hAnsi="宋体"/>
          <w:sz w:val="18"/>
          <w:szCs w:val="18"/>
        </w:rPr>
        <w:t>【</w:t>
      </w:r>
      <w:r>
        <w:rPr>
          <w:rFonts w:hint="eastAsia" w:ascii="宋体" w:hAnsi="宋体"/>
          <w:bCs/>
          <w:sz w:val="18"/>
          <w:szCs w:val="18"/>
        </w:rPr>
        <w:t>1、拟投资市场和资产的风险：</w:t>
      </w:r>
    </w:p>
    <w:p>
      <w:pPr>
        <w:pStyle w:val="12"/>
        <w:ind w:firstLine="360"/>
        <w:rPr>
          <w:rFonts w:ascii="宋体" w:hAnsi="宋体"/>
          <w:bCs/>
          <w:sz w:val="18"/>
          <w:szCs w:val="18"/>
        </w:rPr>
      </w:pPr>
      <w:r>
        <w:rPr>
          <w:rFonts w:hint="eastAsia" w:ascii="宋体" w:hAnsi="宋体"/>
          <w:bCs/>
          <w:sz w:val="18"/>
          <w:szCs w:val="18"/>
        </w:rPr>
        <w:t>（1）投资债权类资产的风险</w:t>
      </w:r>
    </w:p>
    <w:p>
      <w:pPr>
        <w:pStyle w:val="12"/>
        <w:ind w:firstLine="360"/>
        <w:rPr>
          <w:rFonts w:ascii="宋体" w:hAnsi="宋体"/>
          <w:bCs/>
          <w:sz w:val="18"/>
          <w:szCs w:val="18"/>
        </w:rPr>
      </w:pPr>
      <w:r>
        <w:rPr>
          <w:rFonts w:hint="eastAsia" w:ascii="宋体" w:hAnsi="宋体"/>
          <w:bCs/>
          <w:sz w:val="18"/>
          <w:szCs w:val="18"/>
        </w:rPr>
        <w:t>1）投资标准化债权类资产的风险</w:t>
      </w:r>
    </w:p>
    <w:p>
      <w:pPr>
        <w:pStyle w:val="12"/>
        <w:ind w:firstLine="36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pStyle w:val="12"/>
        <w:ind w:firstLine="360"/>
        <w:rPr>
          <w:rFonts w:ascii="宋体" w:hAnsi="宋体"/>
          <w:bCs/>
          <w:sz w:val="18"/>
          <w:szCs w:val="18"/>
        </w:rPr>
      </w:pPr>
      <w:r>
        <w:rPr>
          <w:rFonts w:hint="eastAsia" w:ascii="宋体" w:hAnsi="宋体"/>
          <w:bCs/>
          <w:sz w:val="18"/>
          <w:szCs w:val="18"/>
        </w:rPr>
        <w:t xml:space="preserve">（2）投资商品和金融衍生品类资产的风险 </w:t>
      </w:r>
    </w:p>
    <w:p>
      <w:pPr>
        <w:ind w:firstLine="360" w:firstLineChars="200"/>
        <w:rPr>
          <w:rFonts w:ascii="宋体" w:hAnsi="宋体"/>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r>
        <w:rPr>
          <w:rFonts w:hint="eastAsia" w:ascii="宋体" w:hAnsi="宋体"/>
          <w:sz w:val="18"/>
          <w:szCs w:val="18"/>
        </w:rPr>
        <w:t>】</w:t>
      </w:r>
    </w:p>
    <w:p>
      <w:pPr>
        <w:pStyle w:val="12"/>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pStyle w:val="12"/>
        <w:ind w:firstLine="426"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p>
    <w:p>
      <w:pPr>
        <w:pStyle w:val="12"/>
        <w:ind w:firstLine="426" w:firstLineChars="0"/>
        <w:rPr>
          <w:rFonts w:ascii="宋体" w:hAnsi="宋体" w:cs="仿宋_GB2312"/>
          <w:kern w:val="0"/>
          <w:sz w:val="18"/>
          <w:szCs w:val="18"/>
        </w:rPr>
      </w:pP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2"/>
        <w:ind w:firstLine="426" w:firstLineChars="0"/>
        <w:rPr>
          <w:rFonts w:ascii="宋体" w:hAnsi="宋体"/>
          <w:b/>
          <w:bCs/>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p>
    <w:p>
      <w:pPr>
        <w:pStyle w:val="12"/>
        <w:ind w:firstLine="426" w:firstLineChars="0"/>
        <w:rPr>
          <w:rFonts w:ascii="宋体" w:hAnsi="宋体" w:cs="仿宋_GB2312"/>
          <w:kern w:val="0"/>
          <w:sz w:val="18"/>
          <w:szCs w:val="18"/>
        </w:rPr>
      </w:pP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2"/>
        <w:ind w:firstLine="426" w:firstLineChars="0"/>
        <w:rPr>
          <w:rFonts w:ascii="宋体" w:hAnsi="宋体"/>
          <w:b/>
          <w:bCs/>
          <w:sz w:val="18"/>
          <w:szCs w:val="18"/>
        </w:rPr>
      </w:pPr>
      <w:r>
        <w:rPr>
          <w:rFonts w:hint="eastAsia" w:ascii="宋体" w:hAnsi="宋体"/>
          <w:b/>
          <w:bCs/>
          <w:sz w:val="18"/>
          <w:szCs w:val="18"/>
        </w:rPr>
        <w:t>3.市场</w:t>
      </w:r>
      <w:r>
        <w:rPr>
          <w:rFonts w:ascii="宋体" w:hAnsi="宋体"/>
          <w:b/>
          <w:bCs/>
          <w:sz w:val="18"/>
          <w:szCs w:val="18"/>
        </w:rPr>
        <w:t>风险</w:t>
      </w:r>
    </w:p>
    <w:p>
      <w:pPr>
        <w:pStyle w:val="12"/>
        <w:ind w:firstLine="426" w:firstLineChars="0"/>
        <w:rPr>
          <w:rFonts w:ascii="宋体" w:hAnsi="宋体" w:cs="仿宋_GB2312"/>
          <w:kern w:val="0"/>
          <w:sz w:val="18"/>
          <w:szCs w:val="18"/>
        </w:rPr>
      </w:pP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2"/>
        <w:ind w:firstLine="426" w:firstLineChars="0"/>
        <w:rPr>
          <w:rFonts w:ascii="宋体" w:hAnsi="宋体" w:cs="仿宋_GB2312"/>
          <w:b/>
          <w:kern w:val="0"/>
          <w:sz w:val="18"/>
          <w:szCs w:val="18"/>
        </w:rPr>
      </w:pPr>
      <w:r>
        <w:rPr>
          <w:rFonts w:hint="eastAsia" w:ascii="宋体" w:hAnsi="宋体" w:cs="仿宋_GB2312"/>
          <w:b/>
          <w:kern w:val="0"/>
          <w:sz w:val="18"/>
          <w:szCs w:val="18"/>
        </w:rPr>
        <w:t>4.流动性风险</w:t>
      </w:r>
    </w:p>
    <w:p>
      <w:pPr>
        <w:pStyle w:val="12"/>
        <w:ind w:firstLine="426" w:firstLineChars="0"/>
        <w:rPr>
          <w:rFonts w:ascii="宋体" w:hAnsi="宋体" w:cs="仿宋_GB2312"/>
          <w:bCs/>
          <w:kern w:val="0"/>
          <w:sz w:val="18"/>
          <w:szCs w:val="18"/>
        </w:rPr>
      </w:pPr>
      <w:r>
        <w:rPr>
          <w:rFonts w:hint="eastAsia" w:ascii="宋体" w:hAnsi="宋体" w:cs="仿宋_GB2312"/>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2"/>
        <w:ind w:firstLine="426" w:firstLineChars="0"/>
        <w:rPr>
          <w:rFonts w:ascii="宋体" w:hAnsi="宋体" w:cs="仿宋_GB2312"/>
          <w:b/>
          <w:kern w:val="0"/>
          <w:sz w:val="18"/>
          <w:szCs w:val="18"/>
        </w:rPr>
      </w:pPr>
      <w:r>
        <w:rPr>
          <w:rFonts w:hint="eastAsia" w:ascii="宋体" w:hAnsi="宋体" w:cs="仿宋_GB2312"/>
          <w:b/>
          <w:kern w:val="0"/>
          <w:sz w:val="18"/>
          <w:szCs w:val="18"/>
        </w:rPr>
        <w:t>5.</w:t>
      </w:r>
      <w:r>
        <w:rPr>
          <w:rFonts w:ascii="宋体" w:hAnsi="宋体" w:cs="仿宋_GB2312"/>
          <w:b/>
          <w:kern w:val="0"/>
          <w:sz w:val="18"/>
          <w:szCs w:val="18"/>
        </w:rPr>
        <w:t>法律与政策风险</w:t>
      </w:r>
    </w:p>
    <w:p>
      <w:pPr>
        <w:pStyle w:val="12"/>
        <w:ind w:firstLine="426" w:firstLineChars="0"/>
        <w:rPr>
          <w:rFonts w:ascii="宋体" w:hAnsi="宋体" w:cs="仿宋_GB2312"/>
          <w:kern w:val="0"/>
          <w:sz w:val="18"/>
          <w:szCs w:val="18"/>
        </w:rPr>
      </w:pP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2"/>
        <w:ind w:firstLine="426" w:firstLineChars="0"/>
        <w:rPr>
          <w:rFonts w:ascii="宋体" w:hAnsi="宋体"/>
          <w:b/>
          <w:bCs/>
          <w:sz w:val="18"/>
          <w:szCs w:val="18"/>
        </w:rPr>
      </w:pPr>
      <w:r>
        <w:rPr>
          <w:rFonts w:hint="eastAsia" w:ascii="宋体" w:hAnsi="宋体"/>
          <w:b/>
          <w:bCs/>
          <w:sz w:val="18"/>
          <w:szCs w:val="18"/>
        </w:rPr>
        <w:t>6.</w:t>
      </w:r>
      <w:r>
        <w:rPr>
          <w:rFonts w:ascii="宋体" w:hAnsi="宋体"/>
          <w:b/>
          <w:bCs/>
          <w:sz w:val="18"/>
          <w:szCs w:val="18"/>
        </w:rPr>
        <w:t>延期</w:t>
      </w:r>
      <w:r>
        <w:rPr>
          <w:rFonts w:hint="eastAsia" w:ascii="宋体" w:hAnsi="宋体"/>
          <w:b/>
          <w:bCs/>
          <w:sz w:val="18"/>
          <w:szCs w:val="18"/>
        </w:rPr>
        <w:t>终止</w:t>
      </w:r>
      <w:r>
        <w:rPr>
          <w:rFonts w:ascii="宋体" w:hAnsi="宋体"/>
          <w:b/>
          <w:bCs/>
          <w:sz w:val="18"/>
          <w:szCs w:val="18"/>
        </w:rPr>
        <w:t>风险</w:t>
      </w:r>
    </w:p>
    <w:p>
      <w:pPr>
        <w:pStyle w:val="12"/>
        <w:ind w:firstLine="426" w:firstLineChars="0"/>
        <w:rPr>
          <w:rFonts w:ascii="宋体" w:hAnsi="宋体" w:cs="仿宋_GB2312"/>
          <w:kern w:val="0"/>
          <w:sz w:val="18"/>
          <w:szCs w:val="18"/>
        </w:rPr>
      </w:pP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2"/>
        <w:ind w:firstLine="426" w:firstLineChars="0"/>
        <w:rPr>
          <w:rFonts w:ascii="宋体" w:hAnsi="宋体" w:cs="仿宋_GB2312"/>
          <w:b/>
          <w:kern w:val="0"/>
          <w:sz w:val="18"/>
          <w:szCs w:val="18"/>
        </w:rPr>
      </w:pPr>
      <w:r>
        <w:rPr>
          <w:rFonts w:hint="eastAsia" w:ascii="宋体" w:hAnsi="宋体" w:cs="仿宋_GB2312"/>
          <w:b/>
          <w:kern w:val="0"/>
          <w:sz w:val="18"/>
          <w:szCs w:val="18"/>
        </w:rPr>
        <w:t>7.</w:t>
      </w:r>
      <w:r>
        <w:rPr>
          <w:rFonts w:ascii="宋体" w:hAnsi="宋体" w:cs="仿宋_GB2312"/>
          <w:b/>
          <w:kern w:val="0"/>
          <w:sz w:val="18"/>
          <w:szCs w:val="18"/>
        </w:rPr>
        <w:t>提前终止风险</w:t>
      </w:r>
    </w:p>
    <w:p>
      <w:pPr>
        <w:pStyle w:val="12"/>
        <w:ind w:firstLine="426" w:firstLineChars="0"/>
        <w:rPr>
          <w:rFonts w:ascii="宋体" w:hAnsi="宋体" w:cs="仿宋_GB2312"/>
          <w:kern w:val="0"/>
          <w:sz w:val="18"/>
          <w:szCs w:val="18"/>
        </w:rPr>
      </w:pPr>
      <w:r>
        <w:rPr>
          <w:rFonts w:hint="eastAsia" w:ascii="宋体" w:hAnsi="宋体" w:cs="仿宋_GB2312"/>
          <w:kern w:val="0"/>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pStyle w:val="12"/>
        <w:ind w:firstLine="426" w:firstLineChars="0"/>
        <w:rPr>
          <w:rFonts w:ascii="黑体" w:hAnsi="黑体" w:eastAsia="黑体" w:cs="黑体"/>
          <w:b/>
          <w:bCs/>
          <w:sz w:val="18"/>
          <w:szCs w:val="18"/>
        </w:rPr>
      </w:pPr>
      <w:r>
        <w:rPr>
          <w:rFonts w:hint="eastAsia" w:ascii="黑体" w:hAnsi="黑体" w:eastAsia="黑体" w:cs="黑体"/>
          <w:b/>
          <w:bCs/>
          <w:sz w:val="18"/>
          <w:szCs w:val="18"/>
        </w:rPr>
        <w:t>8.</w:t>
      </w:r>
      <w:r>
        <w:rPr>
          <w:rFonts w:hint="eastAsia" w:ascii="黑体" w:hAnsi="黑体" w:eastAsia="黑体" w:cs="黑体"/>
          <w:sz w:val="18"/>
          <w:szCs w:val="18"/>
        </w:rPr>
        <w:t>★</w:t>
      </w:r>
      <w:r>
        <w:rPr>
          <w:rFonts w:hint="eastAsia" w:ascii="黑体" w:hAnsi="黑体" w:eastAsia="黑体" w:cs="黑体"/>
          <w:b/>
          <w:bCs/>
          <w:sz w:val="18"/>
          <w:szCs w:val="18"/>
        </w:rPr>
        <w:t>信息传递风险</w:t>
      </w:r>
    </w:p>
    <w:p>
      <w:pPr>
        <w:pStyle w:val="12"/>
        <w:ind w:firstLine="426" w:firstLineChars="0"/>
        <w:rPr>
          <w:rFonts w:ascii="黑体" w:hAnsi="黑体" w:eastAsia="黑体" w:cs="黑体"/>
          <w:kern w:val="0"/>
          <w:sz w:val="18"/>
          <w:szCs w:val="18"/>
        </w:rPr>
      </w:pPr>
      <w:r>
        <w:rPr>
          <w:rFonts w:hint="eastAsia" w:ascii="黑体" w:hAnsi="黑体" w:eastAsia="黑体" w:cs="黑体"/>
          <w:kern w:val="0"/>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b/>
          <w:bCs/>
          <w:sz w:val="18"/>
          <w:szCs w:val="18"/>
        </w:rPr>
      </w:pPr>
      <w:r>
        <w:rPr>
          <w:rFonts w:hint="eastAsia" w:ascii="宋体" w:hAnsi="宋体"/>
          <w:b/>
          <w:bCs/>
          <w:sz w:val="18"/>
          <w:szCs w:val="18"/>
        </w:rPr>
        <w:t>9.</w:t>
      </w:r>
      <w:r>
        <w:rPr>
          <w:rFonts w:ascii="宋体" w:hAnsi="宋体"/>
          <w:b/>
          <w:bCs/>
          <w:sz w:val="18"/>
          <w:szCs w:val="18"/>
        </w:rPr>
        <w:t>不可抗力及意外事件风险</w:t>
      </w:r>
    </w:p>
    <w:p>
      <w:pPr>
        <w:ind w:firstLine="360" w:firstLineChars="200"/>
        <w:rPr>
          <w:rFonts w:ascii="宋体" w:hAnsi="宋体"/>
          <w:bCs/>
          <w:sz w:val="18"/>
          <w:szCs w:val="18"/>
        </w:rPr>
      </w:pPr>
      <w:r>
        <w:rPr>
          <w:rFonts w:hint="eastAsia" w:ascii="宋体" w:hAnsi="宋体"/>
          <w:bCs/>
          <w:sz w:val="18"/>
          <w:szCs w:val="18"/>
        </w:rPr>
        <w:t>因战争、自然灾害、重大政治事件等不可抗力以及其他不可预见的意外事件可能致使理财产品面临损失的风险。</w:t>
      </w:r>
    </w:p>
    <w:p>
      <w:pPr>
        <w:pStyle w:val="12"/>
        <w:ind w:firstLine="361"/>
        <w:rPr>
          <w:rFonts w:ascii="宋体" w:hAnsi="宋体"/>
          <w:b/>
          <w:bCs/>
          <w:sz w:val="18"/>
          <w:szCs w:val="18"/>
        </w:rPr>
      </w:pPr>
      <w:r>
        <w:rPr>
          <w:rFonts w:hint="eastAsia" w:ascii="宋体" w:hAnsi="宋体"/>
          <w:b/>
          <w:bCs/>
          <w:sz w:val="18"/>
          <w:szCs w:val="18"/>
        </w:rPr>
        <w:t>10.</w:t>
      </w:r>
      <w:r>
        <w:rPr>
          <w:rFonts w:ascii="宋体" w:hAnsi="宋体"/>
          <w:b/>
          <w:bCs/>
          <w:sz w:val="18"/>
          <w:szCs w:val="18"/>
        </w:rPr>
        <w:t>管理人风险</w:t>
      </w:r>
    </w:p>
    <w:p>
      <w:pPr>
        <w:pStyle w:val="12"/>
        <w:ind w:firstLine="360"/>
        <w:rPr>
          <w:rFonts w:ascii="宋体" w:hAnsi="宋体"/>
          <w:bCs/>
          <w:sz w:val="18"/>
          <w:szCs w:val="18"/>
        </w:rPr>
      </w:pP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2"/>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1.理财产品不成立风险</w:t>
      </w:r>
    </w:p>
    <w:p>
      <w:pPr>
        <w:pStyle w:val="12"/>
        <w:ind w:firstLine="360"/>
        <w:rPr>
          <w:rFonts w:ascii="宋体" w:hAnsi="宋体"/>
          <w:bCs/>
          <w:sz w:val="18"/>
          <w:szCs w:val="18"/>
        </w:rPr>
      </w:pP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2"/>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2.</w:t>
      </w:r>
      <w:r>
        <w:rPr>
          <w:rFonts w:ascii="宋体" w:hAnsi="宋体"/>
          <w:b/>
          <w:bCs/>
          <w:sz w:val="18"/>
          <w:szCs w:val="18"/>
        </w:rPr>
        <w:t>操作风险</w:t>
      </w:r>
    </w:p>
    <w:p>
      <w:pPr>
        <w:pStyle w:val="12"/>
        <w:ind w:firstLine="360"/>
        <w:rPr>
          <w:rFonts w:ascii="宋体" w:hAnsi="宋体"/>
          <w:bCs/>
          <w:sz w:val="18"/>
          <w:szCs w:val="18"/>
        </w:rPr>
      </w:pP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2"/>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p>
    <w:p>
      <w:pPr>
        <w:pStyle w:val="12"/>
        <w:ind w:firstLine="360"/>
        <w:rPr>
          <w:rFonts w:ascii="宋体" w:hAnsi="宋体"/>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本理财产品可能</w:t>
      </w:r>
      <w:r>
        <w:rPr>
          <w:rFonts w:asciiTheme="majorEastAsia" w:hAnsiTheme="majorEastAsia" w:eastAsiaTheme="majorEastAsia"/>
          <w:bCs/>
          <w:color w:val="000000" w:themeColor="text1"/>
          <w:sz w:val="18"/>
          <w:szCs w:val="18"/>
          <w14:textFill>
            <w14:solidFill>
              <w14:schemeClr w14:val="tx1"/>
            </w14:solidFill>
          </w14:textFill>
        </w:rPr>
        <w:t>投资符合监管</w:t>
      </w:r>
      <w:r>
        <w:rPr>
          <w:rFonts w:hint="eastAsia" w:asciiTheme="majorEastAsia" w:hAnsiTheme="majorEastAsia" w:eastAsiaTheme="majorEastAsia"/>
          <w:bCs/>
          <w:color w:val="000000" w:themeColor="text1"/>
          <w:sz w:val="18"/>
          <w:szCs w:val="18"/>
          <w14:textFill>
            <w14:solidFill>
              <w14:schemeClr w14:val="tx1"/>
            </w14:solidFill>
          </w14:textFill>
        </w:rPr>
        <w:t>要求的资产管理产品（包括但不限于信托计划、</w:t>
      </w:r>
      <w:r>
        <w:rPr>
          <w:rFonts w:hint="eastAsia" w:asciiTheme="majorEastAsia" w:hAnsiTheme="majorEastAsia" w:eastAsiaTheme="majorEastAsia"/>
          <w:bCs/>
          <w:color w:val="000000" w:themeColor="text1"/>
          <w:kern w:val="0"/>
          <w:sz w:val="18"/>
          <w:szCs w:val="18"/>
          <w14:textFill>
            <w14:solidFill>
              <w14:schemeClr w14:val="tx1"/>
            </w14:solidFill>
          </w14:textFill>
        </w:rPr>
        <w:t>公募基金、基金公司或子公司资产管理计划、证券公司资产管理计划、</w:t>
      </w:r>
      <w:r>
        <w:rPr>
          <w:rFonts w:hint="eastAsia" w:asciiTheme="majorEastAsia" w:hAnsiTheme="majorEastAsia" w:eastAsiaTheme="majorEastAsia"/>
          <w:bCs/>
          <w:color w:val="000000" w:themeColor="text1"/>
          <w:sz w:val="18"/>
          <w:szCs w:val="18"/>
          <w14:textFill>
            <w14:solidFill>
              <w14:schemeClr w14:val="tx1"/>
            </w14:solidFill>
          </w14:textFill>
        </w:rPr>
        <w:t>期货资产管理计划、</w:t>
      </w:r>
      <w:r>
        <w:rPr>
          <w:rFonts w:hint="eastAsia" w:asciiTheme="majorEastAsia" w:hAnsiTheme="majorEastAsia" w:eastAsiaTheme="majorEastAsia"/>
          <w:bCs/>
          <w:color w:val="000000" w:themeColor="text1"/>
          <w:kern w:val="0"/>
          <w:sz w:val="18"/>
          <w:szCs w:val="18"/>
          <w14:textFill>
            <w14:solidFill>
              <w14:schemeClr w14:val="tx1"/>
            </w14:solidFill>
          </w14:textFill>
        </w:rPr>
        <w:t>保险资产管理计划</w:t>
      </w:r>
      <w:r>
        <w:rPr>
          <w:rFonts w:hint="eastAsia" w:asciiTheme="majorEastAsia" w:hAnsiTheme="majorEastAsia" w:eastAsiaTheme="majorEastAsia"/>
          <w:bCs/>
          <w:color w:val="000000" w:themeColor="text1"/>
          <w:sz w:val="18"/>
          <w:szCs w:val="18"/>
          <w14:textFill>
            <w14:solidFill>
              <w14:schemeClr w14:val="tx1"/>
            </w14:solidFill>
          </w14:textFill>
        </w:rPr>
        <w:t>等），前述资产管理产品的管理人可能收取</w:t>
      </w:r>
      <w:r>
        <w:rPr>
          <w:rFonts w:asciiTheme="majorEastAsia" w:hAnsiTheme="majorEastAsia" w:eastAsiaTheme="majorEastAsia"/>
          <w:bCs/>
          <w:color w:val="000000" w:themeColor="text1"/>
          <w:sz w:val="18"/>
          <w:szCs w:val="18"/>
          <w14:textFill>
            <w14:solidFill>
              <w14:schemeClr w14:val="tx1"/>
            </w14:solidFill>
          </w14:textFill>
        </w:rPr>
        <w:t>业绩报酬，</w:t>
      </w:r>
      <w:r>
        <w:rPr>
          <w:rFonts w:hint="eastAsia" w:asciiTheme="majorEastAsia" w:hAnsiTheme="majorEastAsia" w:eastAsiaTheme="majorEastAsia"/>
          <w:bCs/>
          <w:color w:val="000000" w:themeColor="text1"/>
          <w:sz w:val="18"/>
          <w:szCs w:val="18"/>
          <w14:textFill>
            <w14:solidFill>
              <w14:schemeClr w14:val="tx1"/>
            </w14:solidFill>
          </w14:textFill>
        </w:rPr>
        <w:t>当前述资产管理产品计提业绩报酬时，本理财产品的产品份额净值存在下跌的风险。</w:t>
      </w:r>
    </w:p>
    <w:p>
      <w:pPr>
        <w:pStyle w:val="12"/>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4.</w:t>
      </w:r>
      <w:r>
        <w:rPr>
          <w:rFonts w:ascii="宋体" w:hAnsi="宋体"/>
          <w:b/>
          <w:bCs/>
          <w:sz w:val="18"/>
          <w:szCs w:val="18"/>
        </w:rPr>
        <w:t>估值差错风险</w:t>
      </w:r>
    </w:p>
    <w:p>
      <w:pPr>
        <w:pStyle w:val="12"/>
        <w:ind w:firstLine="360"/>
        <w:rPr>
          <w:rFonts w:ascii="宋体" w:hAnsi="宋体"/>
          <w:bCs/>
          <w:sz w:val="18"/>
          <w:szCs w:val="18"/>
        </w:rPr>
      </w:pP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理财投资基础资产时涉及对资产估值不准确、及时的，理财产品管理人及产品托管人对理财产品费用计提出现错误，将导致本产品估值差错，可能影响理财产品份额净值。</w:t>
      </w:r>
    </w:p>
    <w:p>
      <w:pPr>
        <w:pStyle w:val="12"/>
        <w:ind w:firstLine="361"/>
        <w:rPr>
          <w:rFonts w:ascii="黑体" w:hAnsi="黑体" w:eastAsia="黑体" w:cs="黑体"/>
          <w:b/>
          <w:bCs/>
          <w:sz w:val="18"/>
          <w:szCs w:val="18"/>
        </w:rPr>
      </w:pPr>
      <w:r>
        <w:rPr>
          <w:rFonts w:hint="eastAsia" w:ascii="黑体" w:hAnsi="黑体" w:eastAsia="黑体" w:cs="黑体"/>
          <w:b/>
          <w:bCs/>
          <w:sz w:val="18"/>
          <w:szCs w:val="18"/>
        </w:rPr>
        <w:t>15.</w:t>
      </w:r>
      <w:r>
        <w:rPr>
          <w:rFonts w:hint="eastAsia" w:ascii="黑体" w:hAnsi="黑体" w:eastAsia="黑体" w:cs="黑体"/>
          <w:sz w:val="18"/>
          <w:szCs w:val="18"/>
        </w:rPr>
        <w:t>★</w:t>
      </w:r>
      <w:r>
        <w:rPr>
          <w:rFonts w:hint="eastAsia" w:ascii="黑体" w:hAnsi="黑体" w:eastAsia="黑体" w:cs="黑体"/>
          <w:b/>
          <w:bCs/>
          <w:sz w:val="18"/>
          <w:szCs w:val="18"/>
        </w:rPr>
        <w:t>代销风险</w:t>
      </w:r>
    </w:p>
    <w:p>
      <w:pPr>
        <w:pStyle w:val="12"/>
        <w:ind w:firstLine="360"/>
        <w:rPr>
          <w:rFonts w:ascii="黑体" w:hAnsi="黑体" w:eastAsia="黑体" w:cs="黑体"/>
          <w:bCs/>
          <w:sz w:val="18"/>
          <w:szCs w:val="18"/>
        </w:rPr>
      </w:pPr>
      <w:r>
        <w:rPr>
          <w:rFonts w:hint="eastAsia" w:ascii="黑体" w:hAnsi="黑体" w:eastAsia="黑体" w:cs="黑体"/>
          <w:bCs/>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b/>
          <w:bCs/>
          <w:sz w:val="18"/>
          <w:szCs w:val="18"/>
        </w:rPr>
        <w:t>1</w:t>
      </w:r>
      <w:r>
        <w:rPr>
          <w:rFonts w:hint="eastAsia" w:ascii="黑体" w:hAnsi="黑体" w:eastAsia="黑体"/>
          <w:b/>
          <w:bCs/>
          <w:sz w:val="18"/>
          <w:szCs w:val="18"/>
        </w:rPr>
        <w:t>6</w:t>
      </w:r>
      <w:r>
        <w:rPr>
          <w:rFonts w:ascii="黑体" w:hAnsi="黑体" w:eastAsia="黑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sz w:val="18"/>
          <w:szCs w:val="18"/>
        </w:rPr>
        <w:t>投资者认购申购和赎回的数量限制、投资者持有本产品的最高限额最低限额、计算和公告产品份额净值方面存在差异。</w:t>
      </w:r>
    </w:p>
    <w:p>
      <w:pPr>
        <w:pStyle w:val="12"/>
        <w:ind w:firstLineChars="0"/>
        <w:rPr>
          <w:rFonts w:ascii="宋体" w:hAnsi="宋体"/>
          <w:b/>
          <w:bCs/>
          <w:sz w:val="18"/>
          <w:szCs w:val="18"/>
        </w:rPr>
      </w:pPr>
      <w:r>
        <w:rPr>
          <w:rFonts w:hint="eastAsia" w:ascii="宋体" w:hAnsi="宋体"/>
          <w:b/>
          <w:bCs/>
          <w:sz w:val="18"/>
          <w:szCs w:val="18"/>
        </w:rPr>
        <w:t>17.关联交易风险</w:t>
      </w:r>
    </w:p>
    <w:p>
      <w:pPr>
        <w:pStyle w:val="12"/>
        <w:ind w:firstLineChars="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（三）</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color w:val="000000"/>
          <w:kern w:val="0"/>
          <w:sz w:val="18"/>
          <w:szCs w:val="18"/>
        </w:rPr>
        <w:t>五、【非机构投资者适用】</w:t>
      </w:r>
      <w:r>
        <w:rPr>
          <w:rFonts w:hint="eastAsia" w:ascii="黑体" w:hAnsi="黑体" w:eastAsia="黑体" w:cs="仿宋_GB2312"/>
          <w:kern w:val="0"/>
          <w:sz w:val="18"/>
          <w:szCs w:val="18"/>
        </w:rPr>
        <w:t>《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sz w:val="18"/>
          <w:szCs w:val="18"/>
        </w:rPr>
        <w:t>六、【非机构投资者适用】当销售机构销售产品风险评级为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wordWrap w:val="0"/>
        <w:ind w:left="540"/>
        <w:jc w:val="right"/>
        <w:rPr>
          <w:rFonts w:ascii="宋体" w:hAnsi="宋体"/>
          <w:sz w:val="18"/>
          <w:szCs w:val="18"/>
        </w:rPr>
      </w:pPr>
      <w:r>
        <w:rPr>
          <w:rFonts w:hint="eastAsia" w:ascii="宋体" w:hAnsi="宋体"/>
          <w:sz w:val="18"/>
          <w:szCs w:val="18"/>
        </w:rPr>
        <w:t xml:space="preserve">销售机构（【  </w:t>
      </w:r>
      <w:r>
        <w:rPr>
          <w:rFonts w:ascii="宋体" w:hAnsi="宋体"/>
          <w:sz w:val="18"/>
          <w:szCs w:val="18"/>
        </w:rPr>
        <w:t xml:space="preserve">                 </w:t>
      </w:r>
      <w:r>
        <w:rPr>
          <w:rFonts w:hint="eastAsia" w:ascii="宋体" w:hAnsi="宋体"/>
          <w:sz w:val="18"/>
          <w:szCs w:val="18"/>
        </w:rPr>
        <w:t>】）</w:t>
      </w:r>
    </w:p>
    <w:p>
      <w:pPr>
        <w:widowControl/>
        <w:jc w:val="left"/>
        <w:rPr>
          <w:rFonts w:ascii="宋体" w:hAnsi="宋体"/>
          <w:sz w:val="18"/>
          <w:szCs w:val="18"/>
        </w:rPr>
      </w:pPr>
      <w:r>
        <w:rPr>
          <w:rFonts w:ascii="宋体" w:hAnsi="宋体"/>
          <w:sz w:val="18"/>
          <w:szCs w:val="18"/>
        </w:rPr>
        <w:br w:type="page"/>
      </w:r>
    </w:p>
    <w:p>
      <w:pPr>
        <w:ind w:left="540"/>
        <w:jc w:val="right"/>
        <w:rPr>
          <w:rFonts w:ascii="宋体" w:hAnsi="宋体"/>
          <w:sz w:val="18"/>
          <w:szCs w:val="18"/>
        </w:rPr>
      </w:pPr>
    </w:p>
    <w:p>
      <w:pPr>
        <w:ind w:left="540"/>
        <w:jc w:val="right"/>
        <w:rPr>
          <w:rFonts w:ascii="宋体" w:hAnsi="宋体"/>
          <w:sz w:val="18"/>
          <w:szCs w:val="18"/>
        </w:rPr>
      </w:pPr>
    </w:p>
    <w:tbl>
      <w:tblPr>
        <w:tblStyle w:val="8"/>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w:t>
            </w:r>
            <w:r>
              <w:rPr>
                <w:rFonts w:ascii="宋体" w:hAnsi="宋体" w:cs="Arial"/>
                <w:kern w:val="0"/>
                <w:sz w:val="18"/>
                <w:szCs w:val="18"/>
              </w:rPr>
              <w:t>签名</w:t>
            </w:r>
            <w:r>
              <w:rPr>
                <w:rFonts w:hint="eastAsia" w:ascii="宋体" w:hAnsi="宋体" w:cs="Arial"/>
                <w:kern w:val="0"/>
                <w:sz w:val="18"/>
                <w:szCs w:val="18"/>
              </w:rPr>
              <w:t>/线上确认：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b/>
                <w:kern w:val="0"/>
                <w:sz w:val="18"/>
                <w:szCs w:val="18"/>
              </w:rPr>
            </w:pPr>
            <w:r>
              <w:rPr>
                <w:rFonts w:hint="eastAsia"/>
                <w:b/>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8"/>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w:t>
            </w:r>
            <w:r>
              <w:rPr>
                <w:rFonts w:ascii="宋体" w:hAnsi="宋体" w:cs="Arial"/>
                <w:kern w:val="0"/>
                <w:sz w:val="18"/>
                <w:szCs w:val="18"/>
              </w:rPr>
              <w:t>签名</w:t>
            </w:r>
            <w:r>
              <w:rPr>
                <w:rFonts w:hint="eastAsia" w:ascii="宋体" w:hAnsi="宋体" w:cs="Arial"/>
                <w:kern w:val="0"/>
                <w:sz w:val="18"/>
                <w:szCs w:val="18"/>
              </w:rPr>
              <w:t>/盖章/线上确认）：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ascii="宋体" w:hAnsi="宋体"/>
          <w:b/>
          <w:sz w:val="28"/>
          <w:szCs w:val="28"/>
        </w:rPr>
      </w:pPr>
    </w:p>
    <w:p>
      <w:pPr>
        <w:autoSpaceDE w:val="0"/>
        <w:autoSpaceDN w:val="0"/>
        <w:adjustRightInd w:val="0"/>
        <w:spacing w:line="360" w:lineRule="auto"/>
        <w:ind w:firstLine="420"/>
        <w:jc w:val="left"/>
        <w:rPr>
          <w:rFonts w:ascii="宋体" w:hAnsi="宋体"/>
          <w:sz w:val="24"/>
        </w:rPr>
      </w:pPr>
    </w:p>
    <w:p>
      <w:pPr>
        <w:sectPr>
          <w:headerReference r:id="rId9" w:type="default"/>
          <w:footerReference r:id="rId10" w:type="default"/>
          <w:pgSz w:w="11906" w:h="16838"/>
          <w:pgMar w:top="1440" w:right="1800" w:bottom="1440" w:left="1800" w:header="567" w:footer="964" w:gutter="0"/>
          <w:cols w:space="425" w:num="1"/>
          <w:docGrid w:type="lines" w:linePitch="312" w:charSpace="0"/>
        </w:sectPr>
      </w:pPr>
    </w:p>
    <w:p>
      <w:pPr>
        <w:adjustRightInd w:val="0"/>
        <w:spacing w:line="276" w:lineRule="auto"/>
        <w:jc w:val="center"/>
        <w:rPr>
          <w:rStyle w:val="10"/>
          <w:rFonts w:ascii="黑体" w:hAnsi="黑体" w:eastAsia="黑体"/>
          <w:sz w:val="28"/>
          <w:szCs w:val="28"/>
        </w:rPr>
      </w:pPr>
      <w:r>
        <w:rPr>
          <w:rStyle w:val="10"/>
          <w:rFonts w:hint="eastAsia" w:ascii="黑体" w:hAnsi="黑体" w:eastAsia="黑体"/>
          <w:sz w:val="28"/>
          <w:szCs w:val="28"/>
        </w:rPr>
        <w:t>兴银理财【丰收封闭式固收类】理财产品</w:t>
      </w:r>
    </w:p>
    <w:p>
      <w:pPr>
        <w:adjustRightInd w:val="0"/>
        <w:spacing w:line="276" w:lineRule="auto"/>
        <w:jc w:val="center"/>
        <w:rPr>
          <w:rStyle w:val="10"/>
          <w:rFonts w:ascii="黑体" w:hAnsi="黑体" w:eastAsia="黑体"/>
          <w:sz w:val="28"/>
          <w:szCs w:val="28"/>
        </w:rPr>
      </w:pPr>
      <w:r>
        <w:rPr>
          <w:rStyle w:val="10"/>
          <w:rFonts w:hint="eastAsia" w:ascii="黑体" w:hAnsi="黑体" w:eastAsia="黑体"/>
          <w:sz w:val="28"/>
          <w:szCs w:val="28"/>
        </w:rPr>
        <w:t>投资者权益须知</w:t>
      </w:r>
    </w:p>
    <w:p>
      <w:pPr>
        <w:pStyle w:val="14"/>
        <w:jc w:val="center"/>
        <w:rPr>
          <w:rFonts w:hAnsi="宋体"/>
          <w:b/>
          <w:color w:val="auto"/>
          <w:sz w:val="28"/>
          <w:szCs w:val="28"/>
        </w:rPr>
      </w:pPr>
      <w:r>
        <w:rPr>
          <w:rFonts w:hint="eastAsia" w:hAnsi="宋体"/>
          <w:b/>
          <w:color w:val="auto"/>
          <w:sz w:val="28"/>
          <w:szCs w:val="28"/>
        </w:rPr>
        <w:t>（适用于个人投资者）</w:t>
      </w:r>
    </w:p>
    <w:p>
      <w:pPr>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w:t>
      </w:r>
      <w:r>
        <w:rPr>
          <w:rFonts w:hint="eastAsia" w:asciiTheme="majorEastAsia" w:hAnsiTheme="majorEastAsia" w:eastAsiaTheme="majorEastAsia"/>
          <w:bCs/>
          <w:sz w:val="18"/>
          <w:szCs w:val="18"/>
        </w:rPr>
        <w:t>■</w:t>
      </w:r>
      <w:r>
        <w:rPr>
          <w:rFonts w:hint="eastAsia" w:ascii="宋体" w:hAnsi="宋体"/>
          <w:sz w:val="18"/>
          <w:szCs w:val="18"/>
        </w:rPr>
        <w:t xml:space="preserve">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 xml:space="preserve"> </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0" w:firstLineChars="200"/>
        <w:rPr>
          <w:rFonts w:ascii="宋体" w:hAnsi="宋体"/>
          <w:sz w:val="18"/>
          <w:szCs w:val="18"/>
        </w:rPr>
      </w:pPr>
      <w:r>
        <w:rPr>
          <w:rFonts w:ascii="宋体" w:hAnsi="宋体"/>
          <w:sz w:val="18"/>
          <w:szCs w:val="18"/>
        </w:rPr>
        <w:t>2</w:t>
      </w:r>
      <w:r>
        <w:rPr>
          <w:rFonts w:hint="eastAsia" w:ascii="宋体" w:hAnsi="宋体"/>
          <w:sz w:val="18"/>
          <w:szCs w:val="18"/>
        </w:rPr>
        <w:t xml:space="preserve">. </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C2、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C5</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w:t>
      </w:r>
      <w:r>
        <w:rPr>
          <w:rFonts w:hint="eastAsia" w:asciiTheme="majorEastAsia" w:hAnsiTheme="majorEastAsia" w:eastAsiaTheme="majorEastAsia"/>
          <w:bCs/>
          <w:sz w:val="18"/>
          <w:szCs w:val="18"/>
        </w:rPr>
        <w:t>6</w:t>
      </w:r>
      <w:r>
        <w:rPr>
          <w:rFonts w:hint="eastAsia" w:ascii="宋体" w:hAnsi="宋体"/>
          <w:sz w:val="18"/>
          <w:szCs w:val="18"/>
        </w:rPr>
        <w:t>】</w:t>
      </w:r>
      <w:r>
        <w:rPr>
          <w:rFonts w:ascii="宋体" w:hAnsi="宋体"/>
          <w:sz w:val="18"/>
          <w:szCs w:val="18"/>
        </w:rPr>
        <w:t>。其中，</w:t>
      </w:r>
      <w:r>
        <w:rPr>
          <w:rFonts w:hint="eastAsia" w:ascii="宋体" w:hAnsi="宋体"/>
          <w:sz w:val="18"/>
          <w:szCs w:val="18"/>
        </w:rPr>
        <w:t>【C</w:t>
      </w:r>
      <w:r>
        <w:rPr>
          <w:rFonts w:ascii="宋体" w:hAnsi="宋体"/>
          <w:sz w:val="18"/>
          <w:szCs w:val="18"/>
        </w:rPr>
        <w:t>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【C</w:t>
      </w:r>
      <w:r>
        <w:rPr>
          <w:rFonts w:ascii="宋体" w:hAnsi="宋体"/>
          <w:sz w:val="18"/>
          <w:szCs w:val="18"/>
        </w:rPr>
        <w:t>6</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16"/>
        <w:gridCol w:w="4821"/>
        <w:gridCol w:w="28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激进型（R6）</w:t>
            </w: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极大，收益浮动且波动极大。产品结构复杂，过往业绩及净值的历史波动率很高；或者投资标的流动性很差或为极低等级的信用主体，期限很长；或者投资衍生品以追求收益为目的，衍生品及杠杆交易对净值波动极大；估值政策非常复杂。投资者需要非常谨慎的产品选择、十分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激进型（C6）</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ind w:firstLine="361" w:firstLineChars="200"/>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ind w:right="84" w:rightChars="40"/>
        <w:jc w:val="right"/>
        <w:rPr>
          <w:rFonts w:ascii="宋体" w:hAnsi="宋体"/>
          <w:sz w:val="18"/>
          <w:szCs w:val="18"/>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rPr>
          <w:rStyle w:val="10"/>
          <w:rFonts w:ascii="黑体" w:hAnsi="黑体" w:eastAsia="黑体"/>
          <w:sz w:val="28"/>
          <w:szCs w:val="28"/>
        </w:rPr>
      </w:pPr>
      <w:r>
        <w:rPr>
          <w:rStyle w:val="10"/>
          <w:rFonts w:hint="eastAsia" w:ascii="黑体" w:hAnsi="黑体" w:eastAsia="黑体"/>
          <w:sz w:val="28"/>
          <w:szCs w:val="28"/>
        </w:rPr>
        <w:t>兴银理财【丰收封闭式固收类】理财产品</w:t>
      </w:r>
    </w:p>
    <w:p>
      <w:pPr>
        <w:adjustRightInd w:val="0"/>
        <w:spacing w:line="280" w:lineRule="atLeast"/>
        <w:jc w:val="center"/>
        <w:rPr>
          <w:rStyle w:val="10"/>
          <w:rFonts w:ascii="黑体" w:hAnsi="黑体" w:eastAsia="黑体"/>
          <w:sz w:val="28"/>
          <w:szCs w:val="28"/>
        </w:rPr>
      </w:pPr>
      <w:r>
        <w:rPr>
          <w:rStyle w:val="10"/>
          <w:rFonts w:hint="eastAsia" w:ascii="黑体" w:hAnsi="黑体" w:eastAsia="黑体"/>
          <w:sz w:val="28"/>
          <w:szCs w:val="28"/>
        </w:rPr>
        <w:t>投资者权益须知</w:t>
      </w:r>
    </w:p>
    <w:p>
      <w:pPr>
        <w:pStyle w:val="14"/>
        <w:spacing w:line="280" w:lineRule="atLeast"/>
        <w:jc w:val="center"/>
        <w:rPr>
          <w:rFonts w:hAnsi="宋体"/>
          <w:b/>
          <w:color w:val="auto"/>
          <w:sz w:val="28"/>
          <w:szCs w:val="28"/>
        </w:rPr>
      </w:pPr>
      <w:r>
        <w:rPr>
          <w:rFonts w:hint="eastAsia" w:hAnsi="宋体"/>
          <w:b/>
          <w:color w:val="auto"/>
          <w:sz w:val="28"/>
          <w:szCs w:val="28"/>
        </w:rPr>
        <w:t>（适用于机构投资者）</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w:t>
      </w:r>
      <w:r>
        <w:rPr>
          <w:rFonts w:hint="eastAsia" w:ascii="宋体" w:hAnsi="宋体"/>
          <w:sz w:val="18"/>
          <w:szCs w:val="18"/>
          <w:lang w:val="en-US" w:eastAsia="zh-CN"/>
        </w:rPr>
        <w:t xml:space="preserve"> </w:t>
      </w:r>
      <w:r>
        <w:rPr>
          <w:rFonts w:hint="eastAsia" w:ascii="宋体" w:hAnsi="宋体"/>
          <w:sz w:val="18"/>
          <w:szCs w:val="18"/>
        </w:rPr>
        <w:t>】以(□ 直销：产品管理人销售/</w:t>
      </w:r>
      <w:r>
        <w:rPr>
          <w:rFonts w:hint="eastAsia" w:asciiTheme="majorEastAsia" w:hAnsiTheme="majorEastAsia" w:eastAsiaTheme="majorEastAsia"/>
          <w:bCs/>
          <w:sz w:val="18"/>
          <w:szCs w:val="18"/>
        </w:rPr>
        <w:t>■</w:t>
      </w:r>
      <w:r>
        <w:rPr>
          <w:rFonts w:hint="eastAsia" w:ascii="宋体" w:hAnsi="宋体"/>
          <w:sz w:val="18"/>
          <w:szCs w:val="18"/>
        </w:rPr>
        <w:t xml:space="preserve">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 xml:space="preserve"> </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C2、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C5</w:t>
      </w:r>
      <w:r>
        <w:rPr>
          <w:rFonts w:hint="eastAsia" w:ascii="宋体" w:hAnsi="宋体"/>
          <w:sz w:val="18"/>
          <w:szCs w:val="18"/>
        </w:rPr>
        <w:t>】</w:t>
      </w:r>
      <w:r>
        <w:rPr>
          <w:rFonts w:ascii="宋体" w:hAnsi="宋体"/>
          <w:sz w:val="18"/>
          <w:szCs w:val="18"/>
        </w:rPr>
        <w:t>。其中，</w:t>
      </w:r>
      <w:r>
        <w:rPr>
          <w:rFonts w:hint="eastAsia" w:ascii="宋体" w:hAnsi="宋体"/>
          <w:sz w:val="18"/>
          <w:szCs w:val="18"/>
        </w:rPr>
        <w:t>【</w:t>
      </w:r>
      <w:r>
        <w:rPr>
          <w:rFonts w:asciiTheme="majorEastAsia" w:hAnsiTheme="majorEastAsia" w:eastAsiaTheme="majorEastAsia"/>
          <w:bCs/>
          <w:sz w:val="18"/>
          <w:szCs w:val="18"/>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Theme="majorEastAsia" w:hAnsiTheme="majorEastAsia" w:eastAsiaTheme="majorEastAsia"/>
          <w:bCs/>
          <w:sz w:val="18"/>
          <w:szCs w:val="18"/>
        </w:rPr>
        <w:t>C</w:t>
      </w:r>
      <w:r>
        <w:rPr>
          <w:rFonts w:hint="eastAsia" w:asciiTheme="majorEastAsia" w:hAnsiTheme="majorEastAsia" w:eastAsiaTheme="majorEastAsia"/>
          <w:bCs/>
          <w:sz w:val="18"/>
          <w:szCs w:val="18"/>
        </w:rPr>
        <w:t>5</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16"/>
        <w:gridCol w:w="4814"/>
        <w:gridCol w:w="285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R1</w:t>
            </w: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sz w:val="18"/>
                <w:szCs w:val="18"/>
              </w:rPr>
              <w:t>产品结构简单，所投资资产综合风险很低，产品具有很高流动性。</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R2</w:t>
            </w: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sz w:val="18"/>
                <w:szCs w:val="18"/>
              </w:rPr>
              <w:t>产品结构简单，所投资资产综合风险较低。</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R3</w:t>
            </w: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sz w:val="18"/>
                <w:szCs w:val="18"/>
              </w:rPr>
              <w:t>产品结构简单，所投资资产综合风险中等。</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R4</w:t>
            </w: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sz w:val="18"/>
                <w:szCs w:val="18"/>
              </w:rPr>
              <w:t>产品结构较简单，所投资资产综合风险较高。</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R5</w:t>
            </w: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hint="eastAsia" w:ascii="宋体" w:hAnsi="宋体"/>
                <w:sz w:val="18"/>
                <w:szCs w:val="18"/>
              </w:rPr>
              <w:t>产品结构较复杂或所投资资产综合风险高。</w:t>
            </w: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r>
              <w:rPr>
                <w:rFonts w:ascii="宋体" w:hAnsi="宋体"/>
                <w:sz w:val="18"/>
                <w:szCs w:val="18"/>
              </w:rPr>
              <w:t>C5及以上</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0" w:firstLineChars="200"/>
        <w:rPr>
          <w:rFonts w:asciiTheme="minorEastAsia" w:hAnsiTheme="minorEastAsia"/>
          <w:sz w:val="18"/>
          <w:szCs w:val="18"/>
        </w:rPr>
      </w:pPr>
      <w:r>
        <w:rPr>
          <w:rFonts w:hint="eastAsia" w:asciiTheme="minorEastAsia" w:hAnsiTheme="minorEastAsia"/>
          <w:sz w:val="18"/>
          <w:szCs w:val="18"/>
        </w:rPr>
        <w:t xml:space="preserve"> </w:t>
      </w: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rPr>
          <w:rFonts w:ascii="宋体" w:hAnsi="宋体"/>
          <w:b/>
          <w:sz w:val="28"/>
          <w:szCs w:val="28"/>
        </w:rPr>
      </w:pPr>
    </w:p>
    <w:p/>
    <w:sectPr>
      <w:headerReference r:id="rId11" w:type="default"/>
      <w:footerReference r:id="rId12" w:type="default"/>
      <w:pgSz w:w="11906" w:h="16838"/>
      <w:pgMar w:top="1440" w:right="1800" w:bottom="1440" w:left="1800" w:header="567" w:footer="96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925579"/>
    </w:sdtPr>
    <w:sdtContent>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61253"/>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3202528"/>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pPr>
      <w:pStyle w:val="4"/>
      <w:jc w:val="right"/>
      <w:rPr>
        <w:rFonts w:ascii="Times New Roman" w:hAnsi="Times New Roman"/>
        <w:b/>
      </w:rPr>
    </w:pPr>
    <w:r>
      <w:rPr>
        <w:rFonts w:hint="eastAsia" w:ascii="Times New Roman" w:hAnsi="Times New Roman"/>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1E3F26"/>
    <w:rsid w:val="2BBE5BA7"/>
    <w:rsid w:val="2C1B0530"/>
    <w:rsid w:val="637F58C5"/>
    <w:rsid w:val="7C32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0"/>
    <w:pPr>
      <w:ind w:firstLine="420" w:firstLineChars="200"/>
    </w:pPr>
  </w:style>
  <w:style w:type="paragraph" w:customStyle="1" w:styleId="1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2025-06-06T03:06:00Z</dcterms:created>
  <dc:creator>cib</dc:creator>
  <cp:lastModifiedBy>cib</cp:lastModifiedBy>
  <dcterms:modified xsi:type="dcterms:W3CDTF">2025-10-11T10:43:15Z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y fmtid="{D5CDD505-2E9C-101B-9397-08002B2CF9AE}" pid="3" name="KSOTemplateDocerSaveRecord">
    <vt:lpwstr>eyJoZGlkIjoiOTdmYzk5MzE3MzE2ZjRkMDJlYTVjYjU0OTJiNmI0ZmQiLCJ1c2VySWQiOiIxNjg0MDUwMDc0In0=</vt:lpwstr>
  </property>
  <property fmtid="{D5CDD505-2E9C-101B-9397-08002B2CF9AE}" pid="4" name="ICV">
    <vt:lpwstr>99C6F80A476D4FB9B4E41A465BE1AE73_12</vt:lpwstr>
  </property>
</Properties>
</file>