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r>
        <w:rPr>
          <w:rStyle w:val="27"/>
          <w:rFonts w:hint="eastAsia" w:ascii="宋体" w:hAnsi="宋体" w:cs="Times New Roman"/>
          <w:sz w:val="32"/>
          <w:szCs w:val="32"/>
          <w:lang w:val="en-US" w:eastAsia="zh-CN"/>
        </w:rPr>
        <w:t>2025</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11</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permStart w:id="2" w:edGrp="everyone"/>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【丰收封闭式固收类】</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【丰收封闭式固收类】</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【丰收封闭式固收类】</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【丰收封闭式固收类】</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【丰收封闭式固收类】</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【丰收封闭式固收类】</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【丰收封闭式固收类】</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【丰收封闭式固收类】</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【丰收封闭式固收类】</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176189754"/>
      <w:bookmarkStart w:id="3" w:name="_Toc79154665"/>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kern w:val="0"/>
                <w:sz w:val="18"/>
                <w:szCs w:val="18"/>
              </w:rPr>
              <w:t>【兴银理财丰收封闭式195号固收类理财产品】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jc w:val="left"/>
              <w:rPr>
                <w:rFonts w:hint="eastAsia" w:ascii="宋体" w:hAnsi="宋体"/>
                <w:bCs/>
                <w:sz w:val="18"/>
                <w:szCs w:val="18"/>
              </w:rPr>
            </w:pPr>
            <w:r>
              <w:rPr>
                <w:rFonts w:hint="eastAsia" w:ascii="宋体" w:hAnsi="宋体"/>
                <w:bCs/>
                <w:sz w:val="18"/>
                <w:szCs w:val="18"/>
              </w:rPr>
              <w:t>【丰收封闭式1</w:t>
            </w:r>
            <w:r>
              <w:rPr>
                <w:rFonts w:hint="eastAsia" w:ascii="宋体" w:hAnsi="宋体"/>
                <w:bCs/>
                <w:sz w:val="18"/>
                <w:szCs w:val="18"/>
                <w:lang w:val="en-US" w:eastAsia="zh-CN"/>
              </w:rPr>
              <w:t>95</w:t>
            </w:r>
            <w:r>
              <w:rPr>
                <w:rFonts w:hint="eastAsia" w:ascii="宋体" w:hAnsi="宋体"/>
                <w:bCs/>
                <w:sz w:val="18"/>
                <w:szCs w:val="18"/>
              </w:rPr>
              <w:t>号A】（适用【</w:t>
            </w:r>
            <w:r>
              <w:rPr>
                <w:rFonts w:hint="eastAsia" w:ascii="宋体" w:hAnsi="宋体"/>
                <w:bCs/>
                <w:sz w:val="18"/>
                <w:szCs w:val="18"/>
                <w:lang w:val="en-US" w:eastAsia="zh-CN"/>
              </w:rPr>
              <w:t>A</w:t>
            </w:r>
            <w:r>
              <w:rPr>
                <w:rFonts w:hint="eastAsia" w:ascii="宋体" w:hAnsi="宋体"/>
                <w:bCs/>
                <w:sz w:val="18"/>
                <w:szCs w:val="18"/>
              </w:rPr>
              <w:t>】类份额）</w:t>
            </w:r>
          </w:p>
          <w:p>
            <w:pPr>
              <w:spacing w:line="360" w:lineRule="auto"/>
              <w:jc w:val="left"/>
              <w:rPr>
                <w:rFonts w:hint="eastAsia" w:ascii="宋体" w:hAnsi="宋体"/>
                <w:bCs/>
                <w:sz w:val="18"/>
                <w:szCs w:val="18"/>
              </w:rPr>
            </w:pPr>
            <w:r>
              <w:rPr>
                <w:rFonts w:hint="eastAsia" w:ascii="宋体" w:hAnsi="宋体"/>
                <w:bCs/>
                <w:sz w:val="18"/>
                <w:szCs w:val="18"/>
              </w:rPr>
              <w:t>【丰收封闭式1</w:t>
            </w:r>
            <w:r>
              <w:rPr>
                <w:rFonts w:hint="eastAsia" w:ascii="宋体" w:hAnsi="宋体"/>
                <w:bCs/>
                <w:sz w:val="18"/>
                <w:szCs w:val="18"/>
                <w:lang w:val="en-US" w:eastAsia="zh-CN"/>
              </w:rPr>
              <w:t>95</w:t>
            </w:r>
            <w:r>
              <w:rPr>
                <w:rFonts w:hint="eastAsia" w:ascii="宋体" w:hAnsi="宋体"/>
                <w:bCs/>
                <w:sz w:val="18"/>
                <w:szCs w:val="18"/>
              </w:rPr>
              <w:t>号B】（适用【</w:t>
            </w:r>
            <w:r>
              <w:rPr>
                <w:rFonts w:hint="eastAsia" w:ascii="宋体" w:hAnsi="宋体"/>
                <w:bCs/>
                <w:sz w:val="18"/>
                <w:szCs w:val="18"/>
                <w:lang w:val="en-US" w:eastAsia="zh-CN"/>
              </w:rPr>
              <w:t>B</w:t>
            </w:r>
            <w:r>
              <w:rPr>
                <w:rFonts w:hint="eastAsia" w:ascii="宋体" w:hAnsi="宋体"/>
                <w:bCs/>
                <w:sz w:val="18"/>
                <w:szCs w:val="18"/>
              </w:rPr>
              <w:t>】类份额）</w:t>
            </w:r>
          </w:p>
          <w:p>
            <w:pPr>
              <w:widowControl/>
              <w:spacing w:line="360" w:lineRule="auto"/>
              <w:jc w:val="left"/>
              <w:rPr>
                <w:rFonts w:ascii="宋体" w:hAnsi="宋体"/>
                <w:kern w:val="0"/>
                <w:sz w:val="22"/>
              </w:rPr>
            </w:pPr>
            <w:r>
              <w:rPr>
                <w:rFonts w:hint="eastAsia" w:ascii="宋体" w:hAnsi="宋体"/>
                <w:bCs/>
                <w:sz w:val="18"/>
                <w:szCs w:val="18"/>
              </w:rPr>
              <w:t>【丰收封闭式1</w:t>
            </w:r>
            <w:r>
              <w:rPr>
                <w:rFonts w:hint="eastAsia" w:ascii="宋体" w:hAnsi="宋体"/>
                <w:bCs/>
                <w:sz w:val="18"/>
                <w:szCs w:val="18"/>
                <w:lang w:val="en-US" w:eastAsia="zh-CN"/>
              </w:rPr>
              <w:t>95</w:t>
            </w:r>
            <w:r>
              <w:rPr>
                <w:rFonts w:hint="eastAsia" w:ascii="宋体" w:hAnsi="宋体"/>
                <w:bCs/>
                <w:sz w:val="18"/>
                <w:szCs w:val="18"/>
              </w:rPr>
              <w:t>号C】（适用【</w:t>
            </w:r>
            <w:r>
              <w:rPr>
                <w:rFonts w:hint="eastAsia" w:ascii="宋体" w:hAnsi="宋体"/>
                <w:bCs/>
                <w:sz w:val="18"/>
                <w:szCs w:val="18"/>
                <w:lang w:val="en-US" w:eastAsia="zh-CN"/>
              </w:rPr>
              <w:t>C</w:t>
            </w:r>
            <w:r>
              <w:rPr>
                <w:rFonts w:hint="eastAsia" w:ascii="宋体" w:hAnsi="宋体"/>
                <w:bCs/>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【Z7002025001547】</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sz w:val="18"/>
                <w:szCs w:val="18"/>
              </w:rPr>
              <w:t>9C311950】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9C3119</w:t>
            </w:r>
            <w:r>
              <w:rPr>
                <w:rFonts w:hint="eastAsia" w:ascii="宋体" w:hAnsi="宋体"/>
                <w:bCs/>
                <w:sz w:val="18"/>
                <w:szCs w:val="18"/>
                <w:lang w:val="en-US" w:eastAsia="zh-CN"/>
              </w:rPr>
              <w:t>5</w:t>
            </w:r>
            <w:r>
              <w:rPr>
                <w:rFonts w:hint="eastAsia" w:ascii="宋体" w:hAnsi="宋体"/>
                <w:bCs/>
                <w:color w:val="000000" w:themeColor="text1"/>
                <w:sz w:val="18"/>
                <w:szCs w:val="18"/>
                <w14:textFill>
                  <w14:solidFill>
                    <w14:schemeClr w14:val="tx1"/>
                  </w14:solidFill>
                </w14:textFill>
              </w:rPr>
              <w:t>A】（适用【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9C3119</w:t>
            </w:r>
            <w:r>
              <w:rPr>
                <w:rFonts w:hint="eastAsia" w:ascii="宋体" w:hAnsi="宋体"/>
                <w:bCs/>
                <w:sz w:val="18"/>
                <w:szCs w:val="18"/>
                <w:lang w:val="en-US" w:eastAsia="zh-CN"/>
              </w:rPr>
              <w:t>5</w:t>
            </w:r>
            <w:r>
              <w:rPr>
                <w:rFonts w:hint="eastAsia" w:ascii="宋体" w:hAnsi="宋体"/>
                <w:bCs/>
                <w:color w:val="000000" w:themeColor="text1"/>
                <w:sz w:val="18"/>
                <w:szCs w:val="18"/>
                <w14:textFill>
                  <w14:solidFill>
                    <w14:schemeClr w14:val="tx1"/>
                  </w14:solidFill>
                </w14:textFill>
              </w:rPr>
              <w:t>B】（适用【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jc w:val="left"/>
              <w:rPr>
                <w:rFonts w:hAnsi="宋体"/>
                <w:sz w:val="18"/>
                <w:szCs w:val="18"/>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9C3119</w:t>
            </w:r>
            <w:r>
              <w:rPr>
                <w:rFonts w:hint="eastAsia" w:ascii="宋体" w:hAnsi="宋体"/>
                <w:bCs/>
                <w:sz w:val="18"/>
                <w:szCs w:val="18"/>
                <w:lang w:val="en-US" w:eastAsia="zh-CN"/>
              </w:rPr>
              <w:t>5</w:t>
            </w:r>
            <w:r>
              <w:rPr>
                <w:rFonts w:hint="eastAsia" w:ascii="宋体" w:hAnsi="宋体"/>
                <w:bCs/>
                <w:color w:val="000000" w:themeColor="text1"/>
                <w:sz w:val="18"/>
                <w:szCs w:val="18"/>
                <w14:textFill>
                  <w14:solidFill>
                    <w14:schemeClr w14:val="tx1"/>
                  </w14:solidFill>
                </w14:textFill>
              </w:rPr>
              <w:t>C】（适用【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30</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hint="eastAsia" w:asciiTheme="majorEastAsia" w:hAnsiTheme="majorEastAsia" w:eastAsiaTheme="majorEastAsia"/>
                <w:bCs/>
                <w:sz w:val="18"/>
                <w:szCs w:val="18"/>
                <w:lang w:val="en-US" w:eastAsia="zh-CN"/>
              </w:rPr>
              <w:t>363天</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11</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13</w:t>
            </w:r>
            <w:r>
              <w:rPr>
                <w:rFonts w:hint="eastAsia" w:cs="Times New Roman" w:asciiTheme="minorEastAsia" w:hAnsiTheme="minorEastAsia"/>
                <w:sz w:val="18"/>
                <w:szCs w:val="18"/>
              </w:rPr>
              <w:t>】日【</w:t>
            </w:r>
            <w:r>
              <w:rPr>
                <w:rFonts w:hint="eastAsia" w:cs="Times New Roman" w:asciiTheme="minorEastAsia" w:hAnsiTheme="minorEastAsia"/>
                <w:sz w:val="18"/>
                <w:szCs w:val="18"/>
                <w:lang w:val="en-US" w:eastAsia="zh-CN"/>
              </w:rPr>
              <w:t>09:00</w:t>
            </w:r>
            <w:r>
              <w:rPr>
                <w:rFonts w:hint="eastAsia" w:cs="Times New Roman" w:asciiTheme="minorEastAsia" w:hAnsiTheme="minorEastAsia"/>
                <w:sz w:val="18"/>
                <w:szCs w:val="18"/>
              </w:rPr>
              <w:t>】</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11</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19</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w:t>
            </w:r>
            <w:r>
              <w:rPr>
                <w:rFonts w:hint="eastAsia" w:asciiTheme="majorEastAsia" w:hAnsiTheme="majorEastAsia" w:eastAsiaTheme="majorEastAsia"/>
                <w:sz w:val="18"/>
                <w:szCs w:val="18"/>
                <w:lang w:val="en-US" w:eastAsia="zh-CN"/>
              </w:rPr>
              <w:t>17:00</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11</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20</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2026</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11</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18</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hint="eastAsia" w:asciiTheme="majorEastAsia" w:hAnsiTheme="majorEastAsia" w:eastAsiaTheme="majorEastAsia"/>
                <w:bCs/>
                <w:sz w:val="18"/>
                <w:szCs w:val="18"/>
                <w:lang w:val="en-US" w:eastAsia="zh-CN"/>
              </w:rPr>
              <w:t>1</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】类份额）</w:t>
            </w:r>
            <w:bookmarkStart w:id="156" w:name="_GoBack"/>
            <w:bookmarkEnd w:id="156"/>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sz w:val="18"/>
                <w:szCs w:val="18"/>
              </w:rPr>
            </w:pPr>
            <w:r>
              <w:rPr>
                <w:rFonts w:hAnsi="宋体"/>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 xml:space="preserve">■ </w:t>
            </w:r>
            <w:r>
              <w:rPr>
                <w:rFonts w:hint="eastAsia" w:asciiTheme="majorEastAsia" w:hAnsiTheme="majorEastAsia" w:eastAsiaTheme="majorEastAsia"/>
                <w:kern w:val="0"/>
                <w:sz w:val="18"/>
                <w:szCs w:val="18"/>
              </w:rPr>
              <w:t>产品管理人设置业绩比较基准。</w:t>
            </w:r>
          </w:p>
          <w:p>
            <w:pPr>
              <w:autoSpaceDE w:val="0"/>
              <w:autoSpaceDN w:val="0"/>
              <w:adjustRightInd w:val="0"/>
              <w:spacing w:line="360" w:lineRule="auto"/>
              <w:jc w:val="left"/>
              <w:rPr>
                <w:rFonts w:asciiTheme="majorEastAsia" w:hAnsiTheme="majorEastAsia" w:eastAsiaTheme="majorEastAsia"/>
                <w:bCs/>
                <w:sz w:val="18"/>
                <w:szCs w:val="18"/>
              </w:rPr>
            </w:pPr>
            <w:r>
              <w:rPr>
                <w:rFonts w:hint="eastAsia" w:ascii="宋体" w:hAnsi="宋体"/>
                <w:bCs/>
                <w:sz w:val="18"/>
                <w:szCs w:val="18"/>
              </w:rPr>
              <w:t>（</w:t>
            </w:r>
            <w:r>
              <w:rPr>
                <w:rFonts w:ascii="宋体" w:hAnsi="宋体"/>
                <w:bCs/>
                <w:sz w:val="18"/>
                <w:szCs w:val="18"/>
              </w:rPr>
              <w:t>1）业绩比较基准的说明：</w:t>
            </w:r>
            <w:r>
              <w:rPr>
                <w:rFonts w:hint="eastAsia" w:ascii="宋体" w:hAnsi="宋体"/>
                <w:bCs/>
                <w:sz w:val="18"/>
                <w:szCs w:val="18"/>
              </w:rPr>
              <w:t>【以一年期定期存款利率为无风险利率，基于当前对未来市场的判断，根据拟投资债权类资产的信用利差、久期敞口以及流动性溢价，预判组合的波动幅度</w:t>
            </w:r>
            <w:r>
              <w:rPr>
                <w:rFonts w:ascii="宋体" w:hAnsi="宋体"/>
                <w:bCs/>
                <w:sz w:val="18"/>
                <w:szCs w:val="18"/>
              </w:rPr>
              <w:t>】</w:t>
            </w:r>
            <w:r>
              <w:rPr>
                <w:rFonts w:hint="eastAsia" w:asciiTheme="majorEastAsia" w:hAnsiTheme="majorEastAsia" w:eastAsiaTheme="majorEastAsia"/>
                <w:bCs/>
                <w:sz w:val="18"/>
                <w:szCs w:val="18"/>
              </w:rPr>
              <w:t>。</w:t>
            </w:r>
          </w:p>
          <w:p>
            <w:pPr>
              <w:spacing w:line="360" w:lineRule="auto"/>
              <w:jc w:val="left"/>
              <w:rPr>
                <w:rFonts w:hint="eastAsia" w:asciiTheme="majorEastAsia" w:hAnsiTheme="majorEastAsia"/>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w:t>
            </w:r>
            <w:r>
              <w:rPr>
                <w:rFonts w:hint="eastAsia" w:ascii="宋体" w:hAnsi="宋体"/>
                <w:bCs/>
                <w:sz w:val="18"/>
                <w:szCs w:val="18"/>
                <w:lang w:val="en-US" w:eastAsia="zh-CN"/>
              </w:rPr>
              <w:t>1.8</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1.9</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1</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Theme="majorEastAsia" w:hAnsiTheme="majorEastAsia" w:eastAsiaTheme="majorEastAsia"/>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2.05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25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Cs/>
                <w:sz w:val="18"/>
                <w:szCs w:val="18"/>
              </w:rPr>
            </w:pPr>
            <w:r>
              <w:rPr>
                <w:rFonts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hint="eastAsia" w:asciiTheme="majorEastAsia" w:hAnsiTheme="majorEastAsia" w:eastAsiaTheme="majorEastAsia"/>
                <w:bCs/>
                <w:sz w:val="18"/>
                <w:szCs w:val="18"/>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hint="eastAsia"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2）销售服</w:t>
            </w:r>
            <w:r>
              <w:rPr>
                <w:rFonts w:hint="eastAsia" w:ascii="黑体" w:hAnsi="黑体" w:eastAsia="黑体"/>
                <w:bCs/>
                <w:color w:val="000000" w:themeColor="text1"/>
                <w:sz w:val="18"/>
                <w:szCs w:val="18"/>
                <w14:textFill>
                  <w14:solidFill>
                    <w14:schemeClr w14:val="tx1"/>
                  </w14:solidFill>
                </w14:textFill>
              </w:rPr>
              <w:t>务费：</w:t>
            </w:r>
          </w:p>
          <w:p>
            <w:pPr>
              <w:spacing w:line="360" w:lineRule="auto"/>
              <w:rPr>
                <w:rFonts w:hint="eastAsia" w:ascii="黑体" w:hAnsi="黑体" w:eastAsia="黑体"/>
                <w:bCs/>
                <w:sz w:val="18"/>
                <w:szCs w:val="18"/>
              </w:rPr>
            </w:pPr>
            <w:r>
              <w:rPr>
                <w:rFonts w:hint="eastAsia" w:ascii="黑体" w:hAnsi="黑体" w:eastAsia="黑体"/>
                <w:bCs/>
                <w:sz w:val="18"/>
                <w:szCs w:val="18"/>
              </w:rPr>
              <w:t>A类份额：年化费率【0.25%】;</w:t>
            </w:r>
          </w:p>
          <w:p>
            <w:pPr>
              <w:spacing w:line="360" w:lineRule="auto"/>
              <w:rPr>
                <w:rFonts w:hint="eastAsia" w:ascii="黑体" w:hAnsi="黑体" w:eastAsia="黑体"/>
                <w:bCs/>
                <w:sz w:val="18"/>
                <w:szCs w:val="18"/>
              </w:rPr>
            </w:pPr>
            <w:r>
              <w:rPr>
                <w:rFonts w:hint="eastAsia" w:ascii="黑体" w:hAnsi="黑体" w:eastAsia="黑体"/>
                <w:bCs/>
                <w:sz w:val="18"/>
                <w:szCs w:val="18"/>
              </w:rPr>
              <w:t>B类份额：年化费率【0.15%】;</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sz w:val="18"/>
                <w:szCs w:val="18"/>
              </w:rPr>
              <w:t>C类份额：年化费率【0.00%】。</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3）投资管理费：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【0</w:t>
            </w:r>
            <w:r>
              <w:rPr>
                <w:rFonts w:ascii="黑体" w:hAnsi="黑体" w:eastAsia="黑体"/>
                <w:sz w:val="18"/>
                <w:szCs w:val="18"/>
              </w:rPr>
              <w:t>.</w:t>
            </w:r>
            <w:r>
              <w:rPr>
                <w:rFonts w:hint="eastAsia" w:ascii="黑体" w:hAnsi="黑体" w:eastAsia="黑体"/>
                <w:sz w:val="18"/>
                <w:szCs w:val="18"/>
                <w:lang w:val="en-US" w:eastAsia="zh-CN"/>
              </w:rPr>
              <w:t>14</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【0</w:t>
            </w:r>
            <w:r>
              <w:rPr>
                <w:rFonts w:ascii="黑体" w:hAnsi="黑体" w:eastAsia="黑体"/>
                <w:sz w:val="18"/>
                <w:szCs w:val="18"/>
              </w:rPr>
              <w:t>.0</w:t>
            </w:r>
            <w:r>
              <w:rPr>
                <w:rFonts w:hint="eastAsia" w:ascii="黑体" w:hAnsi="黑体" w:eastAsia="黑体"/>
                <w:sz w:val="18"/>
                <w:szCs w:val="18"/>
                <w:lang w:val="en-US" w:eastAsia="zh-CN"/>
              </w:rPr>
              <w:t>3</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hint="eastAsia" w:ascii="黑体" w:hAnsi="黑体" w:eastAsia="黑体"/>
                <w:bCs/>
                <w:color w:val="000000" w:themeColor="text1"/>
                <w:sz w:val="18"/>
                <w:szCs w:val="18"/>
                <w:lang w:val="en-US" w:eastAsia="zh-CN"/>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5）超额业绩报酬：</w:t>
            </w:r>
            <w:r>
              <w:rPr>
                <w:rFonts w:hint="eastAsia" w:ascii="黑体" w:hAnsi="黑体" w:eastAsia="黑体"/>
                <w:bCs/>
                <w:color w:val="000000" w:themeColor="text1"/>
                <w:sz w:val="18"/>
                <w:szCs w:val="18"/>
                <w:lang w:val="en-US" w:eastAsia="zh-CN"/>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76189755"/>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76189756"/>
      <w:bookmarkStart w:id="11" w:name="_Toc90742321"/>
      <w:bookmarkStart w:id="12" w:name="_Toc27189"/>
      <w:bookmarkStart w:id="13" w:name="_Toc90742390"/>
      <w:bookmarkStart w:id="14" w:name="_Toc27226"/>
      <w:bookmarkStart w:id="15" w:name="_Toc74065741"/>
      <w:bookmarkStart w:id="16" w:name="_Toc7151"/>
      <w:bookmarkStart w:id="17" w:name="_Toc15203"/>
      <w:bookmarkStart w:id="18" w:name="_Toc79154668"/>
      <w:bookmarkStart w:id="19" w:name="_Toc22074"/>
      <w:bookmarkStart w:id="20" w:name="_Toc3266"/>
      <w:bookmarkStart w:id="21" w:name="_Toc16265"/>
      <w:bookmarkStart w:id="22" w:name="_Toc29784"/>
      <w:bookmarkStart w:id="23" w:name="_Toc6714"/>
      <w:bookmarkStart w:id="24" w:name="_Toc90742688"/>
      <w:bookmarkStart w:id="25" w:name="_Toc29948"/>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w:t>
      </w:r>
      <w:r>
        <w:rPr>
          <w:rFonts w:hint="eastAsia" w:asciiTheme="majorEastAsia" w:hAnsiTheme="majorEastAsia" w:eastAsiaTheme="majorEastAsia"/>
          <w:color w:val="auto"/>
          <w:sz w:val="18"/>
          <w:szCs w:val="18"/>
        </w:rPr>
        <w:t>在严格控制组合风险的前提下，通过不断优化组合，力争实现超越业绩比较基准的收益</w:t>
      </w:r>
      <w:r>
        <w:rPr>
          <w:rFonts w:hint="eastAsia" w:asciiTheme="majorEastAsia" w:hAnsiTheme="majorEastAsia" w:eastAsiaTheme="majorEastAsia"/>
          <w:bCs/>
          <w:color w:val="auto"/>
          <w:sz w:val="18"/>
          <w:szCs w:val="18"/>
        </w:rPr>
        <w:t>。】</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pStyle w:val="34"/>
        <w:spacing w:line="360" w:lineRule="auto"/>
        <w:ind w:firstLine="360" w:firstLineChars="200"/>
        <w:jc w:val="both"/>
        <w:rPr>
          <w:rFonts w:hint="eastAsia" w:asciiTheme="majorEastAsia" w:hAnsiTheme="majorEastAsia" w:eastAsiaTheme="majorEastAsia"/>
          <w:bCs/>
          <w:color w:val="auto"/>
          <w:sz w:val="18"/>
          <w:szCs w:val="18"/>
        </w:rPr>
      </w:pPr>
      <w:r>
        <w:rPr>
          <w:rFonts w:hint="eastAsia" w:asciiTheme="majorEastAsia" w:hAnsiTheme="majorEastAsia" w:eastAsiaTheme="majorEastAsia"/>
          <w:bCs/>
          <w:sz w:val="18"/>
          <w:szCs w:val="18"/>
        </w:rPr>
        <w:t>（5）其他风险不高于前述资产的资产</w:t>
      </w:r>
      <w:r>
        <w:rPr>
          <w:rFonts w:hint="eastAsia" w:asciiTheme="majorEastAsia" w:hAnsiTheme="majorEastAsia" w:eastAsiaTheme="majorEastAsia"/>
          <w:bCs/>
          <w:color w:val="auto"/>
          <w:sz w:val="18"/>
          <w:szCs w:val="18"/>
        </w:rPr>
        <w:t>。</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spacing w:line="360" w:lineRule="auto"/>
        <w:ind w:firstLine="360" w:firstLineChars="200"/>
        <w:rPr>
          <w:rFonts w:hint="eastAsia" w:asciiTheme="majorEastAsia" w:hAnsiTheme="majorEastAsia" w:eastAsiaTheme="majorEastAsia"/>
          <w:bCs/>
          <w:sz w:val="18"/>
          <w:szCs w:val="18"/>
        </w:rPr>
      </w:pPr>
      <w:permStart w:id="16" w:edGrp="everyone"/>
      <w:r>
        <w:rPr>
          <w:rFonts w:hint="eastAsia" w:asciiTheme="majorEastAsia" w:hAnsiTheme="majorEastAsia" w:eastAsiaTheme="majorEastAsia"/>
          <w:bCs/>
          <w:kern w:val="0"/>
          <w:sz w:val="18"/>
          <w:szCs w:val="18"/>
        </w:rPr>
        <w:t>【（</w:t>
      </w:r>
      <w:r>
        <w:rPr>
          <w:rFonts w:hint="eastAsia" w:asciiTheme="majorEastAsia" w:hAnsiTheme="majorEastAsia" w:eastAsiaTheme="majorEastAsia"/>
          <w:bCs/>
          <w:sz w:val="18"/>
          <w:szCs w:val="18"/>
        </w:rPr>
        <w:t xml:space="preserve">1）本产品投资于债权类资产的比例不低于产品总资产的80%。 </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（2）本产品投资于金融衍生品类资产的比例合计不超过产品总资产的【20】%。</w:t>
      </w:r>
    </w:p>
    <w:p>
      <w:pPr>
        <w:autoSpaceDE w:val="0"/>
        <w:autoSpaceDN w:val="0"/>
        <w:adjustRightInd w:val="0"/>
        <w:spacing w:line="360" w:lineRule="auto"/>
        <w:ind w:firstLine="361"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r>
        <w:rPr>
          <w:rFonts w:hint="eastAsia" w:asciiTheme="majorEastAsia" w:hAnsiTheme="majorEastAsia" w:eastAsiaTheme="majorEastAsia"/>
          <w:bCs/>
          <w:kern w:val="0"/>
          <w:sz w:val="18"/>
          <w:szCs w:val="18"/>
        </w:rPr>
        <w:t>】</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8"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41703885"/>
      <w:bookmarkStart w:id="28" w:name="_Toc17912"/>
      <w:bookmarkStart w:id="29" w:name="_Toc26986"/>
      <w:bookmarkStart w:id="30" w:name="_Toc7848"/>
      <w:bookmarkStart w:id="31" w:name="_Toc139991735"/>
      <w:bookmarkStart w:id="32" w:name="_Toc14893"/>
      <w:bookmarkStart w:id="33" w:name="_Toc4741"/>
      <w:bookmarkStart w:id="34" w:name="_Toc79154669"/>
      <w:bookmarkStart w:id="35" w:name="_Toc74065742"/>
      <w:bookmarkStart w:id="36" w:name="_Toc18329"/>
      <w:bookmarkStart w:id="37" w:name="_Toc18797"/>
      <w:bookmarkStart w:id="38" w:name="_Toc1823"/>
      <w:bookmarkStart w:id="39" w:name="_Toc18526"/>
      <w:bookmarkStart w:id="40" w:name="_Toc21988"/>
      <w:bookmarkStart w:id="41" w:name="_Toc176189758"/>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74065743"/>
      <w:bookmarkStart w:id="44" w:name="_Toc123102453"/>
      <w:bookmarkStart w:id="45" w:name="_Toc98560352"/>
      <w:bookmarkStart w:id="46" w:name="_Toc79392606"/>
      <w:bookmarkStart w:id="47" w:name="_Toc123112234"/>
      <w:bookmarkStart w:id="48" w:name="_Toc23261"/>
      <w:bookmarkStart w:id="49" w:name="_Toc1270"/>
      <w:bookmarkStart w:id="50" w:name="_Toc139991736"/>
      <w:bookmarkStart w:id="51" w:name="_Toc23822"/>
      <w:bookmarkStart w:id="52" w:name="_Toc610"/>
      <w:bookmarkStart w:id="53" w:name="_Toc79154670"/>
      <w:bookmarkStart w:id="54" w:name="_Toc48649707"/>
      <w:bookmarkStart w:id="55" w:name="_Toc17244"/>
      <w:bookmarkStart w:id="56" w:name="_Toc176189759"/>
      <w:bookmarkStart w:id="57" w:name="_Toc4003"/>
      <w:bookmarkStart w:id="58" w:name="_Toc7920"/>
      <w:bookmarkStart w:id="59" w:name="_Toc1427"/>
      <w:bookmarkStart w:id="60" w:name="_Toc141703886"/>
      <w:bookmarkStart w:id="61" w:name="_Toc123051452"/>
      <w:bookmarkStart w:id="62" w:name="_Toc10463"/>
      <w:bookmarkStart w:id="63" w:name="_Toc20733"/>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74065744"/>
      <w:bookmarkStart w:id="66" w:name="_Toc6405"/>
      <w:bookmarkStart w:id="67" w:name="_Toc123051453"/>
      <w:bookmarkStart w:id="68" w:name="_Toc31644"/>
      <w:bookmarkStart w:id="69" w:name="_Toc12245"/>
      <w:bookmarkStart w:id="70" w:name="_Toc14835"/>
      <w:bookmarkStart w:id="71" w:name="_Toc3601"/>
      <w:bookmarkStart w:id="72" w:name="_Toc15143"/>
      <w:bookmarkStart w:id="73" w:name="_Toc123112235"/>
      <w:bookmarkStart w:id="74" w:name="_Toc123102454"/>
      <w:bookmarkStart w:id="75" w:name="_Toc31653"/>
      <w:bookmarkStart w:id="76" w:name="_Toc29251"/>
      <w:bookmarkStart w:id="77" w:name="_Toc26207"/>
      <w:bookmarkStart w:id="78" w:name="_Toc139991737"/>
      <w:bookmarkStart w:id="79" w:name="_Toc141703887"/>
      <w:bookmarkStart w:id="80" w:name="_Toc31235"/>
      <w:bookmarkStart w:id="81" w:name="_Toc98560353"/>
      <w:bookmarkStart w:id="82" w:name="_Toc79154671"/>
      <w:bookmarkStart w:id="83" w:name="_Toc176189760"/>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15118234"/>
      <w:bookmarkStart w:id="86" w:name="_Toc57530239"/>
      <w:bookmarkStart w:id="87" w:name="_Toc523711668"/>
      <w:bookmarkStart w:id="88" w:name="_Toc79392580"/>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139991738"/>
      <w:bookmarkStart w:id="92" w:name="_Toc11030"/>
      <w:bookmarkStart w:id="93" w:name="_Toc123112236"/>
      <w:bookmarkStart w:id="94" w:name="_Toc123102455"/>
      <w:bookmarkStart w:id="95" w:name="_Toc25783"/>
      <w:bookmarkStart w:id="96" w:name="_Toc6447"/>
      <w:bookmarkStart w:id="97" w:name="_Toc141703888"/>
      <w:bookmarkStart w:id="98" w:name="_Toc3771"/>
      <w:bookmarkStart w:id="99" w:name="_Toc79154672"/>
      <w:bookmarkStart w:id="100" w:name="_Toc3321"/>
      <w:bookmarkStart w:id="101" w:name="_Toc74065745"/>
      <w:bookmarkStart w:id="102" w:name="_Toc123051454"/>
      <w:bookmarkStart w:id="103" w:name="_Toc7058"/>
      <w:bookmarkStart w:id="104" w:name="_Toc4559"/>
      <w:bookmarkStart w:id="105" w:name="_Toc9706"/>
      <w:bookmarkStart w:id="106" w:name="_Toc18567"/>
      <w:bookmarkStart w:id="107" w:name="_Toc98560354"/>
      <w:bookmarkStart w:id="108" w:name="_Toc10650"/>
      <w:bookmarkStart w:id="109" w:name="_Toc79392583"/>
      <w:bookmarkStart w:id="110" w:name="_Toc176189761"/>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permStart w:id="23" w:edGrp="everyone"/>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ermEnd w:id="23"/>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4"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74065746"/>
      <w:bookmarkStart w:id="114" w:name="_Toc123051455"/>
      <w:bookmarkStart w:id="115" w:name="_Toc139991739"/>
      <w:bookmarkStart w:id="116" w:name="_Toc123102456"/>
      <w:bookmarkStart w:id="117" w:name="_Toc98560355"/>
      <w:bookmarkStart w:id="118" w:name="_Toc725"/>
      <w:bookmarkStart w:id="119" w:name="_Toc21735"/>
      <w:bookmarkStart w:id="120" w:name="_Toc31821"/>
      <w:bookmarkStart w:id="121" w:name="_Toc18206"/>
      <w:bookmarkStart w:id="122" w:name="_Toc16164"/>
      <w:bookmarkStart w:id="123" w:name="_Toc123112237"/>
      <w:bookmarkStart w:id="124" w:name="_Toc176189762"/>
      <w:bookmarkStart w:id="125" w:name="_Toc10398"/>
      <w:bookmarkStart w:id="126" w:name="_Toc3572"/>
      <w:bookmarkStart w:id="127" w:name="_Toc3080"/>
      <w:bookmarkStart w:id="128" w:name="_Toc141703889"/>
      <w:bookmarkStart w:id="129" w:name="_Toc79154673"/>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57530252"/>
      <w:bookmarkStart w:id="132" w:name="_Toc15118245"/>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74065747"/>
      <w:bookmarkStart w:id="134" w:name="_Toc79392622"/>
      <w:bookmarkStart w:id="135" w:name="_Toc3329"/>
      <w:bookmarkStart w:id="136" w:name="_Toc29408"/>
      <w:bookmarkStart w:id="137" w:name="_Toc5170"/>
      <w:bookmarkStart w:id="138" w:name="_Toc141703890"/>
      <w:bookmarkStart w:id="139" w:name="_Toc739"/>
      <w:bookmarkStart w:id="140" w:name="_Toc17198"/>
      <w:bookmarkStart w:id="141" w:name="_Toc123102457"/>
      <w:bookmarkStart w:id="142" w:name="_Toc48649708"/>
      <w:bookmarkStart w:id="143" w:name="_Toc32584"/>
      <w:bookmarkStart w:id="144" w:name="_Toc139991740"/>
      <w:bookmarkStart w:id="145" w:name="_Toc98560356"/>
      <w:bookmarkStart w:id="146" w:name="_Toc17920"/>
      <w:bookmarkStart w:id="147" w:name="_Toc21237"/>
      <w:bookmarkStart w:id="148" w:name="_Toc123051456"/>
      <w:bookmarkStart w:id="149" w:name="_Toc123112238"/>
      <w:bookmarkStart w:id="150" w:name="_Toc79154674"/>
      <w:bookmarkStart w:id="151" w:name="_Toc8791"/>
      <w:bookmarkStart w:id="152" w:name="_Toc32092"/>
      <w:bookmarkStart w:id="153" w:name="_Toc176189763"/>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6"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dit="readOnly" w:enforcement="1" w:cryptProviderType="rsaAES" w:cryptAlgorithmClass="hash" w:cryptAlgorithmType="typeAny" w:cryptAlgorithmSid="14" w:cryptSpinCount="100000" w:hash="mfb1nq3uxpir52HiOg5tuWEWBcq5gP++FQs5Aydt9cE6NMoCz0kkqs0r9EiP+jsYTvueEjhAbHYb9/JVRjlKaA==" w:salt="0Xq7BYtjNMlgYlG1ZbAXIA=="/>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05FA"/>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46E31C1"/>
    <w:rsid w:val="056C4F65"/>
    <w:rsid w:val="06F4696E"/>
    <w:rsid w:val="07245E56"/>
    <w:rsid w:val="072779FF"/>
    <w:rsid w:val="0B0B3EF7"/>
    <w:rsid w:val="0C023D8C"/>
    <w:rsid w:val="0E94232E"/>
    <w:rsid w:val="0F1306D5"/>
    <w:rsid w:val="11295396"/>
    <w:rsid w:val="14076EF9"/>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EA644DF"/>
    <w:rsid w:val="2FB532A0"/>
    <w:rsid w:val="302D6CEC"/>
    <w:rsid w:val="319C4BEA"/>
    <w:rsid w:val="33DA2E89"/>
    <w:rsid w:val="34C829B2"/>
    <w:rsid w:val="35381804"/>
    <w:rsid w:val="386A3F56"/>
    <w:rsid w:val="38791278"/>
    <w:rsid w:val="3A6A5AFF"/>
    <w:rsid w:val="3A810EF7"/>
    <w:rsid w:val="3C3802E9"/>
    <w:rsid w:val="3E0C1771"/>
    <w:rsid w:val="3E586AB8"/>
    <w:rsid w:val="3E5C1B1D"/>
    <w:rsid w:val="3EAE14E9"/>
    <w:rsid w:val="3FD261A6"/>
    <w:rsid w:val="40AF54F5"/>
    <w:rsid w:val="42EB2F9C"/>
    <w:rsid w:val="45226963"/>
    <w:rsid w:val="469F5C49"/>
    <w:rsid w:val="4D39606F"/>
    <w:rsid w:val="4F8E3D4D"/>
    <w:rsid w:val="4FA308F4"/>
    <w:rsid w:val="53B3493A"/>
    <w:rsid w:val="5537323C"/>
    <w:rsid w:val="55855837"/>
    <w:rsid w:val="56503211"/>
    <w:rsid w:val="57BD5DAE"/>
    <w:rsid w:val="598B567E"/>
    <w:rsid w:val="5BA577EB"/>
    <w:rsid w:val="5C624734"/>
    <w:rsid w:val="5FE91ABC"/>
    <w:rsid w:val="60D42826"/>
    <w:rsid w:val="613F3464"/>
    <w:rsid w:val="628E734C"/>
    <w:rsid w:val="6580603B"/>
    <w:rsid w:val="68B96EA7"/>
    <w:rsid w:val="68C7223A"/>
    <w:rsid w:val="68EF6886"/>
    <w:rsid w:val="694A7300"/>
    <w:rsid w:val="699457CF"/>
    <w:rsid w:val="6FDD1093"/>
    <w:rsid w:val="709C0126"/>
    <w:rsid w:val="73EB7F47"/>
    <w:rsid w:val="76022652"/>
    <w:rsid w:val="768501BE"/>
    <w:rsid w:val="76C8601E"/>
    <w:rsid w:val="7D80556D"/>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1EEDD527-97BA-47F6-B37E-95B51416FA3B}">
  <ds:schemaRefs/>
</ds:datastoreItem>
</file>

<file path=customXml/itemProps12.xml><?xml version="1.0" encoding="utf-8"?>
<ds:datastoreItem xmlns:ds="http://schemas.openxmlformats.org/officeDocument/2006/customXml" ds:itemID="{9114D43D-ED98-4C7B-A3AE-26D78B80CA82}">
  <ds:schemaRefs/>
</ds:datastoreItem>
</file>

<file path=customXml/itemProps13.xml><?xml version="1.0" encoding="utf-8"?>
<ds:datastoreItem xmlns:ds="http://schemas.openxmlformats.org/officeDocument/2006/customXml" ds:itemID="{1990A2D8-324F-45D5-B9CD-07245ED2860B}">
  <ds:schemaRefs/>
</ds:datastoreItem>
</file>

<file path=customXml/itemProps14.xml><?xml version="1.0" encoding="utf-8"?>
<ds:datastoreItem xmlns:ds="http://schemas.openxmlformats.org/officeDocument/2006/customXml" ds:itemID="{A06CD169-7F5C-4082-81B2-6ECAA9AF6149}">
  <ds:schemaRefs/>
</ds:datastoreItem>
</file>

<file path=customXml/itemProps15.xml><?xml version="1.0" encoding="utf-8"?>
<ds:datastoreItem xmlns:ds="http://schemas.openxmlformats.org/officeDocument/2006/customXml" ds:itemID="{3A3C3A8D-C5E4-45AF-8B48-C3BF528808AD}">
  <ds:schemaRefs/>
</ds:datastoreItem>
</file>

<file path=customXml/itemProps16.xml><?xml version="1.0" encoding="utf-8"?>
<ds:datastoreItem xmlns:ds="http://schemas.openxmlformats.org/officeDocument/2006/customXml" ds:itemID="{0A7AA9EF-3B8C-4BAA-9155-A6E3E5337D3C}">
  <ds:schemaRefs/>
</ds:datastoreItem>
</file>

<file path=customXml/itemProps17.xml><?xml version="1.0" encoding="utf-8"?>
<ds:datastoreItem xmlns:ds="http://schemas.openxmlformats.org/officeDocument/2006/customXml" ds:itemID="{D902962D-C8CC-43BF-804A-CD60AE6D7475}">
  <ds:schemaRefs/>
</ds:datastoreItem>
</file>

<file path=customXml/itemProps18.xml><?xml version="1.0" encoding="utf-8"?>
<ds:datastoreItem xmlns:ds="http://schemas.openxmlformats.org/officeDocument/2006/customXml" ds:itemID="{AC86F3EB-DB57-4B60-8A7E-BBB67A22EE0B}">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CF487381-D648-48A1-B1E4-A4540B0D3650}">
  <ds:schemaRefs/>
</ds:datastoreItem>
</file>

<file path=customXml/itemProps4.xml><?xml version="1.0" encoding="utf-8"?>
<ds:datastoreItem xmlns:ds="http://schemas.openxmlformats.org/officeDocument/2006/customXml" ds:itemID="{1A3BDF38-4832-4575-A8AB-7A1679738229}">
  <ds:schemaRefs/>
</ds:datastoreItem>
</file>

<file path=customXml/itemProps5.xml><?xml version="1.0" encoding="utf-8"?>
<ds:datastoreItem xmlns:ds="http://schemas.openxmlformats.org/officeDocument/2006/customXml" ds:itemID="{BEEE0313-55EB-45FA-BBBD-C0232D367255}">
  <ds:schemaRefs/>
</ds:datastoreItem>
</file>

<file path=customXml/itemProps6.xml><?xml version="1.0" encoding="utf-8"?>
<ds:datastoreItem xmlns:ds="http://schemas.openxmlformats.org/officeDocument/2006/customXml" ds:itemID="{EC45DDBE-A426-47CA-BC62-D025DE29F1BC}">
  <ds:schemaRefs/>
</ds:datastoreItem>
</file>

<file path=customXml/itemProps7.xml><?xml version="1.0" encoding="utf-8"?>
<ds:datastoreItem xmlns:ds="http://schemas.openxmlformats.org/officeDocument/2006/customXml" ds:itemID="{E6D3D55C-3DD8-4C31-8069-E5508DD844FB}">
  <ds:schemaRefs/>
</ds:datastoreItem>
</file>

<file path=customXml/itemProps8.xml><?xml version="1.0" encoding="utf-8"?>
<ds:datastoreItem xmlns:ds="http://schemas.openxmlformats.org/officeDocument/2006/customXml" ds:itemID="{2108FF18-8EC8-4170-A536-1AA8E39CC797}">
  <ds:schemaRefs/>
</ds:datastoreItem>
</file>

<file path=customXml/itemProps9.xml><?xml version="1.0" encoding="utf-8"?>
<ds:datastoreItem xmlns:ds="http://schemas.openxmlformats.org/officeDocument/2006/customXml" ds:itemID="{7E5C9D84-6DB6-48FB-8632-D5279FC233C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3557</Words>
  <Characters>20276</Characters>
  <Lines>168</Lines>
  <Paragraphs>47</Paragraphs>
  <TotalTime>11</TotalTime>
  <ScaleCrop>false</ScaleCrop>
  <LinksUpToDate>false</LinksUpToDate>
  <CharactersWithSpaces>23786</CharactersWithSpaces>
  <Application>WPS Office_11.8.2.8959_F1E327BC-269C-435d-A152-05C5408002CA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2025-11-04T08:35:57Z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0EC4E53844084BB8BF9E6D0327B3F36C</vt:lpwstr>
  </property>
</Properties>
</file>