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rPr>
      </w:pPr>
      <w:bookmarkStart w:id="0" w:name="_GoBack"/>
      <w:r>
        <w:rPr>
          <w:rFonts w:hint="eastAsia" w:ascii="楷体" w:hAnsi="楷体" w:eastAsia="楷体"/>
          <w:b/>
          <w:color w:val="auto"/>
          <w:sz w:val="28"/>
          <w:szCs w:val="28"/>
        </w:rPr>
        <w:t>“</w:t>
      </w:r>
      <w:r>
        <w:rPr>
          <w:rFonts w:hint="eastAsia" w:ascii="楷体" w:hAnsi="楷体" w:eastAsia="楷体"/>
          <w:b/>
          <w:color w:val="auto"/>
          <w:sz w:val="28"/>
          <w:szCs w:val="28"/>
          <w:lang w:val="en-US" w:eastAsia="zh-CN"/>
        </w:rPr>
        <w:t>苏银理财</w:t>
      </w:r>
      <w:r>
        <w:rPr>
          <w:rFonts w:hint="eastAsia" w:ascii="楷体" w:hAnsi="楷体" w:eastAsia="楷体"/>
          <w:b/>
          <w:color w:val="auto"/>
          <w:sz w:val="28"/>
          <w:szCs w:val="28"/>
        </w:rPr>
        <w:t>恒源灵动最短持有</w:t>
      </w:r>
      <w:r>
        <w:rPr>
          <w:rFonts w:hint="eastAsia" w:ascii="楷体" w:hAnsi="楷体" w:eastAsia="楷体"/>
          <w:b/>
          <w:color w:val="auto"/>
          <w:sz w:val="28"/>
          <w:szCs w:val="28"/>
          <w:lang w:val="en-US" w:eastAsia="zh-CN"/>
        </w:rPr>
        <w:t>7</w:t>
      </w:r>
      <w:r>
        <w:rPr>
          <w:rFonts w:hint="eastAsia" w:ascii="楷体" w:hAnsi="楷体" w:eastAsia="楷体"/>
          <w:b/>
          <w:color w:val="auto"/>
          <w:sz w:val="28"/>
          <w:szCs w:val="28"/>
        </w:rPr>
        <w:t>天</w:t>
      </w:r>
      <w:r>
        <w:rPr>
          <w:rFonts w:hint="eastAsia" w:ascii="楷体" w:hAnsi="楷体" w:eastAsia="楷体"/>
          <w:b/>
          <w:color w:val="auto"/>
          <w:sz w:val="28"/>
          <w:szCs w:val="28"/>
          <w:lang w:val="en-US" w:eastAsia="zh-CN"/>
        </w:rPr>
        <w:t>21</w:t>
      </w:r>
      <w:r>
        <w:rPr>
          <w:rFonts w:hint="eastAsia" w:ascii="楷体" w:hAnsi="楷体" w:eastAsia="楷体"/>
          <w:b/>
          <w:color w:val="auto"/>
          <w:sz w:val="28"/>
          <w:szCs w:val="28"/>
        </w:rPr>
        <w:t>号”理财产品</w:t>
      </w:r>
      <w:bookmarkEnd w:id="0"/>
      <w:r>
        <w:rPr>
          <w:rFonts w:hint="eastAsia" w:ascii="楷体" w:hAnsi="楷体" w:eastAsia="楷体"/>
          <w:b/>
          <w:color w:val="auto"/>
          <w:sz w:val="28"/>
          <w:szCs w:val="28"/>
        </w:rPr>
        <w:t>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4"/>
          <w:szCs w:val="24"/>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keepNext w:val="0"/>
        <w:keepLines w:val="0"/>
        <w:pageBreakBefore w:val="0"/>
        <w:widowControl w:val="0"/>
        <w:numPr>
          <w:ilvl w:val="0"/>
          <w:numId w:val="1"/>
        </w:numPr>
        <w:tabs>
          <w:tab w:val="left" w:pos="1134"/>
        </w:tabs>
        <w:kinsoku/>
        <w:wordWrap/>
        <w:overflowPunct/>
        <w:topLinePunct w:val="0"/>
        <w:autoSpaceDE/>
        <w:autoSpaceDN/>
        <w:bidi w:val="0"/>
        <w:adjustRightInd/>
        <w:snapToGrid/>
        <w:spacing w:line="240" w:lineRule="atLeast"/>
        <w:ind w:left="0" w:leftChars="0" w:firstLine="482" w:firstLineChars="200"/>
        <w:textAlignment w:val="auto"/>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keepNext w:val="0"/>
        <w:keepLines w:val="0"/>
        <w:pageBreakBefore w:val="0"/>
        <w:widowControl w:val="0"/>
        <w:numPr>
          <w:ilvl w:val="0"/>
          <w:numId w:val="2"/>
        </w:numPr>
        <w:tabs>
          <w:tab w:val="left" w:pos="993"/>
          <w:tab w:val="clear" w:pos="0"/>
        </w:tabs>
        <w:kinsoku/>
        <w:wordWrap/>
        <w:overflowPunct/>
        <w:topLinePunct w:val="0"/>
        <w:autoSpaceDE/>
        <w:autoSpaceDN/>
        <w:bidi w:val="0"/>
        <w:adjustRightInd/>
        <w:snapToGrid/>
        <w:spacing w:line="240" w:lineRule="atLeast"/>
        <w:ind w:left="0" w:leftChars="0" w:firstLine="422" w:firstLineChars="200"/>
        <w:textAlignment w:val="auto"/>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keepNext w:val="0"/>
        <w:keepLines w:val="0"/>
        <w:pageBreakBefore w:val="0"/>
        <w:widowControl w:val="0"/>
        <w:numPr>
          <w:ilvl w:val="0"/>
          <w:numId w:val="2"/>
        </w:numPr>
        <w:tabs>
          <w:tab w:val="left" w:pos="993"/>
          <w:tab w:val="clear" w:pos="0"/>
        </w:tabs>
        <w:kinsoku/>
        <w:wordWrap/>
        <w:overflowPunct/>
        <w:topLinePunct w:val="0"/>
        <w:autoSpaceDE/>
        <w:autoSpaceDN/>
        <w:bidi w:val="0"/>
        <w:adjustRightInd/>
        <w:snapToGrid/>
        <w:spacing w:line="240" w:lineRule="atLeast"/>
        <w:ind w:left="0" w:leftChars="0" w:firstLine="422" w:firstLineChars="200"/>
        <w:textAlignment w:val="auto"/>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keepNext w:val="0"/>
        <w:keepLines w:val="0"/>
        <w:pageBreakBefore w:val="0"/>
        <w:widowControl w:val="0"/>
        <w:numPr>
          <w:ilvl w:val="0"/>
          <w:numId w:val="2"/>
        </w:numPr>
        <w:tabs>
          <w:tab w:val="left" w:pos="993"/>
          <w:tab w:val="clear" w:pos="0"/>
        </w:tabs>
        <w:kinsoku/>
        <w:wordWrap/>
        <w:overflowPunct/>
        <w:topLinePunct w:val="0"/>
        <w:autoSpaceDE/>
        <w:autoSpaceDN/>
        <w:bidi w:val="0"/>
        <w:adjustRightInd/>
        <w:snapToGrid/>
        <w:spacing w:line="240" w:lineRule="atLeast"/>
        <w:ind w:left="0" w:leftChars="0" w:firstLine="422" w:firstLineChars="200"/>
        <w:textAlignment w:val="auto"/>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keepNext w:val="0"/>
        <w:keepLines w:val="0"/>
        <w:pageBreakBefore w:val="0"/>
        <w:widowControl w:val="0"/>
        <w:numPr>
          <w:ilvl w:val="0"/>
          <w:numId w:val="2"/>
        </w:numPr>
        <w:tabs>
          <w:tab w:val="left" w:pos="993"/>
          <w:tab w:val="clear" w:pos="0"/>
        </w:tabs>
        <w:kinsoku/>
        <w:wordWrap/>
        <w:overflowPunct/>
        <w:topLinePunct w:val="0"/>
        <w:autoSpaceDE/>
        <w:autoSpaceDN/>
        <w:bidi w:val="0"/>
        <w:adjustRightInd/>
        <w:snapToGrid/>
        <w:spacing w:line="240" w:lineRule="atLeast"/>
        <w:ind w:left="0" w:leftChars="0" w:firstLine="422" w:firstLineChars="200"/>
        <w:textAlignment w:val="auto"/>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keepNext w:val="0"/>
        <w:keepLines w:val="0"/>
        <w:pageBreakBefore w:val="0"/>
        <w:widowControl w:val="0"/>
        <w:numPr>
          <w:ilvl w:val="0"/>
          <w:numId w:val="2"/>
        </w:numPr>
        <w:tabs>
          <w:tab w:val="left" w:pos="993"/>
          <w:tab w:val="clear" w:pos="0"/>
        </w:tabs>
        <w:kinsoku/>
        <w:wordWrap/>
        <w:overflowPunct/>
        <w:topLinePunct w:val="0"/>
        <w:autoSpaceDE/>
        <w:autoSpaceDN/>
        <w:bidi w:val="0"/>
        <w:adjustRightInd/>
        <w:snapToGrid/>
        <w:spacing w:line="240" w:lineRule="atLeast"/>
        <w:ind w:left="0" w:leftChars="0" w:firstLine="422" w:firstLineChars="200"/>
        <w:textAlignment w:val="auto"/>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keepNext w:val="0"/>
        <w:keepLines w:val="0"/>
        <w:pageBreakBefore w:val="0"/>
        <w:widowControl w:val="0"/>
        <w:numPr>
          <w:ilvl w:val="0"/>
          <w:numId w:val="2"/>
        </w:numPr>
        <w:tabs>
          <w:tab w:val="left" w:pos="993"/>
          <w:tab w:val="clear" w:pos="0"/>
        </w:tabs>
        <w:kinsoku/>
        <w:wordWrap/>
        <w:overflowPunct/>
        <w:topLinePunct w:val="0"/>
        <w:autoSpaceDE/>
        <w:autoSpaceDN/>
        <w:bidi w:val="0"/>
        <w:adjustRightInd/>
        <w:snapToGrid/>
        <w:spacing w:line="240" w:lineRule="atLeast"/>
        <w:ind w:left="0" w:leftChars="0" w:firstLine="422" w:firstLineChars="200"/>
        <w:textAlignment w:val="auto"/>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keepNext w:val="0"/>
        <w:keepLines w:val="0"/>
        <w:pageBreakBefore w:val="0"/>
        <w:widowControl w:val="0"/>
        <w:numPr>
          <w:ilvl w:val="0"/>
          <w:numId w:val="2"/>
        </w:numPr>
        <w:tabs>
          <w:tab w:val="left" w:pos="993"/>
          <w:tab w:val="clear" w:pos="0"/>
        </w:tabs>
        <w:kinsoku/>
        <w:wordWrap/>
        <w:overflowPunct/>
        <w:topLinePunct w:val="0"/>
        <w:autoSpaceDE/>
        <w:autoSpaceDN/>
        <w:bidi w:val="0"/>
        <w:adjustRightInd/>
        <w:snapToGrid/>
        <w:spacing w:line="240" w:lineRule="atLeast"/>
        <w:ind w:left="0" w:leftChars="0" w:firstLine="422" w:firstLineChars="200"/>
        <w:textAlignment w:val="auto"/>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keepNext w:val="0"/>
        <w:keepLines w:val="0"/>
        <w:pageBreakBefore w:val="0"/>
        <w:widowControl w:val="0"/>
        <w:numPr>
          <w:ilvl w:val="0"/>
          <w:numId w:val="2"/>
        </w:numPr>
        <w:tabs>
          <w:tab w:val="left" w:pos="993"/>
          <w:tab w:val="clear" w:pos="0"/>
        </w:tabs>
        <w:kinsoku/>
        <w:wordWrap/>
        <w:overflowPunct/>
        <w:topLinePunct w:val="0"/>
        <w:autoSpaceDE/>
        <w:autoSpaceDN/>
        <w:bidi w:val="0"/>
        <w:adjustRightInd/>
        <w:snapToGrid/>
        <w:spacing w:line="240" w:lineRule="atLeast"/>
        <w:ind w:left="0" w:leftChars="0" w:firstLine="422" w:firstLineChars="200"/>
        <w:textAlignment w:val="auto"/>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keepNext w:val="0"/>
        <w:keepLines w:val="0"/>
        <w:pageBreakBefore w:val="0"/>
        <w:widowControl w:val="0"/>
        <w:numPr>
          <w:ilvl w:val="0"/>
          <w:numId w:val="2"/>
        </w:numPr>
        <w:tabs>
          <w:tab w:val="left" w:pos="993"/>
          <w:tab w:val="clear" w:pos="0"/>
        </w:tabs>
        <w:kinsoku/>
        <w:wordWrap/>
        <w:overflowPunct/>
        <w:topLinePunct w:val="0"/>
        <w:autoSpaceDE/>
        <w:autoSpaceDN/>
        <w:bidi w:val="0"/>
        <w:adjustRightInd/>
        <w:snapToGrid/>
        <w:spacing w:line="240" w:lineRule="atLeast"/>
        <w:ind w:left="0" w:leftChars="0" w:firstLine="422" w:firstLineChars="200"/>
        <w:textAlignment w:val="auto"/>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keepNext w:val="0"/>
        <w:keepLines w:val="0"/>
        <w:pageBreakBefore w:val="0"/>
        <w:widowControl w:val="0"/>
        <w:numPr>
          <w:ilvl w:val="0"/>
          <w:numId w:val="2"/>
        </w:numPr>
        <w:tabs>
          <w:tab w:val="left" w:pos="993"/>
          <w:tab w:val="clear" w:pos="0"/>
        </w:tabs>
        <w:kinsoku/>
        <w:wordWrap/>
        <w:overflowPunct/>
        <w:topLinePunct w:val="0"/>
        <w:autoSpaceDE/>
        <w:autoSpaceDN/>
        <w:bidi w:val="0"/>
        <w:adjustRightInd/>
        <w:snapToGrid/>
        <w:spacing w:line="240" w:lineRule="atLeast"/>
        <w:ind w:left="0" w:leftChars="0" w:firstLine="422" w:firstLineChars="200"/>
        <w:textAlignment w:val="auto"/>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keepNext w:val="0"/>
        <w:keepLines w:val="0"/>
        <w:pageBreakBefore w:val="0"/>
        <w:widowControl w:val="0"/>
        <w:numPr>
          <w:ilvl w:val="0"/>
          <w:numId w:val="2"/>
        </w:numPr>
        <w:tabs>
          <w:tab w:val="left" w:pos="993"/>
          <w:tab w:val="clear" w:pos="0"/>
        </w:tabs>
        <w:kinsoku/>
        <w:wordWrap/>
        <w:overflowPunct/>
        <w:topLinePunct w:val="0"/>
        <w:autoSpaceDE/>
        <w:autoSpaceDN/>
        <w:bidi w:val="0"/>
        <w:adjustRightInd/>
        <w:snapToGrid/>
        <w:spacing w:line="240" w:lineRule="atLeast"/>
        <w:ind w:left="0" w:leftChars="0" w:firstLine="422" w:firstLineChars="200"/>
        <w:textAlignment w:val="auto"/>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keepNext w:val="0"/>
        <w:keepLines w:val="0"/>
        <w:pageBreakBefore w:val="0"/>
        <w:widowControl w:val="0"/>
        <w:numPr>
          <w:ilvl w:val="0"/>
          <w:numId w:val="2"/>
        </w:numPr>
        <w:tabs>
          <w:tab w:val="left" w:pos="993"/>
          <w:tab w:val="clear" w:pos="0"/>
        </w:tabs>
        <w:kinsoku/>
        <w:wordWrap/>
        <w:overflowPunct/>
        <w:topLinePunct w:val="0"/>
        <w:autoSpaceDE/>
        <w:autoSpaceDN/>
        <w:bidi w:val="0"/>
        <w:adjustRightInd/>
        <w:snapToGrid/>
        <w:ind w:left="0" w:leftChars="0" w:firstLine="422" w:firstLineChars="200"/>
        <w:textAlignment w:val="auto"/>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keepNext w:val="0"/>
        <w:keepLines w:val="0"/>
        <w:pageBreakBefore w:val="0"/>
        <w:widowControl w:val="0"/>
        <w:numPr>
          <w:ilvl w:val="0"/>
          <w:numId w:val="2"/>
        </w:numPr>
        <w:tabs>
          <w:tab w:val="left" w:pos="993"/>
          <w:tab w:val="clear" w:pos="0"/>
        </w:tabs>
        <w:kinsoku/>
        <w:wordWrap/>
        <w:overflowPunct/>
        <w:topLinePunct w:val="0"/>
        <w:autoSpaceDE/>
        <w:autoSpaceDN/>
        <w:bidi w:val="0"/>
        <w:adjustRightInd/>
        <w:snapToGrid/>
        <w:ind w:left="0" w:leftChars="0" w:firstLine="422" w:firstLineChars="200"/>
        <w:textAlignment w:val="auto"/>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keepNext w:val="0"/>
        <w:keepLines w:val="0"/>
        <w:pageBreakBefore w:val="0"/>
        <w:widowControl w:val="0"/>
        <w:numPr>
          <w:ilvl w:val="0"/>
          <w:numId w:val="3"/>
        </w:numPr>
        <w:tabs>
          <w:tab w:val="left" w:pos="742"/>
        </w:tabs>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keepNext w:val="0"/>
        <w:keepLines w:val="0"/>
        <w:pageBreakBefore w:val="0"/>
        <w:widowControl w:val="0"/>
        <w:numPr>
          <w:ilvl w:val="0"/>
          <w:numId w:val="3"/>
        </w:numPr>
        <w:tabs>
          <w:tab w:val="left" w:pos="742"/>
        </w:tabs>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0" w:firstLineChars="200"/>
        <w:rPr>
          <w:rFonts w:hint="eastAsia" w:ascii="楷体" w:hAnsi="楷体" w:eastAsia="楷体"/>
          <w:b/>
          <w:bCs w:val="0"/>
          <w:color w:val="auto"/>
          <w:sz w:val="21"/>
          <w:szCs w:val="21"/>
        </w:rPr>
      </w:pPr>
      <w:r>
        <w:rPr>
          <w:rFonts w:hint="default" w:ascii="楷体" w:hAnsi="楷体" w:eastAsia="楷体"/>
          <w:b w:val="0"/>
          <w:bCs/>
          <w:color w:val="auto"/>
          <w:sz w:val="21"/>
          <w:szCs w:val="21"/>
        </w:rPr>
        <w:t>①</w:t>
      </w:r>
      <w:r>
        <w:rPr>
          <w:rFonts w:hint="eastAsia" w:ascii="楷体" w:hAnsi="楷体" w:eastAsia="楷体"/>
          <w:b w:val="0"/>
          <w:bCs/>
          <w:color w:val="auto"/>
          <w:sz w:val="21"/>
          <w:szCs w:val="21"/>
        </w:rPr>
        <w:t>国家货币政策、财政政策、产业政策等的变化对证券市场产生一定的影响，导致市场价格水平波动的风险。</w:t>
      </w:r>
      <w:r>
        <w:rPr>
          <w:rFonts w:hint="default" w:ascii="楷体" w:hAnsi="楷体" w:eastAsia="楷体"/>
          <w:b w:val="0"/>
          <w:bCs/>
          <w:color w:val="auto"/>
          <w:sz w:val="21"/>
          <w:szCs w:val="21"/>
        </w:rPr>
        <w:t>②</w:t>
      </w:r>
      <w:r>
        <w:rPr>
          <w:rFonts w:hint="eastAsia" w:ascii="楷体" w:hAnsi="楷体" w:eastAsia="楷体"/>
          <w:b w:val="0"/>
          <w:bCs/>
          <w:color w:val="auto"/>
          <w:sz w:val="21"/>
          <w:szCs w:val="21"/>
        </w:rPr>
        <w:t>宏观经济运行周期性波动，对股票市场的收益水平产生影响的风险。</w:t>
      </w:r>
      <w:r>
        <w:rPr>
          <w:rFonts w:hint="default" w:ascii="楷体" w:hAnsi="楷体" w:eastAsia="楷体"/>
          <w:b w:val="0"/>
          <w:bCs/>
          <w:color w:val="auto"/>
          <w:sz w:val="21"/>
          <w:szCs w:val="21"/>
        </w:rPr>
        <w:t>③</w:t>
      </w:r>
      <w:r>
        <w:rPr>
          <w:rFonts w:hint="eastAsia" w:ascii="楷体" w:hAnsi="楷体" w:eastAsia="楷体"/>
          <w:b w:val="0"/>
          <w:bCs/>
          <w:color w:val="auto"/>
          <w:sz w:val="21"/>
          <w:szCs w:val="21"/>
        </w:rPr>
        <w:t>上市公司的经营状况受多种因素影响，如市场、技术、竞争、管理、财务等都会导致公司盈利发生变化，从而导致股票价格变动的风险。</w:t>
      </w:r>
    </w:p>
    <w:p>
      <w:pPr>
        <w:keepNext w:val="0"/>
        <w:keepLines w:val="0"/>
        <w:pageBreakBefore w:val="0"/>
        <w:widowControl w:val="0"/>
        <w:numPr>
          <w:ilvl w:val="0"/>
          <w:numId w:val="3"/>
        </w:numPr>
        <w:tabs>
          <w:tab w:val="left" w:pos="742"/>
        </w:tabs>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0"/>
          <w:numId w:val="0"/>
        </w:numPr>
        <w:tabs>
          <w:tab w:val="left" w:pos="742"/>
        </w:tabs>
        <w:ind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将本理财产品交付的资金运用于违反相关</w:t>
      </w:r>
      <w:r>
        <w:rPr>
          <w:rFonts w:hint="eastAsia" w:ascii="楷体" w:hAnsi="楷体" w:eastAsia="楷体" w:cs="楷体"/>
          <w:color w:val="auto"/>
          <w:sz w:val="21"/>
          <w:szCs w:val="21"/>
          <w:lang w:val="en-US" w:eastAsia="zh-CN"/>
        </w:rPr>
        <w:t>销售文件</w:t>
      </w:r>
      <w:r>
        <w:rPr>
          <w:rFonts w:hint="eastAsia" w:ascii="楷体" w:hAnsi="楷体" w:eastAsia="楷体" w:cs="楷体"/>
          <w:color w:val="auto"/>
          <w:sz w:val="21"/>
          <w:szCs w:val="21"/>
        </w:rPr>
        <w:t>约定的投资范围，导致本理财产品项下委托财产的损失等风险。</w:t>
      </w:r>
    </w:p>
    <w:p>
      <w:pPr>
        <w:keepNext w:val="0"/>
        <w:keepLines w:val="0"/>
        <w:pageBreakBefore w:val="0"/>
        <w:widowControl w:val="0"/>
        <w:numPr>
          <w:ilvl w:val="0"/>
          <w:numId w:val="3"/>
        </w:numPr>
        <w:tabs>
          <w:tab w:val="left" w:pos="742"/>
        </w:tabs>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结构性存款的特殊风险</w:t>
      </w:r>
    </w:p>
    <w:p>
      <w:pPr>
        <w:numPr>
          <w:ilvl w:val="0"/>
          <w:numId w:val="0"/>
        </w:numPr>
        <w:tabs>
          <w:tab w:val="left" w:pos="742"/>
        </w:tabs>
        <w:ind w:firstLine="420" w:firstLineChars="200"/>
        <w:rPr>
          <w:rFonts w:hint="eastAsia"/>
          <w:lang w:val="en-US" w:eastAsia="zh-CN"/>
        </w:rPr>
      </w:pPr>
      <w:r>
        <w:rPr>
          <w:rFonts w:hint="eastAsia" w:ascii="楷体" w:hAnsi="楷体" w:eastAsia="楷体" w:cs="楷体"/>
          <w:color w:val="auto"/>
          <w:sz w:val="21"/>
          <w:szCs w:val="21"/>
          <w:lang w:val="en-US" w:eastAsia="zh-CN"/>
        </w:rPr>
        <w:t>①市场风险。结构性存款挂钩的境内外债券、股票、利率、汇率、指数等标的受相关国家或地区的金融市场和经济趋势的影响，收益存在不确定性。②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③利率风险。结构性存款如挂钩特定债券或债券指数，可能因相关利率变动而导致产品收益发生变化。④汇率风险。结构性存款如挂钩境外证券资产，可能面临以非人民币计价的各类资产受汇率波动影响而引起人民币估值下的理财产品资产净值波动的风险。⑤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keepNext w:val="0"/>
        <w:keepLines w:val="0"/>
        <w:pageBreakBefore w:val="0"/>
        <w:widowControl w:val="0"/>
        <w:numPr>
          <w:ilvl w:val="0"/>
          <w:numId w:val="1"/>
        </w:numPr>
        <w:tabs>
          <w:tab w:val="left" w:pos="1134"/>
        </w:tabs>
        <w:kinsoku/>
        <w:wordWrap/>
        <w:overflowPunct/>
        <w:topLinePunct w:val="0"/>
        <w:autoSpaceDE/>
        <w:autoSpaceDN/>
        <w:bidi w:val="0"/>
        <w:adjustRightInd/>
        <w:snapToGrid/>
        <w:ind w:left="0" w:leftChars="0" w:firstLine="482" w:firstLineChars="200"/>
        <w:textAlignment w:val="auto"/>
        <w:rPr>
          <w:rFonts w:ascii="楷体" w:hAnsi="楷体" w:eastAsia="楷体"/>
          <w:b/>
          <w:color w:val="auto"/>
          <w:sz w:val="24"/>
          <w:szCs w:val="24"/>
        </w:rPr>
      </w:pPr>
      <w:r>
        <w:rPr>
          <w:rFonts w:hint="eastAsia" w:ascii="楷体" w:hAnsi="楷体" w:eastAsia="楷体"/>
          <w:b/>
          <w:color w:val="auto"/>
          <w:sz w:val="24"/>
          <w:szCs w:val="24"/>
        </w:rPr>
        <w:t>投资者提示</w:t>
      </w:r>
    </w:p>
    <w:p>
      <w:pPr>
        <w:keepNext w:val="0"/>
        <w:keepLines w:val="0"/>
        <w:pageBreakBefore w:val="0"/>
        <w:widowControl w:val="0"/>
        <w:numPr>
          <w:ilvl w:val="0"/>
          <w:numId w:val="4"/>
        </w:numPr>
        <w:tabs>
          <w:tab w:val="left" w:pos="742"/>
        </w:tabs>
        <w:kinsoku/>
        <w:wordWrap/>
        <w:overflowPunct/>
        <w:topLinePunct w:val="0"/>
        <w:autoSpaceDE/>
        <w:autoSpaceDN/>
        <w:bidi w:val="0"/>
        <w:adjustRightInd/>
        <w:snapToGrid/>
        <w:ind w:left="0" w:leftChars="0" w:firstLine="422" w:firstLineChars="200"/>
        <w:textAlignment w:val="auto"/>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left="0" w:leftChars="0" w:firstLine="420" w:firstLineChars="200"/>
        <w:rPr>
          <w:rFonts w:hint="eastAsia" w:ascii="楷体" w:hAnsi="楷体" w:eastAsia="楷体"/>
          <w:color w:val="auto"/>
          <w:sz w:val="21"/>
          <w:szCs w:val="21"/>
        </w:rPr>
      </w:pPr>
      <w:r>
        <w:rPr>
          <w:rFonts w:hint="eastAsia" w:ascii="楷体" w:hAnsi="楷体" w:eastAsia="楷体"/>
          <w:color w:val="auto"/>
          <w:sz w:val="21"/>
          <w:szCs w:val="21"/>
        </w:rPr>
        <w:t>示例：如投资者购买本理财产品，本金为1万元，在理财产品资产组合项下资产全部亏损的最不利情况下，理财产品1万元本金将全部损失。</w:t>
      </w:r>
    </w:p>
    <w:p>
      <w:pPr>
        <w:keepNext w:val="0"/>
        <w:keepLines w:val="0"/>
        <w:pageBreakBefore w:val="0"/>
        <w:widowControl w:val="0"/>
        <w:numPr>
          <w:ilvl w:val="0"/>
          <w:numId w:val="4"/>
        </w:numPr>
        <w:tabs>
          <w:tab w:val="left" w:pos="742"/>
        </w:tabs>
        <w:kinsoku/>
        <w:wordWrap/>
        <w:overflowPunct/>
        <w:topLinePunct w:val="0"/>
        <w:autoSpaceDE/>
        <w:autoSpaceDN/>
        <w:bidi w:val="0"/>
        <w:adjustRightInd/>
        <w:snapToGrid/>
        <w:ind w:left="0" w:leftChars="0" w:firstLine="422" w:firstLineChars="200"/>
        <w:textAlignment w:val="auto"/>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keepNext w:val="0"/>
        <w:keepLines w:val="0"/>
        <w:pageBreakBefore w:val="0"/>
        <w:widowControl w:val="0"/>
        <w:numPr>
          <w:ilvl w:val="0"/>
          <w:numId w:val="4"/>
        </w:numPr>
        <w:tabs>
          <w:tab w:val="left" w:pos="742"/>
        </w:tabs>
        <w:kinsoku/>
        <w:wordWrap/>
        <w:overflowPunct/>
        <w:topLinePunct w:val="0"/>
        <w:autoSpaceDE/>
        <w:autoSpaceDN/>
        <w:bidi w:val="0"/>
        <w:adjustRightInd/>
        <w:snapToGrid/>
        <w:ind w:left="0" w:leftChars="0" w:firstLine="420" w:firstLineChars="200"/>
        <w:textAlignment w:val="auto"/>
        <w:rPr>
          <w:rFonts w:ascii="楷体" w:hAnsi="楷体" w:eastAsia="楷体"/>
          <w:color w:val="auto"/>
          <w:sz w:val="21"/>
          <w:szCs w:val="21"/>
          <w:highlight w:val="none"/>
        </w:rPr>
      </w:pPr>
      <w:r>
        <w:rPr>
          <w:rFonts w:hint="eastAsia" w:ascii="楷体" w:hAnsi="楷体" w:eastAsia="楷体"/>
          <w:color w:val="auto"/>
          <w:sz w:val="21"/>
          <w:szCs w:val="21"/>
          <w:highlight w:val="none"/>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highlight w:val="none"/>
          <w:u w:val="single"/>
        </w:rPr>
        <w:t>。</w:t>
      </w:r>
      <w:r>
        <w:rPr>
          <w:rFonts w:hint="eastAsia" w:ascii="楷体" w:hAnsi="楷体" w:eastAsia="楷体" w:cs="Calibri"/>
          <w:b/>
          <w:color w:val="auto"/>
          <w:sz w:val="21"/>
          <w:szCs w:val="21"/>
          <w:highlight w:val="none"/>
          <w:u w:val="single"/>
        </w:rPr>
        <w:t>如本产品通过代理销售机构渠道销售，理财产品评级以代理销售机构最终披露的评级结果为准。</w:t>
      </w:r>
    </w:p>
    <w:p>
      <w:pPr>
        <w:keepNext w:val="0"/>
        <w:keepLines w:val="0"/>
        <w:pageBreakBefore w:val="0"/>
        <w:widowControl w:val="0"/>
        <w:numPr>
          <w:ilvl w:val="0"/>
          <w:numId w:val="4"/>
        </w:numPr>
        <w:tabs>
          <w:tab w:val="left" w:pos="742"/>
        </w:tabs>
        <w:kinsoku/>
        <w:wordWrap/>
        <w:overflowPunct/>
        <w:topLinePunct w:val="0"/>
        <w:autoSpaceDE/>
        <w:autoSpaceDN/>
        <w:bidi w:val="0"/>
        <w:adjustRightInd/>
        <w:snapToGrid/>
        <w:ind w:left="0" w:leftChars="0" w:firstLine="420" w:firstLineChars="200"/>
        <w:textAlignment w:val="auto"/>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个人投资者的风险承受能力等级不低于本产品风险评级。若个人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。机构投资者无需进行风险承受能力评估。</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rPr>
          <w:rFonts w:hint="eastAsia" w:ascii="楷体" w:hAnsi="楷体" w:eastAsia="楷体"/>
          <w:b/>
          <w:color w:val="auto"/>
          <w:sz w:val="28"/>
          <w:szCs w:val="28"/>
        </w:rPr>
      </w:pPr>
      <w:r>
        <w:rPr>
          <w:rFonts w:hint="eastAsia" w:ascii="楷体" w:hAnsi="楷体" w:eastAsia="楷体"/>
          <w:b/>
          <w:color w:val="auto"/>
          <w:sz w:val="28"/>
          <w:szCs w:val="28"/>
        </w:rPr>
        <w:br w:type="page"/>
      </w: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投资者本人填写</w:t>
      </w:r>
      <w:r>
        <w:rPr>
          <w:rFonts w:hint="eastAsia" w:ascii="楷体" w:hAnsi="楷体" w:eastAsia="楷体"/>
          <w:color w:val="auto"/>
          <w:sz w:val="21"/>
          <w:szCs w:val="21"/>
          <w:u w:val="single"/>
        </w:rPr>
        <w:t>）</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pStyle w:val="13"/>
        <w:spacing w:before="0" w:beforeAutospacing="0" w:after="0" w:afterAutospacing="0" w:line="360" w:lineRule="auto"/>
        <w:jc w:val="both"/>
        <w:rPr>
          <w:rFonts w:ascii="楷体" w:hAnsi="楷体" w:eastAsia="楷体"/>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r>
        <w:rPr>
          <w:rFonts w:hint="eastAsia" w:ascii="楷体" w:hAnsi="楷体" w:eastAsia="楷体"/>
          <w:b/>
          <w:sz w:val="36"/>
          <w:szCs w:val="36"/>
        </w:rPr>
        <w:t xml:space="preserve"> </w:t>
      </w:r>
    </w:p>
    <w:p/>
    <w:p>
      <w:pP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br w:type="page"/>
      </w:r>
    </w:p>
    <w:p>
      <w:pPr>
        <w:pStyle w:val="13"/>
        <w:keepNext w:val="0"/>
        <w:keepLines w:val="0"/>
        <w:pageBreakBefore w:val="0"/>
        <w:wordWrap/>
        <w:topLinePunct w:val="0"/>
        <w:autoSpaceDE/>
        <w:autoSpaceDN/>
        <w:bidi w:val="0"/>
        <w:spacing w:before="0" w:beforeAutospacing="0" w:after="0" w:afterAutospacing="0" w:line="240" w:lineRule="auto"/>
        <w:jc w:val="center"/>
        <w:textAlignment w:val="auto"/>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eastAsia="zh-CN"/>
        </w:rPr>
        <w:t>苏银理财</w:t>
      </w:r>
      <w:r>
        <w:rPr>
          <w:rFonts w:hint="eastAsia" w:ascii="楷体" w:hAnsi="楷体" w:eastAsia="楷体"/>
          <w:b/>
          <w:color w:val="auto"/>
          <w:sz w:val="28"/>
          <w:szCs w:val="28"/>
          <w:highlight w:val="none"/>
          <w:lang w:val="en-US" w:eastAsia="zh-CN"/>
        </w:rPr>
        <w:t>恒源灵动最短持有7天21号</w:t>
      </w:r>
      <w:r>
        <w:rPr>
          <w:rFonts w:hint="eastAsia" w:ascii="楷体" w:hAnsi="楷体" w:eastAsia="楷体"/>
          <w:b/>
          <w:color w:val="auto"/>
          <w:sz w:val="28"/>
          <w:szCs w:val="28"/>
          <w:highlight w:val="none"/>
        </w:rPr>
        <w:t>”理财产品说明书</w:t>
      </w:r>
    </w:p>
    <w:p>
      <w:pPr>
        <w:pStyle w:val="13"/>
        <w:keepNext w:val="0"/>
        <w:keepLines w:val="0"/>
        <w:pageBreakBefore w:val="0"/>
        <w:wordWrap/>
        <w:topLinePunct w:val="0"/>
        <w:autoSpaceDE/>
        <w:autoSpaceDN/>
        <w:bidi w:val="0"/>
        <w:spacing w:before="0" w:beforeAutospacing="0" w:after="0" w:afterAutospacing="0" w:line="240" w:lineRule="auto"/>
        <w:jc w:val="center"/>
        <w:textAlignment w:val="auto"/>
        <w:rPr>
          <w:rFonts w:hint="eastAsia" w:ascii="楷体" w:hAnsi="楷体" w:eastAsia="楷体"/>
          <w:b/>
          <w:color w:val="auto"/>
          <w:sz w:val="28"/>
          <w:szCs w:val="28"/>
          <w:highlight w:val="none"/>
        </w:rPr>
      </w:pPr>
      <w:r>
        <w:rPr>
          <w:rFonts w:hint="eastAsia" w:ascii="楷体" w:hAnsi="楷体" w:eastAsia="楷体" w:cs="Times New Roman"/>
          <w:kern w:val="2"/>
          <w:sz w:val="21"/>
          <w:szCs w:val="21"/>
          <w:highlight w:val="none"/>
          <w:lang w:val="en-US" w:eastAsia="zh-CN" w:bidi="ar-SA"/>
        </w:rPr>
        <w:t>（</w:t>
      </w:r>
      <w:r>
        <w:rPr>
          <w:rFonts w:hint="eastAsia" w:ascii="楷体" w:hAnsi="楷体" w:eastAsia="楷体" w:cs="Times New Roman"/>
          <w:b/>
          <w:bCs/>
          <w:kern w:val="2"/>
          <w:sz w:val="21"/>
          <w:szCs w:val="21"/>
          <w:highlight w:val="none"/>
          <w:lang w:val="en-US" w:eastAsia="zh-CN" w:bidi="ar-SA"/>
        </w:rPr>
        <w:t>2025年10月版</w:t>
      </w:r>
      <w:r>
        <w:rPr>
          <w:rFonts w:hint="eastAsia" w:ascii="楷体" w:hAnsi="楷体" w:eastAsia="楷体" w:cs="Times New Roman"/>
          <w:kern w:val="2"/>
          <w:sz w:val="21"/>
          <w:szCs w:val="21"/>
          <w:highlight w:val="none"/>
          <w:lang w:val="en-US" w:eastAsia="zh-CN" w:bidi="ar-SA"/>
        </w:rPr>
        <w:t>）</w:t>
      </w:r>
    </w:p>
    <w:p>
      <w:pPr>
        <w:keepNext w:val="0"/>
        <w:keepLines w:val="0"/>
        <w:pageBreakBefore w:val="0"/>
        <w:wordWrap/>
        <w:topLinePunct w:val="0"/>
        <w:autoSpaceDE/>
        <w:autoSpaceDN/>
        <w:bidi w:val="0"/>
        <w:jc w:val="center"/>
        <w:textAlignment w:val="auto"/>
        <w:rPr>
          <w:rFonts w:hint="eastAsia" w:ascii="楷体" w:hAnsi="楷体" w:eastAsia="楷体" w:cs="宋体"/>
          <w:b/>
          <w:kern w:val="0"/>
          <w:sz w:val="24"/>
          <w:szCs w:val="24"/>
          <w:highlight w:val="none"/>
          <w:lang w:eastAsia="zh-CN"/>
        </w:rPr>
      </w:pPr>
      <w:r>
        <w:rPr>
          <w:rFonts w:hint="eastAsia" w:ascii="楷体" w:hAnsi="楷体" w:eastAsia="楷体" w:cs="宋体"/>
          <w:b/>
          <w:kern w:val="0"/>
          <w:sz w:val="24"/>
          <w:szCs w:val="24"/>
          <w:highlight w:val="none"/>
          <w:lang w:eastAsia="zh-CN"/>
        </w:rPr>
        <w:t>理财非存款、产品有风险、投资须谨慎</w:t>
      </w:r>
    </w:p>
    <w:p>
      <w:pPr>
        <w:keepNext w:val="0"/>
        <w:keepLines w:val="0"/>
        <w:pageBreakBefore w:val="0"/>
        <w:wordWrap/>
        <w:topLinePunct w:val="0"/>
        <w:autoSpaceDE/>
        <w:autoSpaceDN/>
        <w:bidi w:val="0"/>
        <w:textAlignment w:val="auto"/>
        <w:rPr>
          <w:rFonts w:hint="eastAsia" w:ascii="楷体" w:hAnsi="楷体" w:eastAsia="楷体" w:cs="Times New Roman"/>
          <w:b/>
          <w:sz w:val="21"/>
          <w:szCs w:val="21"/>
          <w:highlight w:val="none"/>
        </w:rPr>
      </w:pPr>
      <w:r>
        <w:rPr>
          <w:rFonts w:hint="eastAsia" w:ascii="楷体" w:hAnsi="楷体" w:eastAsia="楷体" w:cs="Times New Roman"/>
          <w:b/>
          <w:sz w:val="21"/>
          <w:szCs w:val="21"/>
          <w:highlight w:val="none"/>
        </w:rPr>
        <w:t>重要须知</w:t>
      </w:r>
    </w:p>
    <w:p>
      <w:pPr>
        <w:keepNext w:val="0"/>
        <w:keepLines w:val="0"/>
        <w:pageBreakBefore w:val="0"/>
        <w:numPr>
          <w:ilvl w:val="0"/>
          <w:numId w:val="5"/>
        </w:numPr>
        <w:wordWrap/>
        <w:topLinePunct w:val="0"/>
        <w:autoSpaceDE/>
        <w:autoSpaceDN/>
        <w:bidi w:val="0"/>
        <w:ind w:left="420" w:leftChars="0" w:hanging="420" w:firstLineChars="0"/>
        <w:textAlignment w:val="auto"/>
        <w:rPr>
          <w:rFonts w:ascii="楷体" w:hAnsi="楷体" w:eastAsia="楷体"/>
          <w:sz w:val="21"/>
          <w:szCs w:val="21"/>
          <w:highlight w:val="none"/>
        </w:rPr>
      </w:pPr>
      <w:r>
        <w:rPr>
          <w:rFonts w:hint="eastAsia" w:ascii="楷体" w:hAnsi="楷体" w:eastAsia="楷体"/>
          <w:sz w:val="21"/>
          <w:szCs w:val="21"/>
          <w:highlight w:val="none"/>
        </w:rPr>
        <w:t>在购买本理财产品前，投资者应确保自己完全理解该项投资的性质和所涉及的风险，详细了解和审慎评估该理财产品的</w:t>
      </w:r>
      <w:r>
        <w:rPr>
          <w:rFonts w:hint="eastAsia" w:ascii="楷体" w:hAnsi="楷体" w:eastAsia="楷体"/>
          <w:sz w:val="21"/>
          <w:szCs w:val="21"/>
          <w:highlight w:val="none"/>
          <w:lang w:val="en-US" w:eastAsia="zh-CN"/>
        </w:rPr>
        <w:t>投资范围</w:t>
      </w:r>
      <w:r>
        <w:rPr>
          <w:rFonts w:hint="eastAsia" w:ascii="楷体" w:hAnsi="楷体" w:eastAsia="楷体"/>
          <w:sz w:val="21"/>
          <w:szCs w:val="21"/>
          <w:highlight w:val="none"/>
        </w:rPr>
        <w:t>、风险类型等基本情况，在慎重考虑后自行决定购买与自身风险承受能力和资产管理需求匹配的理财产品。</w:t>
      </w:r>
    </w:p>
    <w:p>
      <w:pPr>
        <w:keepNext w:val="0"/>
        <w:keepLines w:val="0"/>
        <w:pageBreakBefore w:val="0"/>
        <w:numPr>
          <w:ilvl w:val="0"/>
          <w:numId w:val="5"/>
        </w:numPr>
        <w:wordWrap/>
        <w:topLinePunct w:val="0"/>
        <w:autoSpaceDE/>
        <w:autoSpaceDN/>
        <w:bidi w:val="0"/>
        <w:ind w:left="420" w:leftChars="0" w:hanging="420" w:firstLineChars="0"/>
        <w:textAlignment w:val="auto"/>
        <w:rPr>
          <w:rFonts w:hint="eastAsia" w:ascii="楷体" w:hAnsi="楷体" w:eastAsia="楷体" w:cs="Times New Roman"/>
          <w:b/>
          <w:sz w:val="21"/>
          <w:szCs w:val="21"/>
          <w:highlight w:val="none"/>
          <w:u w:val="single"/>
        </w:rPr>
      </w:pPr>
      <w:r>
        <w:rPr>
          <w:rFonts w:hint="eastAsia" w:ascii="楷体" w:hAnsi="楷体" w:eastAsia="楷体"/>
          <w:b/>
          <w:sz w:val="21"/>
          <w:szCs w:val="21"/>
          <w:highlight w:val="none"/>
          <w:u w:val="single"/>
        </w:rPr>
        <w:t>本理</w:t>
      </w:r>
      <w:r>
        <w:rPr>
          <w:rFonts w:hint="eastAsia" w:ascii="楷体" w:hAnsi="楷体" w:eastAsia="楷体" w:cs="Times New Roman"/>
          <w:b/>
          <w:sz w:val="21"/>
          <w:szCs w:val="21"/>
          <w:highlight w:val="none"/>
          <w:u w:val="single"/>
        </w:rPr>
        <w:t>财产品不保证本金及收益，您的本金可能因市场变动</w:t>
      </w:r>
      <w:r>
        <w:rPr>
          <w:rFonts w:hint="eastAsia" w:ascii="楷体" w:hAnsi="楷体" w:eastAsia="楷体" w:cs="Times New Roman"/>
          <w:b/>
          <w:sz w:val="21"/>
          <w:szCs w:val="21"/>
          <w:highlight w:val="none"/>
          <w:u w:val="single"/>
          <w:lang w:val="en-US" w:eastAsia="zh-CN"/>
        </w:rPr>
        <w:t>或者交易违约等事项</w:t>
      </w:r>
      <w:r>
        <w:rPr>
          <w:rFonts w:hint="eastAsia" w:ascii="楷体" w:hAnsi="楷体" w:eastAsia="楷体" w:cs="Times New Roman"/>
          <w:b/>
          <w:sz w:val="21"/>
          <w:szCs w:val="21"/>
          <w:highlight w:val="none"/>
          <w:u w:val="single"/>
        </w:rPr>
        <w:t>而蒙受相应损失，投资者应充分认识投资风险，谨慎投资</w:t>
      </w:r>
      <w:r>
        <w:rPr>
          <w:rFonts w:hint="eastAsia" w:ascii="楷体" w:hAnsi="楷体" w:eastAsia="楷体" w:cs="Times New Roman"/>
          <w:b/>
          <w:sz w:val="21"/>
          <w:szCs w:val="21"/>
          <w:highlight w:val="none"/>
          <w:u w:val="single"/>
          <w:lang w:eastAsia="zh-CN"/>
        </w:rPr>
        <w:t>。</w:t>
      </w:r>
    </w:p>
    <w:p>
      <w:pPr>
        <w:keepNext w:val="0"/>
        <w:keepLines w:val="0"/>
        <w:pageBreakBefore w:val="0"/>
        <w:numPr>
          <w:ilvl w:val="0"/>
          <w:numId w:val="5"/>
        </w:numPr>
        <w:wordWrap/>
        <w:topLinePunct w:val="0"/>
        <w:autoSpaceDE/>
        <w:autoSpaceDN/>
        <w:bidi w:val="0"/>
        <w:ind w:left="420" w:leftChars="0" w:hanging="420" w:firstLineChars="0"/>
        <w:textAlignment w:val="auto"/>
        <w:rPr>
          <w:rFonts w:hint="eastAsia" w:ascii="楷体" w:hAnsi="楷体" w:eastAsia="楷体" w:cs="Times New Roman"/>
          <w:b/>
          <w:sz w:val="21"/>
          <w:szCs w:val="21"/>
          <w:highlight w:val="none"/>
          <w:u w:val="single"/>
        </w:rPr>
      </w:pPr>
      <w:r>
        <w:rPr>
          <w:rFonts w:hint="eastAsia" w:ascii="楷体" w:hAnsi="楷体" w:eastAsia="楷体" w:cs="Times New Roman"/>
          <w:b/>
          <w:sz w:val="21"/>
          <w:szCs w:val="21"/>
          <w:highlight w:val="none"/>
          <w:u w:val="single"/>
        </w:rPr>
        <w:t>本理财产品过往业绩不代表其未来表现，不等于理财产品实际收益，投资须谨慎；理财非存款、产品有风险、投资须谨慎。</w:t>
      </w:r>
    </w:p>
    <w:p>
      <w:pPr>
        <w:keepNext w:val="0"/>
        <w:keepLines w:val="0"/>
        <w:pageBreakBefore w:val="0"/>
        <w:numPr>
          <w:ilvl w:val="0"/>
          <w:numId w:val="5"/>
        </w:numPr>
        <w:wordWrap/>
        <w:topLinePunct w:val="0"/>
        <w:autoSpaceDE/>
        <w:autoSpaceDN/>
        <w:bidi w:val="0"/>
        <w:ind w:left="420" w:leftChars="0" w:hanging="420" w:firstLineChars="0"/>
        <w:textAlignment w:val="auto"/>
        <w:rPr>
          <w:rFonts w:hint="eastAsia" w:ascii="楷体" w:hAnsi="楷体" w:eastAsia="楷体" w:cs="Times New Roman"/>
          <w:b/>
          <w:sz w:val="21"/>
          <w:szCs w:val="21"/>
          <w:highlight w:val="none"/>
          <w:u w:val="single"/>
        </w:rPr>
      </w:pPr>
      <w:r>
        <w:rPr>
          <w:rFonts w:hint="eastAsia" w:ascii="楷体" w:hAnsi="楷体" w:eastAsia="楷体" w:cs="Times New Roman"/>
          <w:b/>
          <w:sz w:val="21"/>
          <w:szCs w:val="21"/>
          <w:highlight w:val="none"/>
          <w:u w:val="single"/>
        </w:rPr>
        <w:t>本理财产品任何业绩比较基准</w:t>
      </w:r>
      <w:r>
        <w:rPr>
          <w:rFonts w:hint="eastAsia" w:ascii="楷体" w:hAnsi="楷体" w:eastAsia="楷体" w:cs="Times New Roman"/>
          <w:b/>
          <w:sz w:val="21"/>
          <w:szCs w:val="21"/>
          <w:highlight w:val="none"/>
          <w:u w:val="single"/>
          <w:lang w:val="en-US" w:eastAsia="zh-CN"/>
        </w:rPr>
        <w:t>及</w:t>
      </w:r>
      <w:r>
        <w:rPr>
          <w:rFonts w:hint="eastAsia" w:ascii="楷体" w:hAnsi="楷体" w:eastAsia="楷体" w:cs="Times New Roman"/>
          <w:b/>
          <w:sz w:val="21"/>
          <w:szCs w:val="21"/>
          <w:highlight w:val="none"/>
          <w:u w:val="single"/>
        </w:rPr>
        <w:t>类似表述均属不具有法律约束力的用语</w:t>
      </w:r>
      <w:r>
        <w:rPr>
          <w:rFonts w:hint="eastAsia" w:ascii="楷体" w:hAnsi="楷体" w:eastAsia="楷体" w:cs="Times New Roman"/>
          <w:b/>
          <w:sz w:val="21"/>
          <w:szCs w:val="21"/>
          <w:highlight w:val="none"/>
          <w:u w:val="single"/>
          <w:lang w:eastAsia="zh-CN"/>
        </w:rPr>
        <w:t>。</w:t>
      </w:r>
      <w:r>
        <w:rPr>
          <w:rFonts w:hint="eastAsia" w:ascii="楷体" w:hAnsi="楷体" w:eastAsia="楷体" w:cs="Times New Roman"/>
          <w:b/>
          <w:sz w:val="21"/>
          <w:szCs w:val="21"/>
          <w:highlight w:val="none"/>
          <w:u w:val="single"/>
        </w:rPr>
        <w:t>业绩比较基准</w:t>
      </w:r>
      <w:r>
        <w:rPr>
          <w:rFonts w:hint="eastAsia" w:ascii="楷体" w:hAnsi="楷体" w:eastAsia="楷体" w:cs="Times New Roman"/>
          <w:b/>
          <w:sz w:val="21"/>
          <w:szCs w:val="21"/>
          <w:highlight w:val="none"/>
          <w:u w:val="single"/>
          <w:lang w:val="en-US" w:eastAsia="zh-CN"/>
        </w:rPr>
        <w:t>为</w:t>
      </w:r>
      <w:r>
        <w:rPr>
          <w:rFonts w:hint="eastAsia" w:ascii="楷体" w:hAnsi="楷体" w:eastAsia="楷体" w:cs="Times New Roman"/>
          <w:b/>
          <w:sz w:val="21"/>
          <w:szCs w:val="21"/>
          <w:highlight w:val="none"/>
          <w:u w:val="single"/>
        </w:rPr>
        <w:t>管理人基于产品性质、投资策略、过往经验等因素对产品设定的投资目标。业绩比较基准不是预期收益率，不代表产品的未来表现和实际收益，不构成对产品收益的承诺。</w:t>
      </w:r>
    </w:p>
    <w:p>
      <w:pPr>
        <w:keepNext w:val="0"/>
        <w:keepLines w:val="0"/>
        <w:pageBreakBefore w:val="0"/>
        <w:numPr>
          <w:ilvl w:val="0"/>
          <w:numId w:val="5"/>
        </w:numPr>
        <w:wordWrap/>
        <w:topLinePunct w:val="0"/>
        <w:autoSpaceDE/>
        <w:autoSpaceDN/>
        <w:bidi w:val="0"/>
        <w:ind w:left="420" w:leftChars="0" w:hanging="420" w:firstLineChars="0"/>
        <w:textAlignment w:val="auto"/>
        <w:rPr>
          <w:rFonts w:hint="eastAsia" w:ascii="楷体" w:hAnsi="楷体" w:eastAsia="楷体"/>
          <w:sz w:val="21"/>
          <w:szCs w:val="21"/>
          <w:highlight w:val="none"/>
        </w:rPr>
      </w:pPr>
      <w:r>
        <w:rPr>
          <w:rFonts w:hint="eastAsia" w:ascii="楷体" w:hAnsi="楷体" w:eastAsia="楷体"/>
          <w:sz w:val="21"/>
          <w:szCs w:val="21"/>
          <w:highlight w:val="none"/>
        </w:rPr>
        <w:t>《风险揭示书》、《理财产品说明书》、《理财产品投资协议书》、《投资者权益须知》、《理财产品（代理）销售协议书》共同构成本理财产品完整的不可分割的理财产品合同。</w:t>
      </w:r>
    </w:p>
    <w:p>
      <w:pPr>
        <w:keepNext w:val="0"/>
        <w:keepLines w:val="0"/>
        <w:pageBreakBefore w:val="0"/>
        <w:numPr>
          <w:ilvl w:val="0"/>
          <w:numId w:val="5"/>
        </w:numPr>
        <w:wordWrap/>
        <w:topLinePunct w:val="0"/>
        <w:autoSpaceDE/>
        <w:autoSpaceDN/>
        <w:bidi w:val="0"/>
        <w:ind w:left="420" w:leftChars="0" w:hanging="420" w:firstLineChars="0"/>
        <w:textAlignment w:val="auto"/>
        <w:rPr>
          <w:rFonts w:hint="eastAsia" w:ascii="楷体" w:hAnsi="楷体" w:eastAsia="楷体"/>
          <w:sz w:val="21"/>
          <w:szCs w:val="21"/>
          <w:highlight w:val="none"/>
        </w:rPr>
      </w:pPr>
      <w:r>
        <w:rPr>
          <w:rFonts w:hint="eastAsia" w:ascii="楷体" w:hAnsi="楷体" w:eastAsia="楷体"/>
          <w:sz w:val="21"/>
          <w:szCs w:val="21"/>
          <w:highlight w:val="none"/>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如有）</w:t>
      </w:r>
      <w:r>
        <w:rPr>
          <w:rFonts w:hint="eastAsia" w:ascii="楷体" w:hAnsi="楷体" w:eastAsia="楷体"/>
          <w:sz w:val="21"/>
          <w:szCs w:val="21"/>
          <w:highlight w:val="none"/>
        </w:rPr>
        <w:t>、不可抗力风险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关联关系及关联交易风险、</w:t>
      </w:r>
      <w:r>
        <w:rPr>
          <w:rFonts w:hint="eastAsia" w:ascii="楷体" w:hAnsi="楷体" w:eastAsia="楷体"/>
          <w:sz w:val="21"/>
          <w:szCs w:val="21"/>
          <w:highlight w:val="none"/>
          <w:lang w:eastAsia="zh-CN"/>
        </w:rPr>
        <w:t>特定投资标的风险</w:t>
      </w:r>
      <w:r>
        <w:rPr>
          <w:rFonts w:hint="eastAsia" w:ascii="楷体" w:hAnsi="楷体" w:eastAsia="楷体"/>
          <w:sz w:val="21"/>
          <w:szCs w:val="21"/>
          <w:highlight w:val="none"/>
        </w:rPr>
        <w:t>等。请仔细阅读《“苏银理财</w:t>
      </w:r>
      <w:r>
        <w:rPr>
          <w:rFonts w:hint="eastAsia" w:ascii="楷体" w:hAnsi="楷体" w:eastAsia="楷体"/>
          <w:sz w:val="21"/>
          <w:szCs w:val="21"/>
          <w:highlight w:val="none"/>
          <w:lang w:eastAsia="zh-CN"/>
        </w:rPr>
        <w:t>恒源灵动最短持有7天21号</w:t>
      </w:r>
      <w:r>
        <w:rPr>
          <w:rFonts w:hint="eastAsia" w:ascii="楷体" w:hAnsi="楷体" w:eastAsia="楷体"/>
          <w:sz w:val="21"/>
          <w:szCs w:val="21"/>
          <w:highlight w:val="none"/>
        </w:rPr>
        <w:t>”理财产品风险揭示书》的“风险揭示”部分。</w:t>
      </w:r>
    </w:p>
    <w:p>
      <w:pPr>
        <w:keepNext w:val="0"/>
        <w:keepLines w:val="0"/>
        <w:pageBreakBefore w:val="0"/>
        <w:numPr>
          <w:ilvl w:val="0"/>
          <w:numId w:val="5"/>
        </w:numPr>
        <w:wordWrap/>
        <w:topLinePunct w:val="0"/>
        <w:autoSpaceDE/>
        <w:autoSpaceDN/>
        <w:bidi w:val="0"/>
        <w:ind w:left="420" w:leftChars="0" w:hanging="420" w:firstLineChars="0"/>
        <w:textAlignment w:val="auto"/>
        <w:rPr>
          <w:rFonts w:hint="eastAsia" w:ascii="楷体" w:hAnsi="楷体" w:eastAsia="楷体"/>
          <w:b/>
          <w:bCs/>
          <w:sz w:val="21"/>
          <w:szCs w:val="21"/>
          <w:highlight w:val="none"/>
          <w:u w:val="single"/>
        </w:rPr>
      </w:pPr>
      <w:r>
        <w:rPr>
          <w:rFonts w:hint="eastAsia" w:ascii="楷体" w:hAnsi="楷体" w:eastAsia="楷体"/>
          <w:b/>
          <w:bCs/>
          <w:sz w:val="21"/>
          <w:szCs w:val="21"/>
          <w:highlight w:val="none"/>
          <w:u w:val="single"/>
          <w:lang w:val="en-US" w:eastAsia="zh-CN"/>
        </w:rPr>
        <w:t>本产品可设置多类份额，各类份额可能设置不同的销售对象、销售起点、业绩比较基准等，各类份额实际收取的销售服务费率、投资管理费率、超额业绩报酬（如有）等可能存在差异，投资者应根据实际情况自主选择购买。</w:t>
      </w:r>
    </w:p>
    <w:p>
      <w:pPr>
        <w:keepNext w:val="0"/>
        <w:keepLines w:val="0"/>
        <w:pageBreakBefore w:val="0"/>
        <w:numPr>
          <w:ilvl w:val="0"/>
          <w:numId w:val="5"/>
        </w:numPr>
        <w:wordWrap/>
        <w:topLinePunct w:val="0"/>
        <w:autoSpaceDE/>
        <w:autoSpaceDN/>
        <w:bidi w:val="0"/>
        <w:ind w:left="420" w:leftChars="0" w:hanging="420" w:firstLineChars="0"/>
        <w:textAlignment w:val="auto"/>
        <w:rPr>
          <w:rFonts w:hint="eastAsia" w:ascii="楷体" w:hAnsi="楷体" w:eastAsia="楷体" w:cs="Times New Roman"/>
          <w:b/>
          <w:sz w:val="21"/>
          <w:szCs w:val="21"/>
          <w:highlight w:val="none"/>
          <w:u w:val="single"/>
        </w:rPr>
      </w:pPr>
      <w:r>
        <w:rPr>
          <w:rFonts w:hint="eastAsia" w:ascii="楷体" w:hAnsi="楷体" w:eastAsia="楷体" w:cs="Times New Roman"/>
          <w:b/>
          <w:sz w:val="21"/>
          <w:szCs w:val="21"/>
          <w:highlight w:val="none"/>
          <w:u w:val="single"/>
        </w:rPr>
        <w:t>投资者不得使用贷款、发行债券等筹集的非自有资金投资本理财产品。</w:t>
      </w:r>
    </w:p>
    <w:p>
      <w:pPr>
        <w:keepNext w:val="0"/>
        <w:keepLines w:val="0"/>
        <w:pageBreakBefore w:val="0"/>
        <w:numPr>
          <w:ilvl w:val="0"/>
          <w:numId w:val="5"/>
        </w:numPr>
        <w:wordWrap/>
        <w:topLinePunct w:val="0"/>
        <w:autoSpaceDE/>
        <w:autoSpaceDN/>
        <w:bidi w:val="0"/>
        <w:ind w:left="420" w:leftChars="0" w:hanging="420" w:firstLineChars="0"/>
        <w:textAlignment w:val="auto"/>
        <w:rPr>
          <w:rFonts w:hint="eastAsia" w:ascii="楷体" w:hAnsi="楷体" w:eastAsia="楷体" w:cs="Times New Roman"/>
          <w:sz w:val="21"/>
          <w:szCs w:val="21"/>
          <w:highlight w:val="none"/>
        </w:rPr>
      </w:pPr>
      <w:r>
        <w:rPr>
          <w:rFonts w:hint="eastAsia" w:ascii="楷体" w:hAnsi="楷体" w:eastAsia="楷体" w:cs="Times New Roman"/>
          <w:sz w:val="21"/>
          <w:szCs w:val="21"/>
          <w:highlight w:val="none"/>
        </w:rPr>
        <w:t>在本产品存续期内，如因监管政策或法律法规发生变化，在不损害投资者利益的前提下，苏银理财有权单方对本产品条款进行修订，并按本理财产品说明书约定的信息披露方式予以披露。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0"/>
        <w:rPr>
          <w:rFonts w:hint="eastAsia" w:ascii="楷体" w:hAnsi="楷体" w:eastAsia="楷体" w:cs="Times New Roman"/>
          <w:b/>
          <w:sz w:val="21"/>
          <w:szCs w:val="21"/>
          <w:highlight w:val="none"/>
        </w:rPr>
      </w:pPr>
      <w:r>
        <w:rPr>
          <w:rFonts w:hint="eastAsia" w:ascii="楷体" w:hAnsi="楷体" w:eastAsia="楷体" w:cs="Times New Roman"/>
          <w:b/>
          <w:sz w:val="21"/>
          <w:szCs w:val="21"/>
          <w:highlight w:val="none"/>
        </w:rPr>
        <w:t>产品要素</w:t>
      </w:r>
    </w:p>
    <w:p>
      <w:pPr>
        <w:keepNext w:val="0"/>
        <w:keepLines w:val="0"/>
        <w:pageBreakBefore w:val="0"/>
        <w:numPr>
          <w:ilvl w:val="0"/>
          <w:numId w:val="0"/>
        </w:numPr>
        <w:tabs>
          <w:tab w:val="left" w:pos="728"/>
        </w:tabs>
        <w:wordWrap/>
        <w:topLinePunct w:val="0"/>
        <w:autoSpaceDE/>
        <w:autoSpaceDN/>
        <w:bidi w:val="0"/>
        <w:ind w:left="0" w:leftChars="0" w:firstLine="420" w:firstLineChars="200"/>
        <w:textAlignment w:val="auto"/>
        <w:rPr>
          <w:rFonts w:hint="eastAsia" w:ascii="楷体" w:hAnsi="楷体" w:eastAsia="楷体" w:cs="Calibri"/>
          <w:sz w:val="21"/>
          <w:szCs w:val="21"/>
          <w:highlight w:val="none"/>
          <w:lang w:val="en-US" w:eastAsia="zh-CN"/>
        </w:rPr>
      </w:pPr>
      <w:r>
        <w:rPr>
          <w:rFonts w:hint="eastAsia" w:ascii="楷体" w:hAnsi="楷体" w:eastAsia="楷体" w:cs="Calibri"/>
          <w:sz w:val="21"/>
          <w:szCs w:val="21"/>
          <w:highlight w:val="none"/>
          <w:lang w:val="en-US" w:eastAsia="zh-CN"/>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产品名称</w:t>
            </w:r>
          </w:p>
        </w:tc>
        <w:tc>
          <w:tcPr>
            <w:tcW w:w="7937"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spacing w:line="240" w:lineRule="auto"/>
              <w:ind w:left="21" w:leftChars="10" w:right="21" w:rightChars="1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eastAsia="zh-CN"/>
              </w:rPr>
              <w:t>苏银理财恒源灵动最短持有7天21号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理财产品登记编码</w:t>
            </w:r>
          </w:p>
        </w:tc>
        <w:tc>
          <w:tcPr>
            <w:tcW w:w="7937"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spacing w:line="240" w:lineRule="auto"/>
              <w:ind w:left="21" w:leftChars="10" w:right="21" w:rightChars="10"/>
              <w:jc w:val="both"/>
              <w:textAlignment w:val="auto"/>
              <w:rPr>
                <w:rFonts w:ascii="楷体" w:hAnsi="楷体" w:eastAsia="楷体" w:cs="宋体"/>
                <w:spacing w:val="-2"/>
                <w:sz w:val="18"/>
                <w:szCs w:val="18"/>
                <w:highlight w:val="none"/>
              </w:rPr>
            </w:pPr>
            <w:r>
              <w:rPr>
                <w:rFonts w:hint="default" w:ascii="楷体" w:hAnsi="楷体" w:eastAsia="楷体" w:cs="宋体"/>
                <w:spacing w:val="-2"/>
                <w:sz w:val="18"/>
                <w:szCs w:val="18"/>
                <w:highlight w:val="none"/>
                <w:lang w:val="en-US" w:eastAsia="zh-CN"/>
              </w:rPr>
              <w:t>Z7003125000274，投资者可依据该编码在中国理财网www.chinawealth.com.cn查询产品信息。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lang w:val="en-US" w:eastAsia="zh-CN"/>
              </w:rPr>
              <w:t>销售名称</w:t>
            </w:r>
            <w:r>
              <w:rPr>
                <w:rFonts w:hint="eastAsia" w:ascii="楷体" w:hAnsi="楷体" w:eastAsia="楷体" w:cs="宋体"/>
                <w:b/>
                <w:spacing w:val="-2"/>
                <w:sz w:val="18"/>
                <w:szCs w:val="18"/>
                <w:highlight w:val="none"/>
              </w:rPr>
              <w:t>/销售代码</w:t>
            </w:r>
          </w:p>
        </w:tc>
        <w:tc>
          <w:tcPr>
            <w:tcW w:w="7937"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spacing w:line="240" w:lineRule="auto"/>
              <w:ind w:left="21" w:leftChars="10" w:right="21" w:rightChars="10"/>
              <w:jc w:val="both"/>
              <w:textAlignment w:val="auto"/>
              <w:rPr>
                <w:rFonts w:hint="default" w:ascii="楷体" w:hAnsi="楷体" w:eastAsia="楷体" w:cs="宋体"/>
                <w:spacing w:val="-2"/>
                <w:sz w:val="18"/>
                <w:szCs w:val="18"/>
                <w:highlight w:val="none"/>
                <w:lang w:val="en-US" w:eastAsia="zh-CN"/>
              </w:rPr>
            </w:pPr>
            <w:r>
              <w:rPr>
                <w:rFonts w:hint="default" w:ascii="楷体" w:hAnsi="楷体" w:eastAsia="楷体" w:cs="宋体"/>
                <w:spacing w:val="-2"/>
                <w:sz w:val="18"/>
                <w:szCs w:val="18"/>
                <w:highlight w:val="none"/>
                <w:lang w:val="en-US" w:eastAsia="zh-CN"/>
              </w:rPr>
              <w:t>A份额：苏银理财</w:t>
            </w:r>
            <w:r>
              <w:rPr>
                <w:rFonts w:hint="eastAsia" w:ascii="楷体" w:hAnsi="楷体" w:eastAsia="楷体" w:cs="宋体"/>
                <w:spacing w:val="-2"/>
                <w:sz w:val="18"/>
                <w:szCs w:val="18"/>
                <w:highlight w:val="none"/>
                <w:lang w:val="en-US" w:eastAsia="zh-CN"/>
              </w:rPr>
              <w:t>恒源灵动最短持有7天21号</w:t>
            </w:r>
            <w:r>
              <w:rPr>
                <w:rFonts w:hint="default" w:ascii="楷体" w:hAnsi="楷体" w:eastAsia="楷体" w:cs="宋体"/>
                <w:spacing w:val="-2"/>
                <w:sz w:val="18"/>
                <w:szCs w:val="18"/>
                <w:highlight w:val="none"/>
                <w:lang w:val="en-US" w:eastAsia="zh-CN"/>
              </w:rPr>
              <w:t>A/J09294</w:t>
            </w:r>
          </w:p>
          <w:p>
            <w:pPr>
              <w:pStyle w:val="34"/>
              <w:keepNext w:val="0"/>
              <w:keepLines w:val="0"/>
              <w:pageBreakBefore w:val="0"/>
              <w:widowControl w:val="0"/>
              <w:kinsoku w:val="0"/>
              <w:wordWrap/>
              <w:overflowPunct w:val="0"/>
              <w:topLinePunct w:val="0"/>
              <w:autoSpaceDE/>
              <w:autoSpaceDN/>
              <w:bidi w:val="0"/>
              <w:adjustRightInd w:val="0"/>
              <w:snapToGrid w:val="0"/>
              <w:spacing w:line="240" w:lineRule="auto"/>
              <w:ind w:left="21" w:leftChars="10" w:right="21" w:rightChars="1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F</w:t>
            </w:r>
            <w:r>
              <w:rPr>
                <w:rFonts w:hint="default" w:ascii="楷体" w:hAnsi="楷体" w:eastAsia="楷体" w:cs="宋体"/>
                <w:spacing w:val="-2"/>
                <w:sz w:val="18"/>
                <w:szCs w:val="18"/>
                <w:highlight w:val="none"/>
                <w:lang w:val="en-US" w:eastAsia="zh-CN"/>
              </w:rPr>
              <w:t>份额：苏银理财</w:t>
            </w:r>
            <w:r>
              <w:rPr>
                <w:rFonts w:hint="eastAsia" w:ascii="楷体" w:hAnsi="楷体" w:eastAsia="楷体" w:cs="宋体"/>
                <w:spacing w:val="-2"/>
                <w:sz w:val="18"/>
                <w:szCs w:val="18"/>
                <w:highlight w:val="none"/>
                <w:lang w:val="en-US" w:eastAsia="zh-CN"/>
              </w:rPr>
              <w:t>恒源灵动最短持有7天21号F</w:t>
            </w:r>
            <w:r>
              <w:rPr>
                <w:rFonts w:hint="default" w:ascii="楷体" w:hAnsi="楷体" w:eastAsia="楷体" w:cs="宋体"/>
                <w:spacing w:val="-2"/>
                <w:sz w:val="18"/>
                <w:szCs w:val="18"/>
                <w:highlight w:val="none"/>
                <w:lang w:val="en-US" w:eastAsia="zh-CN"/>
              </w:rPr>
              <w:t>/J09295</w:t>
            </w:r>
          </w:p>
          <w:p>
            <w:pPr>
              <w:pStyle w:val="34"/>
              <w:keepNext w:val="0"/>
              <w:keepLines w:val="0"/>
              <w:pageBreakBefore w:val="0"/>
              <w:widowControl w:val="0"/>
              <w:kinsoku w:val="0"/>
              <w:wordWrap/>
              <w:overflowPunct w:val="0"/>
              <w:topLinePunct w:val="0"/>
              <w:autoSpaceDE/>
              <w:autoSpaceDN/>
              <w:bidi w:val="0"/>
              <w:adjustRightInd w:val="0"/>
              <w:snapToGrid w:val="0"/>
              <w:spacing w:line="240" w:lineRule="auto"/>
              <w:ind w:left="21" w:leftChars="10" w:right="21" w:rightChars="1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G</w:t>
            </w:r>
            <w:r>
              <w:rPr>
                <w:rFonts w:hint="default" w:ascii="楷体" w:hAnsi="楷体" w:eastAsia="楷体" w:cs="宋体"/>
                <w:spacing w:val="-2"/>
                <w:sz w:val="18"/>
                <w:szCs w:val="18"/>
                <w:highlight w:val="none"/>
                <w:lang w:val="en-US" w:eastAsia="zh-CN"/>
              </w:rPr>
              <w:t>份额：苏银理财</w:t>
            </w:r>
            <w:r>
              <w:rPr>
                <w:rFonts w:hint="eastAsia" w:ascii="楷体" w:hAnsi="楷体" w:eastAsia="楷体" w:cs="宋体"/>
                <w:spacing w:val="-2"/>
                <w:sz w:val="18"/>
                <w:szCs w:val="18"/>
                <w:highlight w:val="none"/>
                <w:lang w:val="en-US" w:eastAsia="zh-CN"/>
              </w:rPr>
              <w:t>恒源灵动最短持有7天21号G</w:t>
            </w:r>
            <w:r>
              <w:rPr>
                <w:rFonts w:hint="default" w:ascii="楷体" w:hAnsi="楷体" w:eastAsia="楷体" w:cs="宋体"/>
                <w:spacing w:val="-2"/>
                <w:sz w:val="18"/>
                <w:szCs w:val="18"/>
                <w:highlight w:val="none"/>
                <w:lang w:val="en-US" w:eastAsia="zh-CN"/>
              </w:rPr>
              <w:t>/J09296</w:t>
            </w:r>
          </w:p>
          <w:p>
            <w:pPr>
              <w:pStyle w:val="34"/>
              <w:keepNext w:val="0"/>
              <w:keepLines w:val="0"/>
              <w:pageBreakBefore w:val="0"/>
              <w:widowControl w:val="0"/>
              <w:kinsoku w:val="0"/>
              <w:wordWrap/>
              <w:overflowPunct w:val="0"/>
              <w:topLinePunct w:val="0"/>
              <w:autoSpaceDE/>
              <w:autoSpaceDN/>
              <w:bidi w:val="0"/>
              <w:adjustRightInd w:val="0"/>
              <w:snapToGrid w:val="0"/>
              <w:spacing w:line="240" w:lineRule="auto"/>
              <w:ind w:left="21" w:leftChars="10" w:right="21" w:rightChars="10"/>
              <w:jc w:val="both"/>
              <w:textAlignment w:val="auto"/>
              <w:rPr>
                <w:rFonts w:hint="default" w:ascii="楷体" w:hAnsi="楷体" w:eastAsia="楷体" w:cs="宋体"/>
                <w:spacing w:val="-2"/>
                <w:sz w:val="18"/>
                <w:szCs w:val="18"/>
                <w:highlight w:val="none"/>
                <w:lang w:val="en-US" w:eastAsia="zh-CN"/>
              </w:rPr>
            </w:pPr>
            <w:r>
              <w:rPr>
                <w:rFonts w:hint="default" w:ascii="楷体" w:hAnsi="楷体" w:eastAsia="楷体" w:cs="宋体"/>
                <w:spacing w:val="-2"/>
                <w:sz w:val="18"/>
                <w:szCs w:val="18"/>
                <w:highlight w:val="none"/>
                <w:lang w:val="en-US" w:eastAsia="zh-CN"/>
              </w:rPr>
              <w:t>H份额：苏银理财</w:t>
            </w:r>
            <w:r>
              <w:rPr>
                <w:rFonts w:hint="eastAsia" w:ascii="楷体" w:hAnsi="楷体" w:eastAsia="楷体" w:cs="宋体"/>
                <w:spacing w:val="-2"/>
                <w:sz w:val="18"/>
                <w:szCs w:val="18"/>
                <w:highlight w:val="none"/>
                <w:lang w:val="en-US" w:eastAsia="zh-CN"/>
              </w:rPr>
              <w:t>恒源灵动最短持有7天21号</w:t>
            </w:r>
            <w:r>
              <w:rPr>
                <w:rFonts w:hint="default" w:ascii="楷体" w:hAnsi="楷体" w:eastAsia="楷体" w:cs="宋体"/>
                <w:spacing w:val="-2"/>
                <w:sz w:val="18"/>
                <w:szCs w:val="18"/>
                <w:highlight w:val="none"/>
                <w:lang w:val="en-US" w:eastAsia="zh-CN"/>
              </w:rPr>
              <w:t>H/J09297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产品类型</w:t>
            </w:r>
          </w:p>
        </w:tc>
        <w:tc>
          <w:tcPr>
            <w:tcW w:w="7937"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spacing w:line="240" w:lineRule="auto"/>
              <w:ind w:left="21" w:leftChars="10" w:right="21" w:rightChars="1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b/>
                <w:spacing w:val="-2"/>
                <w:sz w:val="18"/>
                <w:szCs w:val="18"/>
                <w:highlight w:val="none"/>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产品内部风险评级</w:t>
            </w:r>
          </w:p>
        </w:tc>
        <w:tc>
          <w:tcPr>
            <w:tcW w:w="793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21" w:leftChars="10" w:right="21" w:rightChars="10" w:firstLine="0" w:firstLineChars="0"/>
              <w:jc w:val="both"/>
              <w:textAlignment w:val="auto"/>
              <w:rPr>
                <w:rFonts w:hint="eastAsia" w:ascii="楷体" w:hAnsi="楷体" w:eastAsia="楷体"/>
                <w:color w:val="auto"/>
                <w:sz w:val="18"/>
                <w:szCs w:val="18"/>
                <w:highlight w:val="none"/>
              </w:rPr>
            </w:pPr>
            <w:r>
              <w:rPr>
                <w:rFonts w:hint="eastAsia" w:ascii="楷体" w:hAnsi="楷体" w:eastAsia="楷体"/>
                <w:color w:val="auto"/>
                <w:sz w:val="18"/>
                <w:szCs w:val="18"/>
                <w:highlight w:val="none"/>
                <w:lang w:val="en-US" w:eastAsia="zh-CN"/>
              </w:rPr>
              <w:t>1.</w:t>
            </w:r>
            <w:r>
              <w:rPr>
                <w:rFonts w:hint="eastAsia" w:ascii="楷体" w:hAnsi="楷体" w:eastAsia="楷体"/>
                <w:color w:val="auto"/>
                <w:sz w:val="18"/>
                <w:szCs w:val="18"/>
                <w:highlight w:val="none"/>
              </w:rPr>
              <w:t>本理财产品经苏银理财内部风险评级为</w:t>
            </w:r>
            <w:r>
              <w:rPr>
                <w:rFonts w:hint="eastAsia" w:ascii="楷体" w:hAnsi="楷体" w:eastAsia="楷体"/>
                <w:b/>
                <w:color w:val="auto"/>
                <w:sz w:val="18"/>
                <w:szCs w:val="18"/>
                <w:highlight w:val="none"/>
                <w:u w:val="single"/>
              </w:rPr>
              <w:t>★★二级，适合中低风险型投资者，适合投资策略为稳健发展</w:t>
            </w:r>
            <w:r>
              <w:rPr>
                <w:rFonts w:hint="eastAsia" w:ascii="楷体" w:hAnsi="楷体" w:eastAsia="楷体"/>
                <w:b/>
                <w:color w:val="auto"/>
                <w:sz w:val="18"/>
                <w:szCs w:val="18"/>
                <w:highlight w:val="none"/>
                <w:u w:val="single"/>
                <w:lang w:val="en-US" w:eastAsia="zh-CN"/>
              </w:rPr>
              <w:t>的投资者</w:t>
            </w:r>
            <w:r>
              <w:rPr>
                <w:rFonts w:hint="eastAsia" w:ascii="楷体" w:hAnsi="楷体" w:eastAsia="楷体"/>
                <w:color w:val="auto"/>
                <w:sz w:val="18"/>
                <w:szCs w:val="18"/>
                <w:highlight w:val="none"/>
              </w:rPr>
              <w:t>。本评级为</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内部评级，由</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根据理财产品的投资组合、同类产品过往业绩和风险状况等因素，对理财产品进行评级，仅供</w:t>
            </w:r>
            <w:r>
              <w:rPr>
                <w:rFonts w:hint="eastAsia" w:ascii="楷体" w:hAnsi="楷体" w:eastAsia="楷体"/>
                <w:color w:val="auto"/>
                <w:sz w:val="18"/>
                <w:szCs w:val="18"/>
                <w:highlight w:val="none"/>
                <w:lang w:val="en-US" w:eastAsia="zh-CN"/>
              </w:rPr>
              <w:t>投资者</w:t>
            </w:r>
            <w:r>
              <w:rPr>
                <w:rFonts w:hint="eastAsia" w:ascii="楷体" w:hAnsi="楷体" w:eastAsia="楷体"/>
                <w:color w:val="auto"/>
                <w:sz w:val="18"/>
                <w:szCs w:val="18"/>
                <w:highlight w:val="none"/>
              </w:rPr>
              <w:t>参考。</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30"/>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noWrap w:val="0"/>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风险星级</w:t>
                  </w:r>
                </w:p>
              </w:tc>
              <w:tc>
                <w:tcPr>
                  <w:tcW w:w="1095" w:type="pct"/>
                  <w:noWrap w:val="0"/>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风险级别</w:t>
                  </w:r>
                </w:p>
              </w:tc>
              <w:tc>
                <w:tcPr>
                  <w:tcW w:w="1493" w:type="pct"/>
                  <w:noWrap w:val="0"/>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适合的投资者类别</w:t>
                  </w:r>
                </w:p>
              </w:tc>
              <w:tc>
                <w:tcPr>
                  <w:tcW w:w="1229" w:type="pct"/>
                  <w:noWrap w:val="0"/>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noWrap w:val="0"/>
                  <w:vAlign w:val="bottom"/>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一级（PR1）</w:t>
                  </w:r>
                </w:p>
              </w:tc>
              <w:tc>
                <w:tcPr>
                  <w:tcW w:w="1493" w:type="pct"/>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低风险型</w:t>
                  </w:r>
                </w:p>
              </w:tc>
              <w:tc>
                <w:tcPr>
                  <w:tcW w:w="1229" w:type="pct"/>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noWrap w:val="0"/>
                  <w:vAlign w:val="bottom"/>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w:t>
                  </w:r>
                </w:p>
              </w:tc>
              <w:tc>
                <w:tcPr>
                  <w:tcW w:w="1095" w:type="pct"/>
                  <w:noWrap w:val="0"/>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二级（PR2）</w:t>
                  </w:r>
                </w:p>
              </w:tc>
              <w:tc>
                <w:tcPr>
                  <w:tcW w:w="1493" w:type="pct"/>
                  <w:noWrap w:val="0"/>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中低风险型</w:t>
                  </w:r>
                </w:p>
              </w:tc>
              <w:tc>
                <w:tcPr>
                  <w:tcW w:w="1229" w:type="pct"/>
                  <w:noWrap w:val="0"/>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noWrap w:val="0"/>
                  <w:vAlign w:val="bottom"/>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noWrap w:val="0"/>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三级（PR3）</w:t>
                  </w:r>
                </w:p>
              </w:tc>
              <w:tc>
                <w:tcPr>
                  <w:tcW w:w="1493" w:type="pct"/>
                  <w:noWrap w:val="0"/>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中风险型</w:t>
                  </w:r>
                </w:p>
              </w:tc>
              <w:tc>
                <w:tcPr>
                  <w:tcW w:w="1229" w:type="pct"/>
                  <w:noWrap w:val="0"/>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noWrap w:val="0"/>
                  <w:vAlign w:val="bottom"/>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noWrap w:val="0"/>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四级（PR4）</w:t>
                  </w:r>
                </w:p>
              </w:tc>
              <w:tc>
                <w:tcPr>
                  <w:tcW w:w="1493" w:type="pct"/>
                  <w:noWrap w:val="0"/>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中高风险型</w:t>
                  </w:r>
                </w:p>
              </w:tc>
              <w:tc>
                <w:tcPr>
                  <w:tcW w:w="1229" w:type="pct"/>
                  <w:noWrap w:val="0"/>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noWrap w:val="0"/>
                  <w:vAlign w:val="bottom"/>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noWrap w:val="0"/>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五级（PR5）</w:t>
                  </w:r>
                </w:p>
              </w:tc>
              <w:tc>
                <w:tcPr>
                  <w:tcW w:w="1493" w:type="pct"/>
                  <w:noWrap w:val="0"/>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高风险型</w:t>
                  </w:r>
                </w:p>
              </w:tc>
              <w:tc>
                <w:tcPr>
                  <w:tcW w:w="1229" w:type="pct"/>
                  <w:noWrap w:val="0"/>
                  <w:vAlign w:val="center"/>
                </w:tcPr>
                <w:p>
                  <w:pPr>
                    <w:keepNext w:val="0"/>
                    <w:keepLines w:val="0"/>
                    <w:pageBreakBefore w:val="0"/>
                    <w:widowControl w:val="0"/>
                    <w:kinsoku/>
                    <w:wordWrap/>
                    <w:overflowPunct/>
                    <w:topLinePunct w:val="0"/>
                    <w:autoSpaceDE/>
                    <w:autoSpaceDN/>
                    <w:bidi w:val="0"/>
                    <w:adjustRightInd/>
                    <w:snapToGrid w:val="0"/>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风险承受</w:t>
                  </w:r>
                </w:p>
              </w:tc>
            </w:tr>
          </w:tbl>
          <w:p>
            <w:pPr>
              <w:keepNext w:val="0"/>
              <w:keepLines w:val="0"/>
              <w:pageBreakBefore w:val="0"/>
              <w:widowControl w:val="0"/>
              <w:numPr>
                <w:ilvl w:val="0"/>
                <w:numId w:val="0"/>
              </w:numPr>
              <w:wordWrap/>
              <w:topLinePunct w:val="0"/>
              <w:autoSpaceDE/>
              <w:autoSpaceDN/>
              <w:bidi w:val="0"/>
              <w:snapToGrid w:val="0"/>
              <w:spacing w:line="240" w:lineRule="auto"/>
              <w:ind w:left="21" w:leftChars="10" w:right="21" w:rightChars="10" w:firstLine="0" w:firstLineChars="0"/>
              <w:jc w:val="both"/>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34"/>
              <w:keepNext w:val="0"/>
              <w:keepLines w:val="0"/>
              <w:pageBreakBefore w:val="0"/>
              <w:widowControl w:val="0"/>
              <w:kinsoku w:val="0"/>
              <w:wordWrap/>
              <w:overflowPunct w:val="0"/>
              <w:topLinePunct w:val="0"/>
              <w:autoSpaceDE/>
              <w:autoSpaceDN/>
              <w:bidi w:val="0"/>
              <w:snapToGrid w:val="0"/>
              <w:spacing w:line="240" w:lineRule="auto"/>
              <w:ind w:left="21" w:leftChars="10" w:right="21" w:rightChars="10"/>
              <w:jc w:val="both"/>
              <w:textAlignment w:val="auto"/>
              <w:rPr>
                <w:rFonts w:ascii="楷体" w:hAnsi="楷体" w:eastAsia="楷体" w:cs="宋体"/>
                <w:spacing w:val="-2"/>
                <w:sz w:val="18"/>
                <w:szCs w:val="18"/>
                <w:highlight w:val="none"/>
              </w:rPr>
            </w:pPr>
            <w:r>
              <w:rPr>
                <w:rFonts w:hint="eastAsia" w:ascii="楷体" w:hAnsi="楷体" w:eastAsia="楷体"/>
                <w:color w:val="auto"/>
                <w:sz w:val="18"/>
                <w:szCs w:val="18"/>
                <w:highlight w:val="none"/>
                <w:lang w:val="en-US" w:eastAsia="zh-CN"/>
              </w:rPr>
              <w:t>3.</w:t>
            </w:r>
            <w:r>
              <w:rPr>
                <w:rFonts w:hint="eastAsia" w:ascii="楷体" w:hAnsi="楷体" w:eastAsia="楷体"/>
                <w:color w:val="auto"/>
                <w:sz w:val="18"/>
                <w:szCs w:val="18"/>
                <w:highlight w:val="none"/>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销售对象</w:t>
            </w:r>
          </w:p>
        </w:tc>
        <w:tc>
          <w:tcPr>
            <w:tcW w:w="7937" w:type="dxa"/>
            <w:noWrap w:val="0"/>
            <w:vAlign w:val="center"/>
          </w:tcPr>
          <w:p>
            <w:pPr>
              <w:pStyle w:val="34"/>
              <w:keepNext w:val="0"/>
              <w:keepLines w:val="0"/>
              <w:pageBreakBefore w:val="0"/>
              <w:widowControl w:val="0"/>
              <w:kinsoku w:val="0"/>
              <w:wordWrap/>
              <w:overflowPunct w:val="0"/>
              <w:topLinePunct w:val="0"/>
              <w:autoSpaceDE/>
              <w:autoSpaceDN/>
              <w:bidi w:val="0"/>
              <w:snapToGrid w:val="0"/>
              <w:spacing w:line="240" w:lineRule="auto"/>
              <w:ind w:left="21" w:leftChars="10" w:right="21" w:rightChars="1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币种</w:t>
            </w:r>
          </w:p>
        </w:tc>
        <w:tc>
          <w:tcPr>
            <w:tcW w:w="7937" w:type="dxa"/>
            <w:noWrap w:val="0"/>
            <w:vAlign w:val="center"/>
          </w:tcPr>
          <w:p>
            <w:pPr>
              <w:pStyle w:val="34"/>
              <w:keepNext w:val="0"/>
              <w:keepLines w:val="0"/>
              <w:pageBreakBefore w:val="0"/>
              <w:widowControl w:val="0"/>
              <w:kinsoku w:val="0"/>
              <w:wordWrap/>
              <w:overflowPunct w:val="0"/>
              <w:topLinePunct w:val="0"/>
              <w:autoSpaceDE/>
              <w:autoSpaceDN/>
              <w:bidi w:val="0"/>
              <w:snapToGrid w:val="0"/>
              <w:spacing w:line="240" w:lineRule="auto"/>
              <w:ind w:left="21" w:leftChars="10" w:right="21" w:rightChars="1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份额面值</w:t>
            </w:r>
          </w:p>
        </w:tc>
        <w:tc>
          <w:tcPr>
            <w:tcW w:w="7937" w:type="dxa"/>
            <w:noWrap w:val="0"/>
            <w:vAlign w:val="center"/>
          </w:tcPr>
          <w:p>
            <w:pPr>
              <w:pStyle w:val="34"/>
              <w:keepNext w:val="0"/>
              <w:keepLines w:val="0"/>
              <w:pageBreakBefore w:val="0"/>
              <w:widowControl w:val="0"/>
              <w:kinsoku w:val="0"/>
              <w:wordWrap/>
              <w:overflowPunct w:val="0"/>
              <w:topLinePunct w:val="0"/>
              <w:autoSpaceDE/>
              <w:autoSpaceDN/>
              <w:bidi w:val="0"/>
              <w:snapToGrid w:val="0"/>
              <w:spacing w:line="240" w:lineRule="auto"/>
              <w:ind w:left="21" w:leftChars="10" w:right="21" w:rightChars="10"/>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rPr>
              <w:t>1元/份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计划发行规模</w:t>
            </w:r>
          </w:p>
        </w:tc>
        <w:tc>
          <w:tcPr>
            <w:tcW w:w="7937" w:type="dxa"/>
            <w:noWrap w:val="0"/>
            <w:vAlign w:val="center"/>
          </w:tcPr>
          <w:p>
            <w:pPr>
              <w:pStyle w:val="34"/>
              <w:keepNext w:val="0"/>
              <w:keepLines w:val="0"/>
              <w:pageBreakBefore w:val="0"/>
              <w:widowControl w:val="0"/>
              <w:kinsoku w:val="0"/>
              <w:wordWrap/>
              <w:overflowPunct w:val="0"/>
              <w:topLinePunct w:val="0"/>
              <w:autoSpaceDE/>
              <w:autoSpaceDN/>
              <w:bidi w:val="0"/>
              <w:snapToGrid w:val="0"/>
              <w:spacing w:line="240" w:lineRule="auto"/>
              <w:ind w:left="21" w:leftChars="10" w:right="21" w:rightChars="1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本产品计划发行规模为10000万元，管理人有权根据实际需要调整计划发行规模。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最低发行规模</w:t>
            </w:r>
          </w:p>
        </w:tc>
        <w:tc>
          <w:tcPr>
            <w:tcW w:w="7937" w:type="dxa"/>
            <w:noWrap w:val="0"/>
            <w:vAlign w:val="center"/>
          </w:tcPr>
          <w:p>
            <w:pPr>
              <w:keepNext w:val="0"/>
              <w:keepLines w:val="0"/>
              <w:pageBreakBefore w:val="0"/>
              <w:widowControl w:val="0"/>
              <w:wordWrap/>
              <w:topLinePunct w:val="0"/>
              <w:autoSpaceDE/>
              <w:autoSpaceDN/>
              <w:bidi w:val="0"/>
              <w:snapToGrid w:val="0"/>
              <w:spacing w:line="240" w:lineRule="auto"/>
              <w:ind w:left="21" w:leftChars="10" w:right="21" w:rightChars="1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rPr>
              <w:t>本产品最低发行规模为</w:t>
            </w:r>
            <w:r>
              <w:rPr>
                <w:rFonts w:hint="eastAsia" w:ascii="楷体" w:hAnsi="楷体" w:eastAsia="楷体" w:cs="宋体"/>
                <w:spacing w:val="-2"/>
                <w:kern w:val="0"/>
                <w:sz w:val="18"/>
                <w:szCs w:val="18"/>
                <w:highlight w:val="none"/>
                <w:lang w:val="en-US" w:eastAsia="zh-CN" w:bidi="ar-SA"/>
              </w:rPr>
              <w:t>3000万元</w:t>
            </w:r>
            <w:r>
              <w:rPr>
                <w:rFonts w:hint="eastAsia" w:ascii="楷体" w:hAnsi="楷体" w:eastAsia="楷体" w:cs="宋体"/>
                <w:spacing w:val="-2"/>
                <w:sz w:val="18"/>
                <w:szCs w:val="18"/>
                <w:highlight w:val="none"/>
              </w:rPr>
              <w:t>，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购买起点</w:t>
            </w:r>
            <w:r>
              <w:rPr>
                <w:rFonts w:ascii="楷体" w:hAnsi="楷体" w:eastAsia="楷体" w:cs="宋体"/>
                <w:b/>
                <w:spacing w:val="-2"/>
                <w:sz w:val="18"/>
                <w:szCs w:val="18"/>
                <w:highlight w:val="none"/>
              </w:rPr>
              <w:t>/</w:t>
            </w:r>
            <w:r>
              <w:rPr>
                <w:rFonts w:hint="eastAsia" w:ascii="楷体" w:hAnsi="楷体" w:eastAsia="楷体" w:cs="宋体"/>
                <w:b/>
                <w:spacing w:val="-2"/>
                <w:sz w:val="18"/>
                <w:szCs w:val="18"/>
                <w:highlight w:val="none"/>
              </w:rPr>
              <w:t>追加金额</w:t>
            </w:r>
          </w:p>
        </w:tc>
        <w:tc>
          <w:tcPr>
            <w:tcW w:w="7937" w:type="dxa"/>
            <w:noWrap w:val="0"/>
            <w:vAlign w:val="center"/>
          </w:tcPr>
          <w:p>
            <w:pPr>
              <w:keepNext w:val="0"/>
              <w:keepLines w:val="0"/>
              <w:pageBreakBefore w:val="0"/>
              <w:widowControl w:val="0"/>
              <w:wordWrap/>
              <w:topLinePunct w:val="0"/>
              <w:autoSpaceDE/>
              <w:autoSpaceDN/>
              <w:bidi w:val="0"/>
              <w:snapToGrid w:val="0"/>
              <w:spacing w:line="240" w:lineRule="auto"/>
              <w:ind w:left="21" w:leftChars="10" w:right="21" w:rightChars="10"/>
              <w:jc w:val="both"/>
              <w:textAlignment w:val="auto"/>
              <w:rPr>
                <w:rFonts w:hint="eastAsia" w:ascii="楷体" w:hAnsi="楷体" w:eastAsia="楷体"/>
                <w:sz w:val="18"/>
                <w:szCs w:val="18"/>
                <w:highlight w:val="none"/>
              </w:rPr>
            </w:pP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r>
              <w:rPr>
                <w:rFonts w:hint="eastAsia" w:ascii="楷体" w:hAnsi="楷体" w:eastAsia="楷体"/>
                <w:sz w:val="18"/>
                <w:szCs w:val="18"/>
                <w:highlight w:val="none"/>
                <w:lang w:eastAsia="zh-CN"/>
              </w:rPr>
              <w:t>。</w:t>
            </w:r>
            <w:r>
              <w:rPr>
                <w:rFonts w:hint="eastAsia" w:ascii="楷体" w:hAnsi="楷体" w:eastAsia="楷体"/>
                <w:sz w:val="18"/>
                <w:szCs w:val="18"/>
                <w:highlight w:val="none"/>
              </w:rPr>
              <w:t>苏银理财有权对上述起点金额和</w:t>
            </w:r>
            <w:r>
              <w:rPr>
                <w:rFonts w:hint="eastAsia" w:ascii="楷体" w:hAnsi="楷体" w:eastAsia="楷体"/>
                <w:sz w:val="18"/>
                <w:szCs w:val="18"/>
                <w:highlight w:val="none"/>
                <w:lang w:val="en-US" w:eastAsia="zh-CN"/>
              </w:rPr>
              <w:t>追加</w:t>
            </w:r>
            <w:r>
              <w:rPr>
                <w:rFonts w:hint="eastAsia" w:ascii="楷体" w:hAnsi="楷体" w:eastAsia="楷体"/>
                <w:sz w:val="18"/>
                <w:szCs w:val="18"/>
                <w:highlight w:val="none"/>
              </w:rPr>
              <w:t>金额进行调整，并在调整前进行公告。</w:t>
            </w:r>
            <w:r>
              <w:rPr>
                <w:rFonts w:hint="eastAsia" w:ascii="楷体" w:hAnsi="楷体" w:eastAsia="楷体"/>
                <w:sz w:val="18"/>
                <w:szCs w:val="18"/>
                <w:highlight w:val="none"/>
                <w:lang w:eastAsia="zh-CN"/>
              </w:rPr>
              <w:t>（</w:t>
            </w:r>
            <w:r>
              <w:rPr>
                <w:rFonts w:hint="eastAsia" w:ascii="楷体" w:hAnsi="楷体" w:eastAsia="楷体"/>
                <w:sz w:val="18"/>
                <w:szCs w:val="18"/>
                <w:highlight w:val="none"/>
              </w:rPr>
              <w:t>具体以销售机构设置为准</w:t>
            </w:r>
            <w:r>
              <w:rPr>
                <w:rFonts w:hint="eastAsia" w:ascii="楷体" w:hAnsi="楷体" w:eastAsia="楷体"/>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募集期</w:t>
            </w:r>
          </w:p>
        </w:tc>
        <w:tc>
          <w:tcPr>
            <w:tcW w:w="7937" w:type="dxa"/>
            <w:noWrap w:val="0"/>
            <w:vAlign w:val="center"/>
          </w:tcPr>
          <w:p>
            <w:pPr>
              <w:pStyle w:val="34"/>
              <w:keepNext w:val="0"/>
              <w:keepLines w:val="0"/>
              <w:pageBreakBefore w:val="0"/>
              <w:widowControl w:val="0"/>
              <w:kinsoku w:val="0"/>
              <w:wordWrap/>
              <w:overflowPunct w:val="0"/>
              <w:topLinePunct w:val="0"/>
              <w:autoSpaceDE/>
              <w:autoSpaceDN/>
              <w:bidi w:val="0"/>
              <w:snapToGrid w:val="0"/>
              <w:spacing w:line="240" w:lineRule="auto"/>
              <w:ind w:left="21" w:leftChars="10" w:right="21" w:rightChars="1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202</w:t>
            </w:r>
            <w:r>
              <w:rPr>
                <w:rFonts w:hint="eastAsia" w:ascii="楷体" w:hAnsi="楷体" w:eastAsia="楷体" w:cs="宋体"/>
                <w:spacing w:val="-2"/>
                <w:sz w:val="18"/>
                <w:szCs w:val="18"/>
                <w:highlight w:val="none"/>
                <w:lang w:val="en-US" w:eastAsia="zh-CN"/>
              </w:rPr>
              <w:t>5</w:t>
            </w:r>
            <w:r>
              <w:rPr>
                <w:rFonts w:hint="eastAsia" w:ascii="楷体" w:hAnsi="楷体" w:eastAsia="楷体" w:cs="宋体"/>
                <w:spacing w:val="-2"/>
                <w:sz w:val="18"/>
                <w:szCs w:val="18"/>
                <w:highlight w:val="none"/>
              </w:rPr>
              <w:t>年</w:t>
            </w:r>
            <w:r>
              <w:rPr>
                <w:rFonts w:hint="eastAsia" w:ascii="楷体" w:hAnsi="楷体" w:eastAsia="楷体" w:cs="宋体"/>
                <w:spacing w:val="-2"/>
                <w:sz w:val="18"/>
                <w:szCs w:val="18"/>
                <w:highlight w:val="none"/>
                <w:lang w:val="en-US" w:eastAsia="zh-CN"/>
              </w:rPr>
              <w:t>10</w:t>
            </w:r>
            <w:r>
              <w:rPr>
                <w:rFonts w:hint="eastAsia" w:ascii="楷体" w:hAnsi="楷体" w:eastAsia="楷体" w:cs="宋体"/>
                <w:spacing w:val="-2"/>
                <w:sz w:val="18"/>
                <w:szCs w:val="18"/>
                <w:highlight w:val="none"/>
              </w:rPr>
              <w:t>月</w:t>
            </w:r>
            <w:r>
              <w:rPr>
                <w:rFonts w:hint="eastAsia" w:ascii="楷体" w:hAnsi="楷体" w:eastAsia="楷体" w:cs="宋体"/>
                <w:spacing w:val="-2"/>
                <w:sz w:val="18"/>
                <w:szCs w:val="18"/>
                <w:highlight w:val="none"/>
                <w:lang w:val="en-US" w:eastAsia="zh-CN"/>
              </w:rPr>
              <w:t>20</w:t>
            </w:r>
            <w:r>
              <w:rPr>
                <w:rFonts w:hint="eastAsia" w:ascii="楷体" w:hAnsi="楷体" w:eastAsia="楷体" w:cs="宋体"/>
                <w:spacing w:val="-2"/>
                <w:sz w:val="18"/>
                <w:szCs w:val="18"/>
                <w:highlight w:val="none"/>
              </w:rPr>
              <w:t>日</w:t>
            </w:r>
            <w:r>
              <w:rPr>
                <w:rFonts w:hint="eastAsia" w:ascii="楷体" w:hAnsi="楷体" w:eastAsia="楷体" w:cs="宋体"/>
                <w:spacing w:val="-2"/>
                <w:sz w:val="18"/>
                <w:szCs w:val="18"/>
                <w:highlight w:val="none"/>
                <w:lang w:val="en-US" w:eastAsia="zh-CN"/>
              </w:rPr>
              <w:t>至</w:t>
            </w:r>
            <w:r>
              <w:rPr>
                <w:rFonts w:hint="eastAsia" w:ascii="楷体" w:hAnsi="楷体" w:eastAsia="楷体" w:cs="宋体"/>
                <w:spacing w:val="-2"/>
                <w:sz w:val="18"/>
                <w:szCs w:val="18"/>
                <w:highlight w:val="none"/>
              </w:rPr>
              <w:t>20</w:t>
            </w:r>
            <w:r>
              <w:rPr>
                <w:rFonts w:hint="eastAsia" w:ascii="楷体" w:hAnsi="楷体" w:eastAsia="楷体" w:cs="宋体"/>
                <w:spacing w:val="-2"/>
                <w:sz w:val="18"/>
                <w:szCs w:val="18"/>
                <w:highlight w:val="none"/>
                <w:lang w:val="en-US" w:eastAsia="zh-CN"/>
              </w:rPr>
              <w:t>25</w:t>
            </w:r>
            <w:r>
              <w:rPr>
                <w:rFonts w:hint="eastAsia" w:ascii="楷体" w:hAnsi="楷体" w:eastAsia="楷体" w:cs="宋体"/>
                <w:spacing w:val="-2"/>
                <w:sz w:val="18"/>
                <w:szCs w:val="18"/>
                <w:highlight w:val="none"/>
              </w:rPr>
              <w:t>年</w:t>
            </w:r>
            <w:r>
              <w:rPr>
                <w:rFonts w:hint="eastAsia" w:ascii="楷体" w:hAnsi="楷体" w:eastAsia="楷体" w:cs="宋体"/>
                <w:spacing w:val="-2"/>
                <w:sz w:val="18"/>
                <w:szCs w:val="18"/>
                <w:highlight w:val="none"/>
                <w:lang w:val="en-US" w:eastAsia="zh-CN"/>
              </w:rPr>
              <w:t>10</w:t>
            </w:r>
            <w:r>
              <w:rPr>
                <w:rFonts w:hint="eastAsia" w:ascii="楷体" w:hAnsi="楷体" w:eastAsia="楷体" w:cs="宋体"/>
                <w:spacing w:val="-2"/>
                <w:sz w:val="18"/>
                <w:szCs w:val="18"/>
                <w:highlight w:val="none"/>
              </w:rPr>
              <w:t>月</w:t>
            </w:r>
            <w:r>
              <w:rPr>
                <w:rFonts w:hint="eastAsia" w:ascii="楷体" w:hAnsi="楷体" w:eastAsia="楷体" w:cs="宋体"/>
                <w:spacing w:val="-2"/>
                <w:sz w:val="18"/>
                <w:szCs w:val="18"/>
                <w:highlight w:val="none"/>
                <w:lang w:val="en-US" w:eastAsia="zh-CN"/>
              </w:rPr>
              <w:t>22</w:t>
            </w:r>
            <w:r>
              <w:rPr>
                <w:rFonts w:hint="eastAsia" w:ascii="楷体" w:hAnsi="楷体" w:eastAsia="楷体" w:cs="宋体"/>
                <w:spacing w:val="-2"/>
                <w:sz w:val="18"/>
                <w:szCs w:val="18"/>
                <w:highlight w:val="none"/>
              </w:rPr>
              <w:t>日。</w:t>
            </w:r>
          </w:p>
          <w:p>
            <w:pPr>
              <w:pStyle w:val="34"/>
              <w:keepNext w:val="0"/>
              <w:keepLines w:val="0"/>
              <w:pageBreakBefore w:val="0"/>
              <w:widowControl w:val="0"/>
              <w:kinsoku w:val="0"/>
              <w:wordWrap/>
              <w:overflowPunct w:val="0"/>
              <w:topLinePunct w:val="0"/>
              <w:autoSpaceDE/>
              <w:autoSpaceDN/>
              <w:bidi w:val="0"/>
              <w:snapToGrid w:val="0"/>
              <w:spacing w:line="240" w:lineRule="auto"/>
              <w:ind w:left="21" w:leftChars="10" w:right="21" w:rightChars="1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产品成立日</w:t>
            </w:r>
          </w:p>
        </w:tc>
        <w:tc>
          <w:tcPr>
            <w:tcW w:w="7937" w:type="dxa"/>
            <w:noWrap w:val="0"/>
            <w:vAlign w:val="center"/>
          </w:tcPr>
          <w:p>
            <w:pPr>
              <w:pStyle w:val="34"/>
              <w:keepNext w:val="0"/>
              <w:keepLines w:val="0"/>
              <w:pageBreakBefore w:val="0"/>
              <w:widowControl w:val="0"/>
              <w:kinsoku w:val="0"/>
              <w:wordWrap/>
              <w:overflowPunct w:val="0"/>
              <w:topLinePunct w:val="0"/>
              <w:autoSpaceDE/>
              <w:autoSpaceDN/>
              <w:bidi w:val="0"/>
              <w:snapToGrid w:val="0"/>
              <w:spacing w:line="240" w:lineRule="auto"/>
              <w:ind w:left="21" w:leftChars="10" w:right="21" w:rightChars="1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2025年</w:t>
            </w:r>
            <w:r>
              <w:rPr>
                <w:rFonts w:hint="eastAsia" w:ascii="楷体" w:hAnsi="楷体" w:eastAsia="楷体" w:cs="宋体"/>
                <w:spacing w:val="-2"/>
                <w:sz w:val="18"/>
                <w:szCs w:val="18"/>
                <w:highlight w:val="none"/>
                <w:lang w:val="en-US" w:eastAsia="zh-CN"/>
              </w:rPr>
              <w:t>10</w:t>
            </w:r>
            <w:r>
              <w:rPr>
                <w:rFonts w:hint="eastAsia" w:ascii="楷体" w:hAnsi="楷体" w:eastAsia="楷体" w:cs="宋体"/>
                <w:spacing w:val="-2"/>
                <w:sz w:val="18"/>
                <w:szCs w:val="18"/>
                <w:highlight w:val="none"/>
              </w:rPr>
              <w:t>月</w:t>
            </w:r>
            <w:r>
              <w:rPr>
                <w:rFonts w:hint="eastAsia" w:ascii="楷体" w:hAnsi="楷体" w:eastAsia="楷体" w:cs="宋体"/>
                <w:spacing w:val="-2"/>
                <w:sz w:val="18"/>
                <w:szCs w:val="18"/>
                <w:highlight w:val="none"/>
                <w:lang w:val="en-US" w:eastAsia="zh-CN"/>
              </w:rPr>
              <w:t>23</w:t>
            </w:r>
            <w:r>
              <w:rPr>
                <w:rFonts w:hint="eastAsia" w:ascii="楷体" w:hAnsi="楷体" w:eastAsia="楷体" w:cs="宋体"/>
                <w:spacing w:val="-2"/>
                <w:sz w:val="18"/>
                <w:szCs w:val="18"/>
                <w:highlight w:val="none"/>
              </w:rPr>
              <w:t>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hint="eastAsia" w:ascii="楷体" w:hAnsi="楷体" w:eastAsia="楷体" w:cs="宋体"/>
                <w:b/>
                <w:spacing w:val="-2"/>
                <w:sz w:val="18"/>
                <w:szCs w:val="18"/>
                <w:highlight w:val="none"/>
              </w:rPr>
            </w:pPr>
            <w:r>
              <w:rPr>
                <w:rFonts w:hint="eastAsia" w:ascii="楷体" w:hAnsi="楷体" w:eastAsia="楷体" w:cs="宋体"/>
                <w:b/>
                <w:color w:val="auto"/>
                <w:spacing w:val="-2"/>
                <w:sz w:val="18"/>
                <w:szCs w:val="18"/>
                <w:highlight w:val="none"/>
              </w:rPr>
              <w:t>产品</w:t>
            </w:r>
            <w:r>
              <w:rPr>
                <w:rFonts w:hint="eastAsia" w:ascii="楷体" w:hAnsi="楷体" w:eastAsia="楷体" w:cs="宋体"/>
                <w:b/>
                <w:color w:val="auto"/>
                <w:spacing w:val="-2"/>
                <w:sz w:val="18"/>
                <w:szCs w:val="18"/>
                <w:highlight w:val="none"/>
                <w:lang w:val="en-US" w:eastAsia="zh-CN"/>
              </w:rPr>
              <w:t>终止日/</w:t>
            </w:r>
            <w:r>
              <w:rPr>
                <w:rFonts w:hint="eastAsia" w:ascii="楷体" w:hAnsi="楷体" w:eastAsia="楷体" w:cs="宋体"/>
                <w:b/>
                <w:color w:val="auto"/>
                <w:spacing w:val="-2"/>
                <w:sz w:val="18"/>
                <w:szCs w:val="18"/>
                <w:highlight w:val="none"/>
              </w:rPr>
              <w:t>到期日</w:t>
            </w:r>
          </w:p>
        </w:tc>
        <w:tc>
          <w:tcPr>
            <w:tcW w:w="7937" w:type="dxa"/>
            <w:noWrap w:val="0"/>
            <w:vAlign w:val="top"/>
          </w:tcPr>
          <w:p>
            <w:pPr>
              <w:pStyle w:val="34"/>
              <w:keepNext w:val="0"/>
              <w:keepLines w:val="0"/>
              <w:pageBreakBefore w:val="0"/>
              <w:widowControl w:val="0"/>
              <w:kinsoku w:val="0"/>
              <w:wordWrap/>
              <w:overflowPunct w:val="0"/>
              <w:topLinePunct w:val="0"/>
              <w:autoSpaceDE/>
              <w:autoSpaceDN/>
              <w:bidi w:val="0"/>
              <w:snapToGrid w:val="0"/>
              <w:spacing w:line="240" w:lineRule="auto"/>
              <w:ind w:left="21" w:leftChars="10" w:right="21" w:rightChars="1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203</w:t>
            </w:r>
            <w:r>
              <w:rPr>
                <w:rFonts w:hint="eastAsia" w:ascii="楷体" w:hAnsi="楷体" w:eastAsia="楷体" w:cs="宋体"/>
                <w:spacing w:val="-2"/>
                <w:sz w:val="18"/>
                <w:szCs w:val="18"/>
                <w:highlight w:val="none"/>
                <w:lang w:val="en-US" w:eastAsia="zh-CN"/>
              </w:rPr>
              <w:t>5</w:t>
            </w:r>
            <w:r>
              <w:rPr>
                <w:rFonts w:hint="eastAsia" w:ascii="楷体" w:hAnsi="楷体" w:eastAsia="楷体" w:cs="宋体"/>
                <w:spacing w:val="-2"/>
                <w:sz w:val="18"/>
                <w:szCs w:val="18"/>
                <w:highlight w:val="none"/>
              </w:rPr>
              <w:t>年12月</w:t>
            </w:r>
            <w:r>
              <w:rPr>
                <w:rFonts w:hint="eastAsia" w:ascii="楷体" w:hAnsi="楷体" w:eastAsia="楷体" w:cs="宋体"/>
                <w:spacing w:val="-2"/>
                <w:sz w:val="18"/>
                <w:szCs w:val="18"/>
                <w:highlight w:val="none"/>
                <w:lang w:val="en-US" w:eastAsia="zh-CN"/>
              </w:rPr>
              <w:t>27</w:t>
            </w:r>
            <w:r>
              <w:rPr>
                <w:rFonts w:hint="eastAsia" w:ascii="楷体" w:hAnsi="楷体" w:eastAsia="楷体" w:cs="宋体"/>
                <w:spacing w:val="-2"/>
                <w:sz w:val="18"/>
                <w:szCs w:val="18"/>
                <w:highlight w:val="none"/>
              </w:rPr>
              <w:t>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如遇节假日，顺延至下一工作日。在符合产品说明书约定的条件下，管理人有权调整产品到期日，产品到期日受制于提前终止、延期终止条款。详见下文“产品终止”。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lang w:val="en-US" w:eastAsia="zh-CN"/>
              </w:rPr>
              <w:t>封闭运作期</w:t>
            </w:r>
          </w:p>
        </w:tc>
        <w:tc>
          <w:tcPr>
            <w:tcW w:w="7937" w:type="dxa"/>
            <w:noWrap w:val="0"/>
            <w:vAlign w:val="center"/>
          </w:tcPr>
          <w:p>
            <w:pPr>
              <w:pStyle w:val="34"/>
              <w:keepNext w:val="0"/>
              <w:keepLines w:val="0"/>
              <w:pageBreakBefore w:val="0"/>
              <w:widowControl w:val="0"/>
              <w:kinsoku w:val="0"/>
              <w:wordWrap/>
              <w:overflowPunct w:val="0"/>
              <w:topLinePunct w:val="0"/>
              <w:autoSpaceDE/>
              <w:autoSpaceDN/>
              <w:bidi w:val="0"/>
              <w:snapToGrid w:val="0"/>
              <w:spacing w:line="240" w:lineRule="auto"/>
              <w:ind w:left="21" w:leftChars="10" w:right="21" w:rightChars="10"/>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rPr>
              <w:t>2025年</w:t>
            </w:r>
            <w:r>
              <w:rPr>
                <w:rFonts w:hint="eastAsia" w:ascii="楷体" w:hAnsi="楷体" w:eastAsia="楷体" w:cs="宋体"/>
                <w:spacing w:val="-2"/>
                <w:sz w:val="18"/>
                <w:szCs w:val="18"/>
                <w:highlight w:val="none"/>
                <w:lang w:val="en-US" w:eastAsia="zh-CN"/>
              </w:rPr>
              <w:t>10</w:t>
            </w:r>
            <w:r>
              <w:rPr>
                <w:rFonts w:hint="eastAsia" w:ascii="楷体" w:hAnsi="楷体" w:eastAsia="楷体" w:cs="宋体"/>
                <w:spacing w:val="-2"/>
                <w:sz w:val="18"/>
                <w:szCs w:val="18"/>
                <w:highlight w:val="none"/>
              </w:rPr>
              <w:t>月</w:t>
            </w:r>
            <w:r>
              <w:rPr>
                <w:rFonts w:hint="eastAsia" w:ascii="楷体" w:hAnsi="楷体" w:eastAsia="楷体" w:cs="宋体"/>
                <w:spacing w:val="-2"/>
                <w:sz w:val="18"/>
                <w:szCs w:val="18"/>
                <w:highlight w:val="none"/>
                <w:lang w:val="en-US" w:eastAsia="zh-CN"/>
              </w:rPr>
              <w:t>23</w:t>
            </w:r>
            <w:r>
              <w:rPr>
                <w:rFonts w:hint="eastAsia" w:ascii="楷体" w:hAnsi="楷体" w:eastAsia="楷体" w:cs="宋体"/>
                <w:spacing w:val="-2"/>
                <w:sz w:val="18"/>
                <w:szCs w:val="18"/>
                <w:highlight w:val="none"/>
              </w:rPr>
              <w:t>日-2025年</w:t>
            </w:r>
            <w:r>
              <w:rPr>
                <w:rFonts w:hint="eastAsia" w:ascii="楷体" w:hAnsi="楷体" w:eastAsia="楷体" w:cs="宋体"/>
                <w:spacing w:val="-2"/>
                <w:sz w:val="18"/>
                <w:szCs w:val="18"/>
                <w:highlight w:val="none"/>
                <w:lang w:val="en-US" w:eastAsia="zh-CN"/>
              </w:rPr>
              <w:t>11</w:t>
            </w:r>
            <w:r>
              <w:rPr>
                <w:rFonts w:hint="eastAsia" w:ascii="楷体" w:hAnsi="楷体" w:eastAsia="楷体" w:cs="宋体"/>
                <w:spacing w:val="-2"/>
                <w:sz w:val="18"/>
                <w:szCs w:val="18"/>
                <w:highlight w:val="none"/>
              </w:rPr>
              <w:t>月</w:t>
            </w:r>
            <w:r>
              <w:rPr>
                <w:rFonts w:hint="eastAsia" w:ascii="楷体" w:hAnsi="楷体" w:eastAsia="楷体" w:cs="宋体"/>
                <w:spacing w:val="-2"/>
                <w:sz w:val="18"/>
                <w:szCs w:val="18"/>
                <w:highlight w:val="none"/>
                <w:lang w:val="en-US" w:eastAsia="zh-CN"/>
              </w:rPr>
              <w:t>20</w:t>
            </w:r>
            <w:r>
              <w:rPr>
                <w:rFonts w:hint="eastAsia" w:ascii="楷体" w:hAnsi="楷体" w:eastAsia="楷体" w:cs="宋体"/>
                <w:spacing w:val="-2"/>
                <w:sz w:val="18"/>
                <w:szCs w:val="18"/>
                <w:highlight w:val="none"/>
              </w:rPr>
              <w:t>日，封闭运作期内不可申购/赎回。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份额最低持有期</w:t>
            </w:r>
          </w:p>
        </w:tc>
        <w:tc>
          <w:tcPr>
            <w:tcW w:w="7937" w:type="dxa"/>
            <w:noWrap w:val="0"/>
            <w:vAlign w:val="center"/>
          </w:tcPr>
          <w:p>
            <w:pPr>
              <w:pStyle w:val="34"/>
              <w:keepNext w:val="0"/>
              <w:keepLines w:val="0"/>
              <w:pageBreakBefore w:val="0"/>
              <w:widowControl w:val="0"/>
              <w:kinsoku w:val="0"/>
              <w:wordWrap/>
              <w:overflowPunct w:val="0"/>
              <w:topLinePunct w:val="0"/>
              <w:autoSpaceDE/>
              <w:autoSpaceDN/>
              <w:bidi w:val="0"/>
              <w:snapToGrid w:val="0"/>
              <w:spacing w:line="240" w:lineRule="auto"/>
              <w:ind w:left="21" w:leftChars="10" w:right="21" w:rightChars="10"/>
              <w:jc w:val="both"/>
              <w:textAlignment w:val="auto"/>
              <w:rPr>
                <w:rFonts w:hint="default" w:ascii="楷体" w:hAnsi="楷体" w:eastAsia="楷体" w:cs="宋体"/>
                <w:b/>
                <w:spacing w:val="-2"/>
                <w:sz w:val="18"/>
                <w:szCs w:val="18"/>
                <w:highlight w:val="none"/>
                <w:u w:val="single"/>
                <w:lang w:val="en-US" w:eastAsia="zh-CN"/>
              </w:rPr>
            </w:pPr>
            <w:r>
              <w:rPr>
                <w:rFonts w:ascii="楷体" w:hAnsi="楷体" w:eastAsia="楷体" w:cs="宋体"/>
                <w:b/>
                <w:spacing w:val="-2"/>
                <w:sz w:val="18"/>
                <w:szCs w:val="18"/>
                <w:highlight w:val="none"/>
                <w:u w:val="single"/>
              </w:rPr>
              <w:t>份额自确认日起最低持有</w:t>
            </w:r>
            <w:r>
              <w:rPr>
                <w:rFonts w:hint="eastAsia" w:ascii="楷体" w:hAnsi="楷体" w:eastAsia="楷体" w:cs="宋体"/>
                <w:b/>
                <w:spacing w:val="-2"/>
                <w:sz w:val="18"/>
                <w:szCs w:val="18"/>
                <w:highlight w:val="none"/>
                <w:u w:val="single"/>
                <w:lang w:val="en-US" w:eastAsia="zh-CN"/>
              </w:rPr>
              <w:t>期为7</w:t>
            </w:r>
            <w:r>
              <w:rPr>
                <w:rFonts w:hint="eastAsia" w:ascii="楷体" w:hAnsi="楷体" w:eastAsia="楷体" w:cs="宋体"/>
                <w:b/>
                <w:spacing w:val="-2"/>
                <w:sz w:val="18"/>
                <w:szCs w:val="18"/>
                <w:highlight w:val="none"/>
                <w:u w:val="single"/>
              </w:rPr>
              <w:t>天</w:t>
            </w:r>
            <w:r>
              <w:rPr>
                <w:rFonts w:ascii="楷体" w:hAnsi="楷体" w:eastAsia="楷体" w:cs="宋体"/>
                <w:b/>
                <w:spacing w:val="-2"/>
                <w:sz w:val="18"/>
                <w:szCs w:val="18"/>
                <w:highlight w:val="none"/>
                <w:u w:val="single"/>
              </w:rPr>
              <w:t>，</w:t>
            </w:r>
            <w:r>
              <w:rPr>
                <w:rFonts w:hint="eastAsia" w:ascii="楷体" w:hAnsi="楷体" w:eastAsia="楷体" w:cs="宋体"/>
                <w:b/>
                <w:spacing w:val="-2"/>
                <w:sz w:val="18"/>
                <w:szCs w:val="18"/>
                <w:highlight w:val="none"/>
                <w:u w:val="single"/>
                <w:lang w:val="en-US" w:eastAsia="zh-CN"/>
              </w:rPr>
              <w:t>7</w:t>
            </w:r>
            <w:r>
              <w:rPr>
                <w:rFonts w:hint="eastAsia" w:ascii="楷体" w:hAnsi="楷体" w:eastAsia="楷体" w:cs="宋体"/>
                <w:b/>
                <w:spacing w:val="-2"/>
                <w:sz w:val="18"/>
                <w:szCs w:val="18"/>
                <w:highlight w:val="none"/>
                <w:u w:val="single"/>
              </w:rPr>
              <w:t>天</w:t>
            </w:r>
            <w:r>
              <w:rPr>
                <w:rFonts w:ascii="楷体" w:hAnsi="楷体" w:eastAsia="楷体" w:cs="宋体"/>
                <w:b/>
                <w:spacing w:val="-2"/>
                <w:sz w:val="18"/>
                <w:szCs w:val="18"/>
                <w:highlight w:val="none"/>
                <w:u w:val="single"/>
              </w:rPr>
              <w:t>以内不可提出赎回申请</w:t>
            </w:r>
            <w:r>
              <w:rPr>
                <w:rFonts w:hint="eastAsia" w:ascii="楷体" w:hAnsi="楷体" w:eastAsia="楷体" w:cs="宋体"/>
                <w:b/>
                <w:spacing w:val="-2"/>
                <w:sz w:val="18"/>
                <w:szCs w:val="18"/>
                <w:highlight w:val="none"/>
                <w:u w:val="single"/>
                <w:lang w:eastAsia="zh-CN"/>
              </w:rPr>
              <w:t>。（</w:t>
            </w:r>
            <w:r>
              <w:rPr>
                <w:rFonts w:hint="eastAsia" w:ascii="楷体" w:hAnsi="楷体" w:eastAsia="楷体" w:cs="宋体"/>
                <w:b/>
                <w:spacing w:val="-2"/>
                <w:sz w:val="18"/>
                <w:szCs w:val="18"/>
                <w:highlight w:val="none"/>
                <w:u w:val="single"/>
                <w:lang w:val="en-US" w:eastAsia="zh-CN"/>
              </w:rPr>
              <w:t>封闭运作期除外）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开放计划</w:t>
            </w:r>
          </w:p>
        </w:tc>
        <w:tc>
          <w:tcPr>
            <w:tcW w:w="7937" w:type="dxa"/>
            <w:noWrap w:val="0"/>
            <w:vAlign w:val="top"/>
          </w:tcPr>
          <w:p>
            <w:pPr>
              <w:pStyle w:val="34"/>
              <w:keepNext w:val="0"/>
              <w:keepLines w:val="0"/>
              <w:pageBreakBefore w:val="0"/>
              <w:widowControl w:val="0"/>
              <w:kinsoku w:val="0"/>
              <w:wordWrap/>
              <w:overflowPunct w:val="0"/>
              <w:topLinePunct w:val="0"/>
              <w:autoSpaceDE/>
              <w:autoSpaceDN/>
              <w:bidi w:val="0"/>
              <w:adjustRightInd w:val="0"/>
              <w:snapToGrid w:val="0"/>
              <w:spacing w:line="240" w:lineRule="auto"/>
              <w:ind w:left="21" w:leftChars="10" w:right="21" w:rightChars="10"/>
              <w:jc w:val="both"/>
              <w:textAlignment w:val="auto"/>
              <w:rPr>
                <w:rFonts w:hint="eastAsia" w:ascii="楷体" w:hAnsi="楷体" w:eastAsia="楷体" w:cs="宋体"/>
                <w:spacing w:val="-2"/>
                <w:sz w:val="18"/>
                <w:szCs w:val="18"/>
                <w:highlight w:val="none"/>
              </w:rPr>
            </w:pPr>
            <w:r>
              <w:rPr>
                <w:rFonts w:hint="eastAsia" w:ascii="楷体" w:hAnsi="楷体" w:eastAsia="楷体" w:cs="宋体"/>
                <w:b/>
                <w:bCs/>
                <w:spacing w:val="-2"/>
                <w:sz w:val="18"/>
                <w:szCs w:val="18"/>
                <w:highlight w:val="none"/>
                <w:u w:val="single"/>
              </w:rPr>
              <w:t>本产品封闭运作期结束后，自2025年1</w:t>
            </w:r>
            <w:r>
              <w:rPr>
                <w:rFonts w:hint="eastAsia" w:ascii="楷体" w:hAnsi="楷体" w:eastAsia="楷体" w:cs="宋体"/>
                <w:b/>
                <w:bCs/>
                <w:spacing w:val="-2"/>
                <w:sz w:val="18"/>
                <w:szCs w:val="18"/>
                <w:highlight w:val="none"/>
                <w:u w:val="single"/>
                <w:lang w:val="en-US" w:eastAsia="zh-CN"/>
              </w:rPr>
              <w:t>1</w:t>
            </w:r>
            <w:r>
              <w:rPr>
                <w:rFonts w:hint="eastAsia" w:ascii="楷体" w:hAnsi="楷体" w:eastAsia="楷体" w:cs="宋体"/>
                <w:b/>
                <w:bCs/>
                <w:spacing w:val="-2"/>
                <w:sz w:val="18"/>
                <w:szCs w:val="18"/>
                <w:highlight w:val="none"/>
                <w:u w:val="single"/>
              </w:rPr>
              <w:t>月</w:t>
            </w:r>
            <w:r>
              <w:rPr>
                <w:rFonts w:hint="eastAsia" w:ascii="楷体" w:hAnsi="楷体" w:eastAsia="楷体" w:cs="宋体"/>
                <w:b/>
                <w:bCs/>
                <w:spacing w:val="-2"/>
                <w:sz w:val="18"/>
                <w:szCs w:val="18"/>
                <w:highlight w:val="none"/>
                <w:u w:val="single"/>
                <w:lang w:val="en-US" w:eastAsia="zh-CN"/>
              </w:rPr>
              <w:t>21</w:t>
            </w:r>
            <w:r>
              <w:rPr>
                <w:rFonts w:hint="eastAsia" w:ascii="楷体" w:hAnsi="楷体" w:eastAsia="楷体" w:cs="宋体"/>
                <w:b/>
                <w:bCs/>
                <w:spacing w:val="-2"/>
                <w:sz w:val="18"/>
                <w:szCs w:val="18"/>
                <w:highlight w:val="none"/>
                <w:u w:val="single"/>
              </w:rPr>
              <w:t>日起</w:t>
            </w:r>
            <w:r>
              <w:rPr>
                <w:rFonts w:hint="eastAsia" w:ascii="楷体" w:hAnsi="楷体" w:eastAsia="楷体" w:cs="宋体"/>
                <w:b/>
                <w:bCs/>
                <w:spacing w:val="-2"/>
                <w:sz w:val="18"/>
                <w:szCs w:val="18"/>
                <w:highlight w:val="none"/>
                <w:u w:val="single"/>
                <w:lang w:val="en-US" w:eastAsia="zh-CN"/>
              </w:rPr>
              <w:t>按开放日</w:t>
            </w:r>
            <w:r>
              <w:rPr>
                <w:rFonts w:hint="eastAsia" w:ascii="楷体" w:hAnsi="楷体" w:eastAsia="楷体" w:cs="宋体"/>
                <w:b/>
                <w:bCs/>
                <w:spacing w:val="-2"/>
                <w:sz w:val="18"/>
                <w:szCs w:val="18"/>
                <w:highlight w:val="none"/>
                <w:u w:val="single"/>
              </w:rPr>
              <w:t>接受</w:t>
            </w:r>
            <w:r>
              <w:rPr>
                <w:rFonts w:hint="eastAsia" w:ascii="楷体" w:hAnsi="楷体" w:eastAsia="楷体" w:cs="宋体"/>
                <w:b/>
                <w:bCs/>
                <w:spacing w:val="-2"/>
                <w:sz w:val="18"/>
                <w:szCs w:val="18"/>
                <w:highlight w:val="none"/>
                <w:u w:val="single"/>
                <w:lang w:val="en-US" w:eastAsia="zh-CN"/>
              </w:rPr>
              <w:t>投资者的</w:t>
            </w:r>
            <w:r>
              <w:rPr>
                <w:rFonts w:hint="eastAsia" w:ascii="楷体" w:hAnsi="楷体" w:eastAsia="楷体" w:cs="宋体"/>
                <w:b/>
                <w:bCs/>
                <w:spacing w:val="-2"/>
                <w:sz w:val="18"/>
                <w:szCs w:val="18"/>
                <w:highlight w:val="none"/>
                <w:u w:val="single"/>
              </w:rPr>
              <w:t>申购/赎回申请，每个交易日为产品开放日。</w:t>
            </w:r>
            <w:r>
              <w:rPr>
                <w:rFonts w:hint="eastAsia" w:ascii="楷体" w:hAnsi="楷体" w:eastAsia="楷体" w:cs="宋体"/>
                <w:spacing w:val="-2"/>
                <w:sz w:val="18"/>
                <w:szCs w:val="18"/>
                <w:highlight w:val="none"/>
              </w:rPr>
              <w:t>管理人有权根据资产运作情况、节假日安排</w:t>
            </w:r>
            <w:r>
              <w:rPr>
                <w:rFonts w:hint="eastAsia" w:ascii="楷体" w:hAnsi="楷体" w:eastAsia="楷体" w:cs="宋体"/>
                <w:spacing w:val="-2"/>
                <w:sz w:val="18"/>
                <w:szCs w:val="18"/>
                <w:highlight w:val="none"/>
                <w:lang w:val="en-US" w:eastAsia="zh-CN"/>
              </w:rPr>
              <w:t>等</w:t>
            </w:r>
            <w:r>
              <w:rPr>
                <w:rFonts w:hint="eastAsia" w:ascii="楷体" w:hAnsi="楷体" w:eastAsia="楷体" w:cs="宋体"/>
                <w:spacing w:val="-2"/>
                <w:sz w:val="18"/>
                <w:szCs w:val="18"/>
                <w:highlight w:val="none"/>
              </w:rPr>
              <w:t>调整开放日，并在调整前进行公告。</w:t>
            </w:r>
            <w:r>
              <w:rPr>
                <w:rFonts w:hint="eastAsia" w:ascii="楷体" w:hAnsi="楷体" w:eastAsia="楷体" w:cs="宋体"/>
                <w:b/>
                <w:bCs/>
                <w:spacing w:val="-2"/>
                <w:sz w:val="18"/>
                <w:szCs w:val="18"/>
                <w:highlight w:val="none"/>
                <w:u w:val="single"/>
              </w:rPr>
              <w:t>交易日指上海证券交易所和深圳证券交易所的正常开盘交易日。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val="en-US" w:eastAsia="zh-CN"/>
              </w:rPr>
              <w:t>投资者</w:t>
            </w:r>
            <w:r>
              <w:rPr>
                <w:rFonts w:hint="eastAsia" w:ascii="楷体" w:hAnsi="楷体" w:eastAsia="楷体" w:cs="宋体"/>
                <w:b/>
                <w:spacing w:val="-2"/>
                <w:sz w:val="18"/>
                <w:szCs w:val="18"/>
                <w:highlight w:val="none"/>
              </w:rPr>
              <w:t>单笔</w:t>
            </w:r>
            <w:r>
              <w:rPr>
                <w:rFonts w:hint="eastAsia" w:ascii="楷体" w:hAnsi="楷体" w:eastAsia="楷体" w:cs="宋体"/>
                <w:b/>
                <w:spacing w:val="-2"/>
                <w:sz w:val="18"/>
                <w:szCs w:val="18"/>
                <w:highlight w:val="none"/>
                <w:lang w:val="en-US" w:eastAsia="zh-CN"/>
              </w:rPr>
              <w:t>购买</w:t>
            </w:r>
            <w:r>
              <w:rPr>
                <w:rFonts w:hint="eastAsia" w:ascii="楷体" w:hAnsi="楷体" w:eastAsia="楷体" w:cs="宋体"/>
                <w:b/>
                <w:spacing w:val="-2"/>
                <w:sz w:val="18"/>
                <w:szCs w:val="18"/>
                <w:highlight w:val="none"/>
              </w:rPr>
              <w:t>上限</w:t>
            </w:r>
          </w:p>
        </w:tc>
        <w:tc>
          <w:tcPr>
            <w:tcW w:w="7937" w:type="dxa"/>
            <w:noWrap w:val="0"/>
            <w:vAlign w:val="center"/>
          </w:tcPr>
          <w:p>
            <w:pPr>
              <w:pStyle w:val="34"/>
              <w:keepNext w:val="0"/>
              <w:keepLines w:val="0"/>
              <w:pageBreakBefore w:val="0"/>
              <w:widowControl w:val="0"/>
              <w:kinsoku w:val="0"/>
              <w:wordWrap/>
              <w:overflowPunct w:val="0"/>
              <w:topLinePunct w:val="0"/>
              <w:autoSpaceDE/>
              <w:autoSpaceDN/>
              <w:bidi w:val="0"/>
              <w:snapToGrid w:val="0"/>
              <w:spacing w:line="240" w:lineRule="auto"/>
              <w:ind w:left="21" w:leftChars="10" w:right="21" w:rightChars="1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元。超过购买上限时，管理人有权拒绝投资者</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spacing w:val="-2"/>
                <w:sz w:val="18"/>
                <w:szCs w:val="18"/>
                <w:highlight w:val="none"/>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val="en-US" w:eastAsia="zh-CN"/>
              </w:rPr>
              <w:t>投资者单笔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34"/>
              <w:keepNext w:val="0"/>
              <w:keepLines w:val="0"/>
              <w:pageBreakBefore w:val="0"/>
              <w:widowControl w:val="0"/>
              <w:kinsoku w:val="0"/>
              <w:wordWrap/>
              <w:overflowPunct w:val="0"/>
              <w:topLinePunct w:val="0"/>
              <w:autoSpaceDE/>
              <w:autoSpaceDN/>
              <w:bidi w:val="0"/>
              <w:snapToGrid w:val="0"/>
              <w:spacing w:line="240" w:lineRule="auto"/>
              <w:ind w:left="21" w:leftChars="10" w:right="21" w:rightChars="10"/>
              <w:jc w:val="both"/>
              <w:textAlignment w:val="auto"/>
              <w:rPr>
                <w:rFonts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val="en-US" w:eastAsia="zh-CN"/>
              </w:rPr>
              <w:t>投资者</w:t>
            </w:r>
            <w:r>
              <w:rPr>
                <w:rFonts w:hint="eastAsia" w:ascii="楷体" w:hAnsi="楷体" w:eastAsia="楷体" w:cs="宋体"/>
                <w:b/>
                <w:spacing w:val="-2"/>
                <w:sz w:val="18"/>
                <w:szCs w:val="18"/>
                <w:highlight w:val="none"/>
              </w:rPr>
              <w:t>持有比例上限</w:t>
            </w:r>
          </w:p>
        </w:tc>
        <w:tc>
          <w:tcPr>
            <w:tcW w:w="7937" w:type="dxa"/>
            <w:noWrap w:val="0"/>
            <w:vAlign w:val="center"/>
          </w:tcPr>
          <w:p>
            <w:pPr>
              <w:pStyle w:val="34"/>
              <w:keepNext w:val="0"/>
              <w:keepLines w:val="0"/>
              <w:pageBreakBefore w:val="0"/>
              <w:widowControl w:val="0"/>
              <w:kinsoku w:val="0"/>
              <w:wordWrap/>
              <w:overflowPunct w:val="0"/>
              <w:topLinePunct w:val="0"/>
              <w:autoSpaceDE/>
              <w:autoSpaceDN/>
              <w:bidi w:val="0"/>
              <w:snapToGrid w:val="0"/>
              <w:spacing w:line="240" w:lineRule="auto"/>
              <w:ind w:left="21" w:leftChars="10" w:right="21" w:rightChars="10"/>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rPr>
              <w:t>单一投资者持有份额不得超过总份额50%。非因主观因素导致突破前款规定比例限制的，在单一投资者持有份额占理财产品总份额比例降至50%以下之前，不再接受该单一投资者对理财产品的购买申请。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w:t>
            </w:r>
            <w:r>
              <w:rPr>
                <w:rFonts w:ascii="楷体" w:hAnsi="楷体" w:eastAsia="楷体" w:cs="宋体"/>
                <w:b/>
                <w:spacing w:val="-2"/>
                <w:sz w:val="18"/>
                <w:szCs w:val="18"/>
                <w:highlight w:val="none"/>
              </w:rPr>
              <w:t>申购</w:t>
            </w:r>
          </w:p>
        </w:tc>
        <w:tc>
          <w:tcPr>
            <w:tcW w:w="7937" w:type="dxa"/>
            <w:noWrap w:val="0"/>
            <w:vAlign w:val="center"/>
          </w:tcPr>
          <w:p>
            <w:pPr>
              <w:keepNext w:val="0"/>
              <w:keepLines w:val="0"/>
              <w:pageBreakBefore w:val="0"/>
              <w:widowControl w:val="0"/>
              <w:wordWrap/>
              <w:topLinePunct w:val="0"/>
              <w:autoSpaceDE/>
              <w:autoSpaceDN/>
              <w:bidi w:val="0"/>
              <w:snapToGrid w:val="0"/>
              <w:spacing w:line="240" w:lineRule="auto"/>
              <w:ind w:left="21" w:leftChars="10" w:right="21" w:rightChars="10"/>
              <w:jc w:val="both"/>
              <w:textAlignment w:val="auto"/>
              <w:rPr>
                <w:rFonts w:hint="eastAsia" w:ascii="楷体" w:hAnsi="楷体" w:eastAsia="楷体" w:cs="宋体"/>
                <w:spacing w:val="-2"/>
                <w:kern w:val="0"/>
                <w:sz w:val="18"/>
                <w:szCs w:val="18"/>
                <w:highlight w:val="none"/>
              </w:rPr>
            </w:pPr>
            <w:r>
              <w:rPr>
                <w:rFonts w:hint="eastAsia" w:ascii="楷体" w:hAnsi="楷体" w:eastAsia="楷体" w:cs="宋体"/>
                <w:spacing w:val="-2"/>
                <w:kern w:val="0"/>
                <w:sz w:val="18"/>
                <w:szCs w:val="18"/>
                <w:highlight w:val="none"/>
              </w:rPr>
              <w:t>本产品单个开放日投资者净申购额（申购申请份额总数扣除赎回申请份额总数）超过上一日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巨额赎回</w:t>
            </w:r>
          </w:p>
        </w:tc>
        <w:tc>
          <w:tcPr>
            <w:tcW w:w="7937" w:type="dxa"/>
            <w:noWrap w:val="0"/>
            <w:vAlign w:val="center"/>
          </w:tcPr>
          <w:p>
            <w:pPr>
              <w:keepNext w:val="0"/>
              <w:keepLines w:val="0"/>
              <w:pageBreakBefore w:val="0"/>
              <w:widowControl w:val="0"/>
              <w:wordWrap/>
              <w:topLinePunct w:val="0"/>
              <w:autoSpaceDE/>
              <w:autoSpaceDN/>
              <w:bidi w:val="0"/>
              <w:snapToGrid w:val="0"/>
              <w:spacing w:line="240" w:lineRule="auto"/>
              <w:ind w:left="21" w:leftChars="10" w:right="21" w:rightChars="1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rPr>
              <w:t>本产品</w:t>
            </w:r>
            <w:r>
              <w:rPr>
                <w:rFonts w:hint="eastAsia" w:ascii="楷体" w:hAnsi="楷体" w:eastAsia="楷体" w:cs="宋体"/>
                <w:b/>
                <w:bCs/>
                <w:spacing w:val="-2"/>
                <w:sz w:val="18"/>
                <w:szCs w:val="18"/>
                <w:highlight w:val="none"/>
                <w:u w:val="single"/>
                <w:lang w:val="en-US" w:eastAsia="zh-CN"/>
              </w:rPr>
              <w:t>单</w:t>
            </w:r>
            <w:r>
              <w:rPr>
                <w:rFonts w:hint="eastAsia" w:ascii="楷体" w:hAnsi="楷体" w:eastAsia="楷体" w:cs="宋体"/>
                <w:b/>
                <w:bCs/>
                <w:spacing w:val="-2"/>
                <w:sz w:val="18"/>
                <w:szCs w:val="18"/>
                <w:highlight w:val="none"/>
                <w:u w:val="single"/>
              </w:rPr>
              <w:t>个开放日投资者净赎回额（赎回申请份额总数扣除申购申请份额总数）超过上一日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autoSpaceDE/>
              <w:autoSpaceDN/>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autoSpaceDE/>
              <w:autoSpaceDN/>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2.部分赎回</w:t>
            </w:r>
            <w:r>
              <w:rPr>
                <w:rFonts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highlight w:val="none"/>
                <w:u w:val="none"/>
                <w:lang w:val="en-US" w:eastAsia="zh-CN"/>
              </w:rPr>
              <w:t>日</w:t>
            </w:r>
            <w:r>
              <w:rPr>
                <w:rFonts w:hint="eastAsia" w:ascii="楷体" w:hAnsi="楷体" w:eastAsia="楷体" w:cs="宋体"/>
                <w:b w:val="0"/>
                <w:bCs/>
                <w:spacing w:val="-2"/>
                <w:sz w:val="18"/>
                <w:szCs w:val="18"/>
                <w:highlight w:val="none"/>
                <w:u w:val="none"/>
              </w:rPr>
              <w:t>日终理财产品总份额的10%，对其余赎回申请管理人有权暂停接受或延期办理。对该产品单个</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的赎回申请，按照其申请占当日申请赎回总份额的比例，确定该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autoSpaceDE/>
              <w:autoSpaceDN/>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autoSpaceDE/>
              <w:autoSpaceDN/>
              <w:bidi w:val="0"/>
              <w:snapToGrid w:val="0"/>
              <w:spacing w:line="240" w:lineRule="auto"/>
              <w:ind w:left="21" w:leftChars="10" w:right="21" w:rightChars="10"/>
              <w:jc w:val="both"/>
              <w:textAlignment w:val="auto"/>
              <w:rPr>
                <w:rFonts w:hint="eastAsia" w:ascii="楷体" w:hAnsi="楷体" w:eastAsia="楷体" w:cs="宋体"/>
                <w:b/>
                <w:spacing w:val="-2"/>
                <w:sz w:val="18"/>
                <w:szCs w:val="18"/>
                <w:highlight w:val="none"/>
                <w:u w:val="single"/>
              </w:rPr>
            </w:pPr>
            <w:r>
              <w:rPr>
                <w:rFonts w:hint="eastAsia" w:ascii="楷体" w:hAnsi="楷体" w:eastAsia="楷体" w:cs="宋体"/>
                <w:b w:val="0"/>
                <w:bCs/>
                <w:spacing w:val="-2"/>
                <w:sz w:val="18"/>
                <w:szCs w:val="18"/>
                <w:highlight w:val="none"/>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业绩比较基准</w:t>
            </w:r>
          </w:p>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（年化）</w:t>
            </w:r>
          </w:p>
        </w:tc>
        <w:tc>
          <w:tcPr>
            <w:tcW w:w="7937" w:type="dxa"/>
            <w:noWrap w:val="0"/>
            <w:vAlign w:val="center"/>
          </w:tcPr>
          <w:p>
            <w:pPr>
              <w:keepNext w:val="0"/>
              <w:keepLines w:val="0"/>
              <w:pageBreakBefore w:val="0"/>
              <w:widowControl w:val="0"/>
              <w:wordWrap/>
              <w:topLinePunct w:val="0"/>
              <w:autoSpaceDE/>
              <w:autoSpaceDN/>
              <w:bidi w:val="0"/>
              <w:snapToGrid w:val="0"/>
              <w:spacing w:line="240" w:lineRule="auto"/>
              <w:ind w:left="21" w:leftChars="10" w:right="21" w:rightChars="10"/>
              <w:jc w:val="both"/>
              <w:textAlignment w:val="auto"/>
              <w:rPr>
                <w:rFonts w:hint="eastAsia" w:ascii="楷体" w:hAnsi="楷体" w:eastAsia="楷体" w:cs="宋体"/>
                <w:b/>
                <w:spacing w:val="-2"/>
                <w:sz w:val="18"/>
                <w:szCs w:val="18"/>
                <w:highlight w:val="none"/>
                <w:u w:val="single"/>
                <w:lang w:val="en-US" w:eastAsia="zh-CN"/>
              </w:rPr>
            </w:pPr>
            <w:r>
              <w:rPr>
                <w:rFonts w:hint="eastAsia" w:ascii="楷体" w:hAnsi="楷体" w:eastAsia="楷体" w:cs="宋体"/>
                <w:b/>
                <w:spacing w:val="-2"/>
                <w:sz w:val="18"/>
                <w:szCs w:val="18"/>
                <w:highlight w:val="none"/>
                <w:u w:val="single"/>
                <w:lang w:val="en-US" w:eastAsia="zh-CN"/>
              </w:rPr>
              <w:t>1.管理人</w:t>
            </w:r>
            <w:r>
              <w:rPr>
                <w:rFonts w:hint="eastAsia" w:ascii="楷体" w:hAnsi="楷体" w:eastAsia="楷体" w:cs="宋体"/>
                <w:b/>
                <w:spacing w:val="-2"/>
                <w:sz w:val="18"/>
                <w:szCs w:val="18"/>
                <w:highlight w:val="none"/>
                <w:u w:val="single"/>
              </w:rPr>
              <w:t>参考过往投资经验，依据近期</w:t>
            </w:r>
            <w:r>
              <w:rPr>
                <w:rFonts w:hint="eastAsia" w:ascii="楷体" w:hAnsi="楷体" w:eastAsia="楷体" w:cs="宋体"/>
                <w:b/>
                <w:spacing w:val="-2"/>
                <w:sz w:val="18"/>
                <w:szCs w:val="18"/>
                <w:highlight w:val="none"/>
                <w:u w:val="single"/>
                <w:lang w:val="en-US" w:eastAsia="zh-CN"/>
              </w:rPr>
              <w:t>货币市场工具、债券等</w:t>
            </w:r>
            <w:r>
              <w:rPr>
                <w:rFonts w:hint="eastAsia" w:ascii="楷体" w:hAnsi="楷体" w:eastAsia="楷体" w:cs="宋体"/>
                <w:b/>
                <w:spacing w:val="-2"/>
                <w:sz w:val="18"/>
                <w:szCs w:val="18"/>
                <w:highlight w:val="none"/>
                <w:u w:val="single"/>
              </w:rPr>
              <w:t>资产投资收益水平，在产品说明书约定的投资范围和投资比例内，综合考虑各</w:t>
            </w:r>
            <w:r>
              <w:rPr>
                <w:rFonts w:hint="eastAsia" w:ascii="楷体" w:hAnsi="楷体" w:eastAsia="楷体" w:cs="宋体"/>
                <w:b/>
                <w:spacing w:val="-2"/>
                <w:sz w:val="18"/>
                <w:szCs w:val="18"/>
                <w:highlight w:val="none"/>
                <w:u w:val="single"/>
                <w:lang w:val="en-US" w:eastAsia="zh-CN"/>
              </w:rPr>
              <w:t>类</w:t>
            </w:r>
            <w:r>
              <w:rPr>
                <w:rFonts w:hint="eastAsia" w:ascii="楷体" w:hAnsi="楷体" w:eastAsia="楷体" w:cs="宋体"/>
                <w:b/>
                <w:spacing w:val="-2"/>
                <w:sz w:val="18"/>
                <w:szCs w:val="18"/>
                <w:highlight w:val="none"/>
                <w:u w:val="single"/>
              </w:rPr>
              <w:t>份额收取的</w:t>
            </w:r>
            <w:r>
              <w:rPr>
                <w:rFonts w:hint="eastAsia" w:ascii="楷体" w:hAnsi="楷体" w:eastAsia="楷体" w:cs="宋体"/>
                <w:b/>
                <w:spacing w:val="-2"/>
                <w:sz w:val="18"/>
                <w:szCs w:val="18"/>
                <w:highlight w:val="none"/>
                <w:u w:val="single"/>
                <w:lang w:val="en-US" w:eastAsia="zh-CN"/>
              </w:rPr>
              <w:t>销售服务费和投资管理费等费用情况，模拟测算得出业绩比较基准。</w:t>
            </w:r>
          </w:p>
          <w:p>
            <w:pPr>
              <w:keepNext w:val="0"/>
              <w:keepLines w:val="0"/>
              <w:pageBreakBefore w:val="0"/>
              <w:widowControl w:val="0"/>
              <w:wordWrap/>
              <w:topLinePunct w:val="0"/>
              <w:autoSpaceDE/>
              <w:autoSpaceDN/>
              <w:bidi w:val="0"/>
              <w:snapToGrid w:val="0"/>
              <w:spacing w:line="240" w:lineRule="auto"/>
              <w:ind w:left="21" w:leftChars="10" w:right="21" w:rightChars="10"/>
              <w:jc w:val="both"/>
              <w:textAlignment w:val="auto"/>
              <w:rPr>
                <w:rFonts w:hint="eastAsia" w:ascii="楷体" w:hAnsi="楷体" w:eastAsia="楷体" w:cs="宋体"/>
                <w:b/>
                <w:spacing w:val="-2"/>
                <w:sz w:val="18"/>
                <w:szCs w:val="18"/>
                <w:highlight w:val="none"/>
                <w:u w:val="single"/>
              </w:rPr>
            </w:pPr>
            <w:r>
              <w:rPr>
                <w:rFonts w:hint="eastAsia" w:ascii="楷体" w:hAnsi="楷体" w:eastAsia="楷体" w:cs="宋体"/>
                <w:b/>
                <w:spacing w:val="-2"/>
                <w:sz w:val="18"/>
                <w:szCs w:val="18"/>
                <w:highlight w:val="none"/>
                <w:u w:val="single"/>
                <w:lang w:val="en-US" w:eastAsia="zh-CN"/>
              </w:rPr>
              <w:t>2.本产品各类份额可能因收取的销售服务费和投资管理费存在差异，业绩比较基准设置有所不同。</w:t>
            </w:r>
            <w:r>
              <w:rPr>
                <w:rFonts w:hint="eastAsia" w:ascii="楷体" w:hAnsi="楷体" w:eastAsia="楷体" w:cs="宋体"/>
                <w:b w:val="0"/>
                <w:bCs/>
                <w:spacing w:val="-2"/>
                <w:sz w:val="18"/>
                <w:szCs w:val="18"/>
                <w:highlight w:val="none"/>
                <w:u w:val="none"/>
              </w:rPr>
              <w:t>各</w:t>
            </w:r>
            <w:r>
              <w:rPr>
                <w:rFonts w:hint="eastAsia" w:ascii="楷体" w:hAnsi="楷体" w:eastAsia="楷体" w:cs="宋体"/>
                <w:b w:val="0"/>
                <w:bCs/>
                <w:spacing w:val="-2"/>
                <w:sz w:val="18"/>
                <w:szCs w:val="18"/>
                <w:highlight w:val="none"/>
                <w:u w:val="none"/>
                <w:lang w:val="en-US" w:eastAsia="zh-CN"/>
              </w:rPr>
              <w:t>类</w:t>
            </w:r>
            <w:r>
              <w:rPr>
                <w:rFonts w:hint="eastAsia" w:ascii="楷体" w:hAnsi="楷体" w:eastAsia="楷体" w:cs="宋体"/>
                <w:b w:val="0"/>
                <w:bCs/>
                <w:spacing w:val="-2"/>
                <w:sz w:val="18"/>
                <w:szCs w:val="18"/>
                <w:highlight w:val="none"/>
                <w:u w:val="none"/>
              </w:rPr>
              <w:t>份额业绩比较基准如下：</w:t>
            </w:r>
          </w:p>
          <w:p>
            <w:pPr>
              <w:keepNext w:val="0"/>
              <w:keepLines w:val="0"/>
              <w:pageBreakBefore w:val="0"/>
              <w:widowControl w:val="0"/>
              <w:wordWrap/>
              <w:topLinePunct w:val="0"/>
              <w:autoSpaceDE/>
              <w:autoSpaceDN/>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highlight w:val="none"/>
                <w:u w:val="none"/>
                <w:lang w:val="en-US" w:eastAsia="zh-CN"/>
              </w:rPr>
            </w:pPr>
            <w:r>
              <w:rPr>
                <w:rFonts w:hint="eastAsia" w:ascii="楷体" w:hAnsi="楷体" w:eastAsia="楷体" w:cs="宋体"/>
                <w:b w:val="0"/>
                <w:bCs/>
                <w:spacing w:val="-2"/>
                <w:sz w:val="18"/>
                <w:szCs w:val="18"/>
                <w:highlight w:val="none"/>
                <w:u w:val="none"/>
                <w:lang w:val="en-US" w:eastAsia="zh-CN"/>
              </w:rPr>
              <w:t>中债-新综合财富(1年以下)指数收益率*30%+中国人民银行公布的7天通知存款利率*70%</w:t>
            </w:r>
          </w:p>
          <w:p>
            <w:pPr>
              <w:keepNext w:val="0"/>
              <w:keepLines w:val="0"/>
              <w:pageBreakBefore w:val="0"/>
              <w:widowControl w:val="0"/>
              <w:wordWrap/>
              <w:topLinePunct w:val="0"/>
              <w:autoSpaceDE/>
              <w:autoSpaceDN/>
              <w:bidi w:val="0"/>
              <w:snapToGrid w:val="0"/>
              <w:spacing w:line="240" w:lineRule="auto"/>
              <w:ind w:left="21" w:leftChars="10" w:right="21" w:rightChars="10"/>
              <w:jc w:val="both"/>
              <w:textAlignment w:val="auto"/>
              <w:rPr>
                <w:rFonts w:hint="eastAsia" w:ascii="楷体" w:hAnsi="楷体" w:eastAsia="楷体" w:cs="宋体"/>
                <w:spacing w:val="-2"/>
                <w:sz w:val="18"/>
                <w:szCs w:val="18"/>
                <w:highlight w:val="none"/>
              </w:rPr>
            </w:pPr>
            <w:r>
              <w:rPr>
                <w:rFonts w:hint="eastAsia" w:ascii="楷体" w:hAnsi="楷体" w:eastAsia="楷体" w:cs="宋体"/>
                <w:b/>
                <w:spacing w:val="-2"/>
                <w:sz w:val="18"/>
                <w:szCs w:val="18"/>
                <w:highlight w:val="none"/>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产品费用</w:t>
            </w:r>
          </w:p>
        </w:tc>
        <w:tc>
          <w:tcPr>
            <w:tcW w:w="7937" w:type="dxa"/>
            <w:noWrap w:val="0"/>
            <w:vAlign w:val="center"/>
          </w:tcPr>
          <w:p>
            <w:pPr>
              <w:pStyle w:val="34"/>
              <w:keepNext w:val="0"/>
              <w:keepLines w:val="0"/>
              <w:pageBreakBefore w:val="0"/>
              <w:widowControl w:val="0"/>
              <w:kinsoku w:val="0"/>
              <w:wordWrap/>
              <w:overflowPunct w:val="0"/>
              <w:topLinePunct w:val="0"/>
              <w:autoSpaceDE/>
              <w:autoSpaceDN/>
              <w:bidi w:val="0"/>
              <w:snapToGrid w:val="0"/>
              <w:spacing w:line="240" w:lineRule="auto"/>
              <w:ind w:left="21" w:leftChars="10" w:right="21" w:rightChars="1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本产品费用包括托管费、销售服务费、投资管理费、超额业绩报酬（如有）以及产品运作和清算中产生的其他费用等。</w:t>
            </w:r>
          </w:p>
          <w:p>
            <w:pPr>
              <w:pStyle w:val="34"/>
              <w:keepNext w:val="0"/>
              <w:keepLines w:val="0"/>
              <w:pageBreakBefore w:val="0"/>
              <w:widowControl w:val="0"/>
              <w:kinsoku w:val="0"/>
              <w:wordWrap/>
              <w:overflowPunct w:val="0"/>
              <w:topLinePunct w:val="0"/>
              <w:autoSpaceDE/>
              <w:autoSpaceDN/>
              <w:bidi w:val="0"/>
              <w:snapToGrid w:val="0"/>
              <w:spacing w:line="240" w:lineRule="auto"/>
              <w:ind w:left="21" w:leftChars="10" w:right="21" w:rightChars="1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1.托管费率（年化）：</w:t>
            </w:r>
            <w:r>
              <w:rPr>
                <w:rFonts w:hint="eastAsia" w:ascii="楷体" w:hAnsi="楷体" w:eastAsia="楷体" w:cs="宋体"/>
                <w:spacing w:val="-2"/>
                <w:sz w:val="18"/>
                <w:szCs w:val="18"/>
                <w:highlight w:val="none"/>
                <w:lang w:val="en-US" w:eastAsia="zh-CN"/>
              </w:rPr>
              <w:t>0.02</w:t>
            </w:r>
            <w:r>
              <w:rPr>
                <w:rFonts w:hint="eastAsia" w:ascii="楷体" w:hAnsi="楷体" w:eastAsia="楷体" w:cs="宋体"/>
                <w:spacing w:val="-2"/>
                <w:sz w:val="18"/>
                <w:szCs w:val="18"/>
                <w:highlight w:val="none"/>
              </w:rPr>
              <w:t>%。</w:t>
            </w:r>
          </w:p>
          <w:p>
            <w:pPr>
              <w:pStyle w:val="34"/>
              <w:keepNext w:val="0"/>
              <w:keepLines w:val="0"/>
              <w:pageBreakBefore w:val="0"/>
              <w:widowControl w:val="0"/>
              <w:kinsoku w:val="0"/>
              <w:wordWrap/>
              <w:overflowPunct w:val="0"/>
              <w:topLinePunct w:val="0"/>
              <w:autoSpaceDE/>
              <w:autoSpaceDN/>
              <w:bidi w:val="0"/>
              <w:snapToGrid w:val="0"/>
              <w:spacing w:line="240" w:lineRule="auto"/>
              <w:ind w:left="21" w:leftChars="10" w:right="21" w:rightChars="1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rPr>
              <w:t>2.销售服务费率（年化）：</w:t>
            </w:r>
            <w:r>
              <w:rPr>
                <w:rFonts w:hint="eastAsia" w:ascii="楷体" w:hAnsi="楷体" w:eastAsia="楷体" w:cs="宋体"/>
                <w:spacing w:val="-2"/>
                <w:sz w:val="18"/>
                <w:szCs w:val="18"/>
                <w:highlight w:val="none"/>
                <w:lang w:val="en-US" w:eastAsia="zh-CN"/>
              </w:rPr>
              <w:t>0.30%。</w:t>
            </w:r>
          </w:p>
          <w:p>
            <w:pPr>
              <w:pStyle w:val="34"/>
              <w:keepNext w:val="0"/>
              <w:keepLines w:val="0"/>
              <w:pageBreakBefore w:val="0"/>
              <w:widowControl w:val="0"/>
              <w:kinsoku w:val="0"/>
              <w:wordWrap/>
              <w:overflowPunct w:val="0"/>
              <w:topLinePunct w:val="0"/>
              <w:autoSpaceDE/>
              <w:autoSpaceDN/>
              <w:bidi w:val="0"/>
              <w:snapToGrid w:val="0"/>
              <w:spacing w:line="240" w:lineRule="auto"/>
              <w:ind w:left="21" w:leftChars="10" w:right="21" w:rightChars="10"/>
              <w:jc w:val="both"/>
              <w:textAlignment w:val="auto"/>
              <w:rPr>
                <w:rFonts w:hint="eastAsia" w:ascii="楷体" w:hAnsi="楷体" w:eastAsia="楷体" w:cs="宋体"/>
                <w:spacing w:val="-2"/>
                <w:sz w:val="18"/>
                <w:szCs w:val="18"/>
                <w:highlight w:val="none"/>
                <w:lang w:eastAsia="zh-CN"/>
              </w:rPr>
            </w:pPr>
            <w:r>
              <w:rPr>
                <w:rFonts w:hint="eastAsia" w:ascii="楷体" w:hAnsi="楷体" w:eastAsia="楷体" w:cs="宋体"/>
                <w:spacing w:val="-2"/>
                <w:sz w:val="18"/>
                <w:szCs w:val="18"/>
                <w:highlight w:val="none"/>
              </w:rPr>
              <w:t>3.投资管理费率（年化）：0.60%</w:t>
            </w:r>
            <w:r>
              <w:rPr>
                <w:rFonts w:hint="eastAsia" w:ascii="楷体" w:hAnsi="楷体" w:eastAsia="楷体" w:cs="宋体"/>
                <w:spacing w:val="-2"/>
                <w:sz w:val="18"/>
                <w:szCs w:val="18"/>
                <w:highlight w:val="none"/>
                <w:lang w:eastAsia="zh-CN"/>
              </w:rPr>
              <w:t>。</w:t>
            </w:r>
          </w:p>
          <w:p>
            <w:pPr>
              <w:pStyle w:val="34"/>
              <w:keepNext w:val="0"/>
              <w:keepLines w:val="0"/>
              <w:pageBreakBefore w:val="0"/>
              <w:widowControl w:val="0"/>
              <w:kinsoku w:val="0"/>
              <w:wordWrap/>
              <w:overflowPunct w:val="0"/>
              <w:topLinePunct w:val="0"/>
              <w:autoSpaceDE/>
              <w:autoSpaceDN/>
              <w:bidi w:val="0"/>
              <w:snapToGrid w:val="0"/>
              <w:spacing w:line="240" w:lineRule="auto"/>
              <w:ind w:left="21" w:leftChars="10" w:right="21" w:rightChars="1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rPr>
              <w:t>4.超额业绩报酬</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lang w:val="en-US" w:eastAsia="zh-CN"/>
              </w:rPr>
              <w:t>如有）</w:t>
            </w:r>
            <w:r>
              <w:rPr>
                <w:rFonts w:hint="eastAsia" w:ascii="楷体" w:hAnsi="楷体" w:eastAsia="楷体" w:cs="宋体"/>
                <w:spacing w:val="-2"/>
                <w:sz w:val="18"/>
                <w:szCs w:val="18"/>
                <w:highlight w:val="none"/>
              </w:rPr>
              <w:t>：</w:t>
            </w:r>
            <w:r>
              <w:rPr>
                <w:rFonts w:hint="eastAsia" w:ascii="楷体" w:hAnsi="楷体" w:eastAsia="楷体" w:cs="宋体"/>
                <w:spacing w:val="-2"/>
                <w:sz w:val="18"/>
                <w:szCs w:val="18"/>
                <w:highlight w:val="none"/>
                <w:lang w:val="en-US" w:eastAsia="zh-CN"/>
              </w:rPr>
              <w:t>无。</w:t>
            </w:r>
          </w:p>
          <w:p>
            <w:pPr>
              <w:pStyle w:val="34"/>
              <w:keepNext w:val="0"/>
              <w:keepLines w:val="0"/>
              <w:pageBreakBefore w:val="0"/>
              <w:widowControl w:val="0"/>
              <w:kinsoku w:val="0"/>
              <w:wordWrap/>
              <w:overflowPunct w:val="0"/>
              <w:topLinePunct w:val="0"/>
              <w:autoSpaceDE/>
              <w:autoSpaceDN/>
              <w:bidi w:val="0"/>
              <w:snapToGrid w:val="0"/>
              <w:spacing w:line="240" w:lineRule="auto"/>
              <w:ind w:left="21" w:leftChars="10" w:right="21" w:rightChars="1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rPr>
              <w:t>本产品设置有多</w:t>
            </w:r>
            <w:r>
              <w:rPr>
                <w:rFonts w:hint="eastAsia" w:ascii="楷体" w:hAnsi="楷体" w:eastAsia="楷体" w:cs="宋体"/>
                <w:b/>
                <w:bCs/>
                <w:spacing w:val="-2"/>
                <w:sz w:val="18"/>
                <w:szCs w:val="18"/>
                <w:highlight w:val="none"/>
                <w:u w:val="single"/>
                <w:lang w:val="en-US" w:eastAsia="zh-CN"/>
              </w:rPr>
              <w:t>类</w:t>
            </w:r>
            <w:r>
              <w:rPr>
                <w:rFonts w:hint="eastAsia" w:ascii="楷体" w:hAnsi="楷体" w:eastAsia="楷体" w:cs="宋体"/>
                <w:b/>
                <w:bCs/>
                <w:spacing w:val="-2"/>
                <w:sz w:val="18"/>
                <w:szCs w:val="18"/>
                <w:highlight w:val="none"/>
                <w:u w:val="single"/>
              </w:rPr>
              <w:t>份额，各</w:t>
            </w:r>
            <w:r>
              <w:rPr>
                <w:rFonts w:hint="eastAsia" w:ascii="楷体" w:hAnsi="楷体" w:eastAsia="楷体" w:cs="宋体"/>
                <w:b/>
                <w:bCs/>
                <w:spacing w:val="-2"/>
                <w:sz w:val="18"/>
                <w:szCs w:val="18"/>
                <w:highlight w:val="none"/>
                <w:u w:val="single"/>
                <w:lang w:val="en-US" w:eastAsia="zh-CN"/>
              </w:rPr>
              <w:t>类</w:t>
            </w:r>
            <w:r>
              <w:rPr>
                <w:rFonts w:hint="eastAsia" w:ascii="楷体" w:hAnsi="楷体" w:eastAsia="楷体" w:cs="宋体"/>
                <w:b/>
                <w:bCs/>
                <w:spacing w:val="-2"/>
                <w:sz w:val="18"/>
                <w:szCs w:val="18"/>
                <w:highlight w:val="none"/>
                <w:u w:val="single"/>
              </w:rPr>
              <w:t>份额按照设置的销售对象和销售起点在不同的销售机构销售，各</w:t>
            </w:r>
            <w:r>
              <w:rPr>
                <w:rFonts w:hint="eastAsia" w:ascii="楷体" w:hAnsi="楷体" w:eastAsia="楷体" w:cs="宋体"/>
                <w:b/>
                <w:bCs/>
                <w:spacing w:val="-2"/>
                <w:sz w:val="18"/>
                <w:szCs w:val="18"/>
                <w:highlight w:val="none"/>
                <w:u w:val="single"/>
                <w:lang w:val="en-US" w:eastAsia="zh-CN"/>
              </w:rPr>
              <w:t>类</w:t>
            </w:r>
            <w:r>
              <w:rPr>
                <w:rFonts w:hint="eastAsia" w:ascii="楷体" w:hAnsi="楷体" w:eastAsia="楷体" w:cs="宋体"/>
                <w:b/>
                <w:bCs/>
                <w:spacing w:val="-2"/>
                <w:sz w:val="18"/>
                <w:szCs w:val="18"/>
                <w:highlight w:val="none"/>
                <w:u w:val="single"/>
              </w:rPr>
              <w:t>份额实际收取的销售服务费</w:t>
            </w:r>
            <w:r>
              <w:rPr>
                <w:rFonts w:hint="eastAsia" w:ascii="楷体" w:hAnsi="楷体" w:eastAsia="楷体" w:cs="宋体"/>
                <w:b/>
                <w:bCs/>
                <w:spacing w:val="-2"/>
                <w:sz w:val="18"/>
                <w:szCs w:val="18"/>
                <w:highlight w:val="none"/>
                <w:u w:val="single"/>
                <w:lang w:val="en-US" w:eastAsia="zh-CN"/>
              </w:rPr>
              <w:t>率</w:t>
            </w:r>
            <w:r>
              <w:rPr>
                <w:rFonts w:hint="eastAsia" w:ascii="楷体" w:hAnsi="楷体" w:eastAsia="楷体" w:cs="宋体"/>
                <w:b/>
                <w:bCs/>
                <w:spacing w:val="-2"/>
                <w:sz w:val="18"/>
                <w:szCs w:val="18"/>
                <w:highlight w:val="none"/>
                <w:u w:val="single"/>
              </w:rPr>
              <w:t>、投资管理费</w:t>
            </w:r>
            <w:r>
              <w:rPr>
                <w:rFonts w:hint="eastAsia" w:ascii="楷体" w:hAnsi="楷体" w:eastAsia="楷体" w:cs="宋体"/>
                <w:b/>
                <w:bCs/>
                <w:spacing w:val="-2"/>
                <w:sz w:val="18"/>
                <w:szCs w:val="18"/>
                <w:highlight w:val="none"/>
                <w:u w:val="single"/>
                <w:lang w:val="en-US" w:eastAsia="zh-CN"/>
              </w:rPr>
              <w:t>率</w:t>
            </w:r>
            <w:r>
              <w:rPr>
                <w:rFonts w:hint="eastAsia" w:ascii="楷体" w:hAnsi="楷体" w:eastAsia="楷体" w:cs="宋体"/>
                <w:b/>
                <w:bCs/>
                <w:spacing w:val="-2"/>
                <w:sz w:val="18"/>
                <w:szCs w:val="18"/>
                <w:highlight w:val="none"/>
                <w:u w:val="single"/>
              </w:rPr>
              <w:t>和超额业绩报酬（如有）可能存在差异，投资者应根据各</w:t>
            </w:r>
            <w:r>
              <w:rPr>
                <w:rFonts w:hint="eastAsia" w:ascii="楷体" w:hAnsi="楷体" w:eastAsia="楷体" w:cs="宋体"/>
                <w:b/>
                <w:bCs/>
                <w:spacing w:val="-2"/>
                <w:sz w:val="18"/>
                <w:szCs w:val="18"/>
                <w:highlight w:val="none"/>
                <w:u w:val="single"/>
                <w:lang w:val="en-US" w:eastAsia="zh-CN"/>
              </w:rPr>
              <w:t>类</w:t>
            </w:r>
            <w:r>
              <w:rPr>
                <w:rFonts w:hint="eastAsia" w:ascii="楷体" w:hAnsi="楷体" w:eastAsia="楷体" w:cs="宋体"/>
                <w:b/>
                <w:bCs/>
                <w:spacing w:val="-2"/>
                <w:sz w:val="18"/>
                <w:szCs w:val="18"/>
                <w:highlight w:val="none"/>
                <w:u w:val="single"/>
              </w:rPr>
              <w:t>份额收费情况自主选择购买。</w:t>
            </w:r>
          </w:p>
          <w:p>
            <w:pPr>
              <w:pStyle w:val="34"/>
              <w:keepNext w:val="0"/>
              <w:keepLines w:val="0"/>
              <w:pageBreakBefore w:val="0"/>
              <w:widowControl w:val="0"/>
              <w:kinsoku w:val="0"/>
              <w:wordWrap/>
              <w:overflowPunct w:val="0"/>
              <w:topLinePunct w:val="0"/>
              <w:autoSpaceDE/>
              <w:autoSpaceDN/>
              <w:bidi w:val="0"/>
              <w:snapToGrid w:val="0"/>
              <w:spacing w:line="240" w:lineRule="auto"/>
              <w:ind w:left="21" w:leftChars="10" w:right="21" w:rightChars="10"/>
              <w:jc w:val="both"/>
              <w:textAlignment w:val="auto"/>
              <w:rPr>
                <w:rFonts w:ascii="楷体" w:hAnsi="楷体" w:eastAsia="楷体" w:cs="宋体"/>
                <w:spacing w:val="-2"/>
                <w:sz w:val="18"/>
                <w:szCs w:val="18"/>
                <w:highlight w:val="none"/>
              </w:rPr>
            </w:pPr>
            <w:r>
              <w:rPr>
                <w:rFonts w:hint="eastAsia" w:ascii="楷体" w:hAnsi="楷体" w:eastAsia="楷体" w:cs="宋体"/>
                <w:b/>
                <w:bCs/>
                <w:spacing w:val="-2"/>
                <w:sz w:val="18"/>
                <w:szCs w:val="18"/>
                <w:highlight w:val="none"/>
                <w:u w:val="single"/>
              </w:rPr>
              <w:t>产品存续期内管理人有权根据产品运行情况制定费率优惠措施，优惠后实际执行的费率以管理人公告为准。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hint="eastAsia" w:ascii="楷体" w:hAnsi="楷体" w:eastAsia="楷体" w:cs="宋体"/>
                <w:b/>
                <w:spacing w:val="-2"/>
                <w:sz w:val="18"/>
                <w:szCs w:val="18"/>
                <w:highlight w:val="none"/>
                <w:lang w:val="en-US" w:eastAsia="zh-CN"/>
              </w:rPr>
            </w:pPr>
            <w:r>
              <w:rPr>
                <w:rFonts w:hint="eastAsia" w:ascii="楷体" w:hAnsi="楷体" w:eastAsia="楷体" w:cs="宋体"/>
                <w:b/>
                <w:spacing w:val="-2"/>
                <w:sz w:val="18"/>
                <w:szCs w:val="18"/>
                <w:highlight w:val="none"/>
              </w:rPr>
              <w:t>收益分配</w:t>
            </w:r>
          </w:p>
        </w:tc>
        <w:tc>
          <w:tcPr>
            <w:tcW w:w="7937" w:type="dxa"/>
            <w:noWrap w:val="0"/>
            <w:vAlign w:val="center"/>
          </w:tcPr>
          <w:p>
            <w:pPr>
              <w:keepNext w:val="0"/>
              <w:keepLines w:val="0"/>
              <w:pageBreakBefore w:val="0"/>
              <w:widowControl w:val="0"/>
              <w:wordWrap/>
              <w:topLinePunct w:val="0"/>
              <w:autoSpaceDE/>
              <w:autoSpaceDN/>
              <w:bidi w:val="0"/>
              <w:snapToGrid w:val="0"/>
              <w:spacing w:line="240" w:lineRule="auto"/>
              <w:ind w:left="21" w:leftChars="10" w:right="21" w:rightChars="1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本产品无分红机制，投资运作情况体现为产品净值变化。产品投资运作到期，投资收益扣除相关费用后，全部分配给投资者。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01" w:type="dxa"/>
            <w:noWrap w:val="0"/>
            <w:vAlign w:val="center"/>
          </w:tcPr>
          <w:p>
            <w:pPr>
              <w:pStyle w:val="34"/>
              <w:keepNext w:val="0"/>
              <w:keepLines w:val="0"/>
              <w:pageBreakBefore w:val="0"/>
              <w:widowControl w:val="0"/>
              <w:kinsoku w:val="0"/>
              <w:wordWrap/>
              <w:overflowPunct w:val="0"/>
              <w:topLinePunct w:val="0"/>
              <w:autoSpaceDE/>
              <w:autoSpaceDN/>
              <w:bidi w:val="0"/>
              <w:adjustRightInd w:val="0"/>
              <w:snapToGrid w:val="0"/>
              <w:ind w:left="21" w:leftChars="10" w:right="21" w:rightChars="10"/>
              <w:jc w:val="both"/>
              <w:textAlignment w:val="auto"/>
              <w:rPr>
                <w:rFonts w:hint="eastAsia" w:ascii="楷体" w:hAnsi="楷体" w:eastAsia="楷体" w:cs="宋体"/>
                <w:b/>
                <w:spacing w:val="-2"/>
                <w:sz w:val="18"/>
                <w:szCs w:val="18"/>
                <w:highlight w:val="none"/>
                <w:lang w:val="en-US" w:eastAsia="zh-CN"/>
              </w:rPr>
            </w:pPr>
            <w:r>
              <w:rPr>
                <w:rFonts w:hint="eastAsia" w:ascii="楷体" w:hAnsi="楷体" w:eastAsia="楷体" w:cs="宋体"/>
                <w:b/>
                <w:spacing w:val="-2"/>
                <w:sz w:val="18"/>
                <w:szCs w:val="18"/>
                <w:highlight w:val="none"/>
              </w:rPr>
              <w:t>税款</w:t>
            </w:r>
          </w:p>
        </w:tc>
        <w:tc>
          <w:tcPr>
            <w:tcW w:w="7937" w:type="dxa"/>
            <w:noWrap w:val="0"/>
            <w:vAlign w:val="center"/>
          </w:tcPr>
          <w:p>
            <w:pPr>
              <w:keepNext w:val="0"/>
              <w:keepLines w:val="0"/>
              <w:pageBreakBefore w:val="0"/>
              <w:widowControl w:val="0"/>
              <w:wordWrap/>
              <w:topLinePunct w:val="0"/>
              <w:autoSpaceDE/>
              <w:autoSpaceDN/>
              <w:bidi w:val="0"/>
              <w:snapToGrid w:val="0"/>
              <w:spacing w:line="240" w:lineRule="auto"/>
              <w:ind w:left="21" w:leftChars="10" w:right="21" w:rightChars="10"/>
              <w:jc w:val="both"/>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rPr>
              <w:t>根据中国增值税等税收相关法律法规、税收政策等要求，产品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highlight w:val="none"/>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0"/>
        <w:rPr>
          <w:rFonts w:hint="eastAsia" w:ascii="楷体" w:hAnsi="楷体" w:eastAsia="楷体" w:cs="Times New Roman"/>
          <w:b/>
          <w:sz w:val="21"/>
          <w:szCs w:val="21"/>
          <w:highlight w:val="none"/>
        </w:rPr>
      </w:pPr>
      <w:r>
        <w:rPr>
          <w:rFonts w:hint="eastAsia" w:ascii="楷体" w:hAnsi="楷体" w:eastAsia="楷体" w:cs="Times New Roman"/>
          <w:b/>
          <w:sz w:val="21"/>
          <w:szCs w:val="21"/>
          <w:highlight w:val="none"/>
        </w:rPr>
        <w:t>产品管理人</w:t>
      </w:r>
    </w:p>
    <w:p>
      <w:pPr>
        <w:keepNext w:val="0"/>
        <w:keepLines w:val="0"/>
        <w:pageBreakBefore w:val="0"/>
        <w:numPr>
          <w:ilvl w:val="0"/>
          <w:numId w:val="0"/>
        </w:numPr>
        <w:wordWrap/>
        <w:topLinePunct w:val="0"/>
        <w:autoSpaceDE/>
        <w:autoSpaceDN/>
        <w:bidi w:val="0"/>
        <w:ind w:left="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本产品管理人为</w:t>
      </w:r>
      <w:r>
        <w:rPr>
          <w:rFonts w:hint="eastAsia" w:ascii="楷体" w:hAnsi="楷体" w:eastAsia="楷体" w:cs="楷体"/>
          <w:b/>
          <w:bCs/>
          <w:color w:val="auto"/>
          <w:sz w:val="21"/>
          <w:szCs w:val="21"/>
          <w:highlight w:val="none"/>
          <w:u w:val="single"/>
        </w:rPr>
        <w:t>苏银理财有限责任公司</w:t>
      </w:r>
      <w:r>
        <w:rPr>
          <w:rFonts w:hint="eastAsia" w:ascii="楷体" w:hAnsi="楷体" w:eastAsia="楷体" w:cs="楷体"/>
          <w:b w:val="0"/>
          <w:bCs w:val="0"/>
          <w:color w:val="auto"/>
          <w:sz w:val="21"/>
          <w:szCs w:val="21"/>
          <w:highlight w:val="none"/>
          <w:u w:val="none"/>
        </w:rPr>
        <w:t>（以下简称“苏银理财”）</w:t>
      </w:r>
      <w:r>
        <w:rPr>
          <w:rFonts w:hint="eastAsia" w:ascii="楷体" w:hAnsi="楷体" w:eastAsia="楷体"/>
          <w:color w:val="auto"/>
          <w:sz w:val="21"/>
          <w:szCs w:val="21"/>
          <w:highlight w:val="none"/>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w:t>
      </w:r>
      <w:r>
        <w:rPr>
          <w:rFonts w:hint="eastAsia" w:ascii="楷体" w:hAnsi="楷体" w:eastAsia="楷体"/>
          <w:color w:val="auto"/>
          <w:sz w:val="21"/>
          <w:szCs w:val="21"/>
          <w:highlight w:val="none"/>
          <w:lang w:val="en-US" w:eastAsia="zh-CN"/>
        </w:rPr>
        <w:t>监管机构</w:t>
      </w:r>
      <w:r>
        <w:rPr>
          <w:rFonts w:hint="eastAsia" w:ascii="楷体" w:hAnsi="楷体" w:eastAsia="楷体"/>
          <w:color w:val="auto"/>
          <w:sz w:val="21"/>
          <w:szCs w:val="21"/>
          <w:highlight w:val="none"/>
        </w:rPr>
        <w:t>批准的其他业务等。</w:t>
      </w:r>
    </w:p>
    <w:p>
      <w:pPr>
        <w:keepNext w:val="0"/>
        <w:keepLines w:val="0"/>
        <w:pageBreakBefore w:val="0"/>
        <w:numPr>
          <w:ilvl w:val="0"/>
          <w:numId w:val="0"/>
        </w:numPr>
        <w:wordWrap/>
        <w:topLinePunct w:val="0"/>
        <w:autoSpaceDE/>
        <w:autoSpaceDN/>
        <w:bidi w:val="0"/>
        <w:ind w:left="0" w:firstLine="420" w:firstLineChars="200"/>
        <w:textAlignment w:val="auto"/>
        <w:rPr>
          <w:rFonts w:hint="eastAsia"/>
          <w:highlight w:val="none"/>
        </w:rPr>
      </w:pPr>
      <w:r>
        <w:rPr>
          <w:rFonts w:hint="eastAsia" w:ascii="楷体" w:hAnsi="楷体" w:eastAsia="楷体"/>
          <w:color w:val="auto"/>
          <w:sz w:val="21"/>
          <w:szCs w:val="21"/>
          <w:highlight w:val="none"/>
        </w:rPr>
        <w:t>投资者在此授权并同意苏银理财享有以下权利：</w:t>
      </w:r>
      <w:r>
        <w:rPr>
          <w:rFonts w:hint="eastAsia" w:ascii="楷体" w:hAnsi="楷体" w:eastAsia="楷体" w:cs="Times New Roman"/>
          <w:color w:val="auto"/>
          <w:sz w:val="21"/>
          <w:szCs w:val="21"/>
          <w:highlight w:val="none"/>
        </w:rPr>
        <w:t>按照本理财产品合同的约定，管理、运用和处分理财计划资金</w:t>
      </w:r>
      <w:r>
        <w:rPr>
          <w:rFonts w:hint="eastAsia" w:ascii="楷体" w:hAnsi="楷体" w:eastAsia="楷体" w:cs="Times New Roman"/>
          <w:color w:val="auto"/>
          <w:sz w:val="21"/>
          <w:szCs w:val="21"/>
          <w:highlight w:val="none"/>
          <w:lang w:val="en-US" w:eastAsia="zh-CN"/>
        </w:rPr>
        <w:t>；</w:t>
      </w:r>
      <w:r>
        <w:rPr>
          <w:rFonts w:hint="eastAsia" w:ascii="楷体" w:hAnsi="楷体" w:eastAsia="楷体" w:cs="Times New Roman"/>
          <w:color w:val="auto"/>
          <w:sz w:val="21"/>
          <w:szCs w:val="21"/>
          <w:highlight w:val="none"/>
        </w:rPr>
        <w:t>按照本理财产品合同的约定，及时、足额获得投资管理费</w:t>
      </w:r>
      <w:r>
        <w:rPr>
          <w:rFonts w:hint="eastAsia" w:ascii="楷体" w:hAnsi="楷体" w:eastAsia="楷体" w:cs="Times New Roman"/>
          <w:color w:val="auto"/>
          <w:sz w:val="21"/>
          <w:szCs w:val="21"/>
          <w:highlight w:val="none"/>
          <w:lang w:val="en-US" w:eastAsia="zh-CN"/>
        </w:rPr>
        <w:t>；</w:t>
      </w:r>
      <w:r>
        <w:rPr>
          <w:rFonts w:hint="eastAsia" w:ascii="楷体" w:hAnsi="楷体" w:eastAsia="楷体" w:cs="Times New Roman"/>
          <w:color w:val="auto"/>
          <w:sz w:val="21"/>
          <w:szCs w:val="21"/>
          <w:highlight w:val="none"/>
        </w:rPr>
        <w:t>管理人有权根据本理财产品合同的约定提前终止或延长本理财产品的期限</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管理人有权调整本理财产品的认购规模上限、认购起点、认购金额上限、认购资金的最</w:t>
      </w:r>
      <w:r>
        <w:rPr>
          <w:rFonts w:hint="eastAsia" w:ascii="楷体" w:hAnsi="楷体" w:eastAsia="楷体" w:cs="Times New Roman"/>
          <w:color w:val="auto"/>
          <w:sz w:val="21"/>
          <w:szCs w:val="21"/>
          <w:highlight w:val="none"/>
          <w:lang w:val="en-US" w:eastAsia="zh-CN"/>
        </w:rPr>
        <w:t>低</w:t>
      </w:r>
      <w:r>
        <w:rPr>
          <w:rFonts w:hint="eastAsia" w:ascii="楷体" w:hAnsi="楷体" w:eastAsia="楷体" w:cs="Times New Roman"/>
          <w:color w:val="auto"/>
          <w:sz w:val="21"/>
          <w:szCs w:val="21"/>
          <w:highlight w:val="none"/>
        </w:rPr>
        <w:t>金额等要素</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管理人有权依照法律规定和监管机构的要求将投资者的信息向有权部门或相关机构披露</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以理财产品投资管理人的名义，依照法律法规相关规定以及代表理财产品份额持有人的利益行使代为追索的权利（包括但不限于提起诉讼/仲裁、申请保全/执行的权利）或者实施其他法律行为</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法律法规、监管政策和本理财计划文件约定的其他权利。</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0"/>
        <w:rPr>
          <w:rFonts w:hint="eastAsia" w:ascii="楷体" w:hAnsi="楷体" w:eastAsia="楷体" w:cs="Times New Roman"/>
          <w:b/>
          <w:sz w:val="21"/>
          <w:szCs w:val="21"/>
          <w:highlight w:val="none"/>
        </w:rPr>
      </w:pPr>
      <w:r>
        <w:rPr>
          <w:rFonts w:hint="eastAsia" w:ascii="楷体" w:hAnsi="楷体" w:eastAsia="楷体" w:cs="Times New Roman"/>
          <w:b/>
          <w:sz w:val="21"/>
          <w:szCs w:val="21"/>
          <w:highlight w:val="none"/>
          <w:lang w:val="en-US" w:eastAsia="zh-CN"/>
        </w:rPr>
        <w:t>产品托管人</w:t>
      </w:r>
    </w:p>
    <w:p>
      <w:pPr>
        <w:keepNext w:val="0"/>
        <w:keepLines w:val="0"/>
        <w:pageBreakBefore w:val="0"/>
        <w:numPr>
          <w:ilvl w:val="0"/>
          <w:numId w:val="0"/>
        </w:numPr>
        <w:wordWrap/>
        <w:topLinePunct w:val="0"/>
        <w:autoSpaceDE/>
        <w:autoSpaceDN/>
        <w:bidi w:val="0"/>
        <w:ind w:firstLine="420" w:firstLineChars="200"/>
        <w:textAlignment w:val="auto"/>
        <w:rPr>
          <w:rFonts w:hint="eastAsia"/>
          <w:highlight w:val="none"/>
        </w:rPr>
      </w:pPr>
      <w:r>
        <w:rPr>
          <w:rFonts w:hint="eastAsia" w:ascii="楷体" w:hAnsi="楷体" w:eastAsia="楷体"/>
          <w:color w:val="auto"/>
          <w:sz w:val="21"/>
          <w:szCs w:val="21"/>
          <w:highlight w:val="none"/>
        </w:rPr>
        <w:t>本产品托管人为</w:t>
      </w:r>
      <w:r>
        <w:rPr>
          <w:rFonts w:hint="eastAsia" w:ascii="楷体" w:hAnsi="楷体" w:eastAsia="楷体" w:cs="楷体"/>
          <w:b/>
          <w:bCs/>
          <w:color w:val="auto"/>
          <w:sz w:val="21"/>
          <w:szCs w:val="21"/>
          <w:highlight w:val="none"/>
          <w:u w:val="single"/>
          <w:lang w:eastAsia="zh-CN"/>
        </w:rPr>
        <w:t>江苏银行股份有限公司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highlight w:val="none"/>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0"/>
        <w:rPr>
          <w:rFonts w:hint="eastAsia" w:ascii="楷体" w:hAnsi="楷体" w:eastAsia="楷体" w:cs="Times New Roman"/>
          <w:b/>
          <w:sz w:val="21"/>
          <w:szCs w:val="21"/>
          <w:highlight w:val="none"/>
        </w:rPr>
      </w:pPr>
      <w:r>
        <w:rPr>
          <w:rFonts w:hint="eastAsia" w:ascii="楷体" w:hAnsi="楷体" w:eastAsia="楷体" w:cs="Times New Roman"/>
          <w:b/>
          <w:sz w:val="21"/>
          <w:szCs w:val="21"/>
          <w:highlight w:val="none"/>
          <w:lang w:val="en-US" w:eastAsia="zh-CN"/>
        </w:rPr>
        <w:t>销售机构</w:t>
      </w:r>
    </w:p>
    <w:p>
      <w:pPr>
        <w:keepNext w:val="0"/>
        <w:keepLines w:val="0"/>
        <w:pageBreakBefore w:val="0"/>
        <w:numPr>
          <w:ilvl w:val="0"/>
          <w:numId w:val="0"/>
        </w:numPr>
        <w:tabs>
          <w:tab w:val="left" w:pos="1134"/>
        </w:tabs>
        <w:wordWrap/>
        <w:topLinePunct w:val="0"/>
        <w:autoSpaceDE/>
        <w:autoSpaceDN/>
        <w:bidi w:val="0"/>
        <w:ind w:left="0" w:leftChars="0"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highlight w:val="none"/>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维护等销售服务工作。销售机构不承担产品投资、兑付和风险管理责任，产品的投资、兑付和风险管理责任由管理人承担。</w:t>
      </w:r>
    </w:p>
    <w:p>
      <w:pPr>
        <w:keepNext w:val="0"/>
        <w:keepLines w:val="0"/>
        <w:pageBreakBefore w:val="0"/>
        <w:numPr>
          <w:ilvl w:val="0"/>
          <w:numId w:val="0"/>
        </w:numPr>
        <w:tabs>
          <w:tab w:val="left" w:pos="993"/>
        </w:tabs>
        <w:wordWrap/>
        <w:topLinePunct w:val="0"/>
        <w:autoSpaceDE/>
        <w:autoSpaceDN/>
        <w:bidi w:val="0"/>
        <w:ind w:left="0" w:leftChars="0" w:firstLine="420" w:firstLineChars="200"/>
        <w:textAlignment w:val="auto"/>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keepNext w:val="0"/>
        <w:keepLines w:val="0"/>
        <w:pageBreakBefore w:val="0"/>
        <w:numPr>
          <w:ilvl w:val="0"/>
          <w:numId w:val="0"/>
        </w:numPr>
        <w:tabs>
          <w:tab w:val="left" w:pos="993"/>
        </w:tabs>
        <w:wordWrap/>
        <w:topLinePunct w:val="0"/>
        <w:autoSpaceDE/>
        <w:autoSpaceDN/>
        <w:bidi w:val="0"/>
        <w:ind w:left="0" w:leftChars="0" w:firstLine="420" w:firstLineChars="200"/>
        <w:textAlignment w:val="auto"/>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A份额：江苏银行股份有限公司/苏银理财有限责任公司</w:t>
      </w:r>
    </w:p>
    <w:p>
      <w:pPr>
        <w:keepNext w:val="0"/>
        <w:keepLines w:val="0"/>
        <w:pageBreakBefore w:val="0"/>
        <w:numPr>
          <w:ilvl w:val="0"/>
          <w:numId w:val="0"/>
        </w:numPr>
        <w:tabs>
          <w:tab w:val="left" w:pos="993"/>
        </w:tabs>
        <w:wordWrap/>
        <w:topLinePunct w:val="0"/>
        <w:autoSpaceDE/>
        <w:autoSpaceDN/>
        <w:bidi w:val="0"/>
        <w:ind w:left="0" w:leftChars="0" w:firstLine="420" w:firstLineChars="200"/>
        <w:textAlignment w:val="auto"/>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F份额：苏银理财有限责任公司</w:t>
      </w:r>
    </w:p>
    <w:p>
      <w:pPr>
        <w:keepNext w:val="0"/>
        <w:keepLines w:val="0"/>
        <w:pageBreakBefore w:val="0"/>
        <w:numPr>
          <w:ilvl w:val="0"/>
          <w:numId w:val="0"/>
        </w:numPr>
        <w:tabs>
          <w:tab w:val="left" w:pos="993"/>
        </w:tabs>
        <w:wordWrap/>
        <w:topLinePunct w:val="0"/>
        <w:autoSpaceDE/>
        <w:autoSpaceDN/>
        <w:bidi w:val="0"/>
        <w:ind w:left="0" w:leftChars="0" w:firstLine="420" w:firstLineChars="200"/>
        <w:textAlignment w:val="auto"/>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G份额：苏银理财有限责任公司</w:t>
      </w:r>
    </w:p>
    <w:p>
      <w:pPr>
        <w:keepNext w:val="0"/>
        <w:keepLines w:val="0"/>
        <w:pageBreakBefore w:val="0"/>
        <w:numPr>
          <w:ilvl w:val="0"/>
          <w:numId w:val="0"/>
        </w:numPr>
        <w:tabs>
          <w:tab w:val="left" w:pos="993"/>
        </w:tabs>
        <w:wordWrap/>
        <w:topLinePunct w:val="0"/>
        <w:autoSpaceDE/>
        <w:autoSpaceDN/>
        <w:bidi w:val="0"/>
        <w:ind w:left="0" w:leftChars="0" w:firstLine="420" w:firstLineChars="200"/>
        <w:textAlignment w:val="auto"/>
        <w:rPr>
          <w:rFonts w:hint="default"/>
          <w:highlight w:val="none"/>
          <w:lang w:val="en-US"/>
        </w:rPr>
      </w:pPr>
      <w:r>
        <w:rPr>
          <w:rFonts w:hint="eastAsia" w:ascii="楷体" w:hAnsi="楷体" w:eastAsia="楷体"/>
          <w:b w:val="0"/>
          <w:bCs w:val="0"/>
          <w:sz w:val="21"/>
          <w:szCs w:val="21"/>
          <w:highlight w:val="none"/>
          <w:u w:val="none"/>
          <w:lang w:val="en-US" w:eastAsia="zh-CN"/>
        </w:rPr>
        <w:t>H份额：苏银理财有限责任公司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0"/>
        <w:rPr>
          <w:rFonts w:hint="eastAsia" w:ascii="楷体" w:hAnsi="楷体" w:eastAsia="楷体" w:cs="Times New Roman"/>
          <w:b/>
          <w:sz w:val="21"/>
          <w:szCs w:val="21"/>
          <w:highlight w:val="none"/>
        </w:rPr>
      </w:pPr>
      <w:r>
        <w:rPr>
          <w:rFonts w:hint="eastAsia" w:ascii="楷体" w:hAnsi="楷体" w:eastAsia="楷体" w:cs="Times New Roman"/>
          <w:b/>
          <w:sz w:val="21"/>
          <w:szCs w:val="21"/>
          <w:highlight w:val="none"/>
        </w:rPr>
        <w:t>名词释义</w:t>
      </w:r>
    </w:p>
    <w:p>
      <w:pPr>
        <w:keepNext w:val="0"/>
        <w:keepLines w:val="0"/>
        <w:pageBreakBefore w:val="0"/>
        <w:wordWrap/>
        <w:topLinePunct w:val="0"/>
        <w:autoSpaceDE/>
        <w:autoSpaceDN/>
        <w:bidi w:val="0"/>
        <w:ind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在本</w:t>
      </w:r>
      <w:r>
        <w:rPr>
          <w:rFonts w:hint="eastAsia" w:ascii="楷体" w:hAnsi="楷体" w:eastAsia="楷体"/>
          <w:color w:val="auto"/>
          <w:sz w:val="21"/>
          <w:szCs w:val="21"/>
          <w:highlight w:val="none"/>
          <w:lang w:val="en-US" w:eastAsia="zh-CN"/>
        </w:rPr>
        <w:t>理财</w:t>
      </w:r>
      <w:r>
        <w:rPr>
          <w:rFonts w:hint="eastAsia" w:ascii="楷体" w:hAnsi="楷体" w:eastAsia="楷体"/>
          <w:color w:val="auto"/>
          <w:sz w:val="21"/>
          <w:szCs w:val="21"/>
          <w:highlight w:val="none"/>
        </w:rPr>
        <w:t>产品说明书中，除非上下文另有明确约定，下列用词将具有如下含义：</w:t>
      </w:r>
    </w:p>
    <w:p>
      <w:pPr>
        <w:keepNext w:val="0"/>
        <w:keepLines w:val="0"/>
        <w:pageBreakBefore w:val="0"/>
        <w:widowControl w:val="0"/>
        <w:numPr>
          <w:ilvl w:val="0"/>
          <w:numId w:val="7"/>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销售代码：指本理财产品可能</w:t>
      </w:r>
      <w:r>
        <w:rPr>
          <w:rFonts w:hint="eastAsia" w:ascii="楷体" w:hAnsi="楷体" w:eastAsia="楷体" w:cs="Calibri"/>
          <w:color w:val="auto"/>
          <w:sz w:val="21"/>
          <w:szCs w:val="21"/>
          <w:highlight w:val="none"/>
          <w:lang w:val="en-US" w:eastAsia="zh-CN"/>
        </w:rPr>
        <w:t>设置一类或多类</w:t>
      </w:r>
      <w:r>
        <w:rPr>
          <w:rFonts w:hint="eastAsia" w:ascii="楷体" w:hAnsi="楷体" w:eastAsia="楷体" w:cs="Calibri"/>
          <w:color w:val="auto"/>
          <w:sz w:val="21"/>
          <w:szCs w:val="21"/>
          <w:highlight w:val="none"/>
        </w:rPr>
        <w:t>产品份额，管理人在理财产品销售管理过程中</w:t>
      </w:r>
      <w:r>
        <w:rPr>
          <w:rFonts w:hint="eastAsia" w:ascii="楷体" w:hAnsi="楷体" w:eastAsia="楷体" w:cs="Calibri"/>
          <w:color w:val="auto"/>
          <w:sz w:val="21"/>
          <w:szCs w:val="21"/>
          <w:highlight w:val="none"/>
          <w:lang w:val="en-US" w:eastAsia="zh-CN"/>
        </w:rPr>
        <w:t>对各类份额</w:t>
      </w:r>
      <w:r>
        <w:rPr>
          <w:rFonts w:hint="eastAsia" w:ascii="楷体" w:hAnsi="楷体" w:eastAsia="楷体" w:cs="Calibri"/>
          <w:color w:val="auto"/>
          <w:sz w:val="21"/>
          <w:szCs w:val="21"/>
          <w:highlight w:val="none"/>
        </w:rPr>
        <w:t>设置的内部</w:t>
      </w:r>
      <w:r>
        <w:rPr>
          <w:rFonts w:hint="eastAsia" w:ascii="楷体" w:hAnsi="楷体" w:eastAsia="楷体" w:cs="Calibri"/>
          <w:color w:val="auto"/>
          <w:sz w:val="21"/>
          <w:szCs w:val="21"/>
          <w:highlight w:val="none"/>
          <w:lang w:val="en-US" w:eastAsia="zh-CN"/>
        </w:rPr>
        <w:t>代码</w:t>
      </w:r>
      <w:r>
        <w:rPr>
          <w:rFonts w:hint="eastAsia" w:ascii="楷体" w:hAnsi="楷体" w:eastAsia="楷体" w:cs="Calibri"/>
          <w:color w:val="auto"/>
          <w:sz w:val="21"/>
          <w:szCs w:val="21"/>
          <w:highlight w:val="none"/>
        </w:rPr>
        <w:t>。</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理财</w:t>
      </w:r>
      <w:r>
        <w:rPr>
          <w:rFonts w:hint="eastAsia" w:ascii="楷体" w:hAnsi="楷体" w:eastAsia="楷体" w:cs="Calibri"/>
          <w:color w:val="auto"/>
          <w:sz w:val="21"/>
          <w:szCs w:val="21"/>
          <w:highlight w:val="none"/>
        </w:rPr>
        <w:t>产品资产总值</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rPr>
        <w:t>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理财</w:t>
      </w:r>
      <w:r>
        <w:rPr>
          <w:rFonts w:hint="eastAsia" w:ascii="楷体" w:hAnsi="楷体" w:eastAsia="楷体" w:cs="Calibri"/>
          <w:color w:val="auto"/>
          <w:sz w:val="21"/>
          <w:szCs w:val="21"/>
          <w:highlight w:val="none"/>
        </w:rPr>
        <w:t>产品负债总值</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rPr>
        <w:t>指产品运作及融资时形成的负债价值总和，包括融资资金本息、应付各项费用（包括托管费、销售</w:t>
      </w:r>
      <w:r>
        <w:rPr>
          <w:rFonts w:ascii="楷体" w:hAnsi="楷体" w:eastAsia="楷体" w:cs="Calibri"/>
          <w:color w:val="auto"/>
          <w:sz w:val="21"/>
          <w:szCs w:val="21"/>
          <w:highlight w:val="none"/>
        </w:rPr>
        <w:t>服务费、</w:t>
      </w:r>
      <w:r>
        <w:rPr>
          <w:rFonts w:hint="eastAsia" w:ascii="楷体" w:hAnsi="楷体" w:eastAsia="楷体" w:cs="Calibri"/>
          <w:color w:val="auto"/>
          <w:sz w:val="21"/>
          <w:szCs w:val="21"/>
          <w:highlight w:val="none"/>
        </w:rPr>
        <w:t>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highlight w:val="none"/>
        </w:rPr>
      </w:pPr>
      <w:r>
        <w:rPr>
          <w:rFonts w:hint="eastAsia" w:ascii="楷体" w:hAnsi="楷体" w:eastAsia="楷体" w:cs="楷体"/>
          <w:color w:val="auto"/>
          <w:sz w:val="21"/>
          <w:szCs w:val="21"/>
          <w:highlight w:val="none"/>
        </w:rPr>
        <w:t>理财产品资产净值/</w:t>
      </w:r>
      <w:r>
        <w:rPr>
          <w:rFonts w:hint="eastAsia" w:ascii="楷体" w:hAnsi="楷体" w:eastAsia="楷体" w:cs="楷体"/>
          <w:color w:val="auto"/>
          <w:sz w:val="21"/>
          <w:szCs w:val="21"/>
          <w:highlight w:val="none"/>
          <w:lang w:val="en-US" w:eastAsia="zh-CN"/>
        </w:rPr>
        <w:t>净资产</w:t>
      </w:r>
      <w:r>
        <w:rPr>
          <w:rFonts w:hint="eastAsia" w:ascii="楷体" w:hAnsi="楷体" w:eastAsia="楷体" w:cs="楷体"/>
          <w:color w:val="auto"/>
          <w:sz w:val="21"/>
          <w:szCs w:val="21"/>
          <w:highlight w:val="none"/>
        </w:rPr>
        <w:t>：</w:t>
      </w:r>
      <w:r>
        <w:rPr>
          <w:rFonts w:hint="eastAsia" w:ascii="楷体" w:hAnsi="楷体" w:eastAsia="楷体" w:cs="楷体"/>
          <w:color w:val="auto"/>
          <w:sz w:val="21"/>
          <w:szCs w:val="21"/>
          <w:highlight w:val="none"/>
          <w:lang w:val="en-US" w:eastAsia="zh-CN"/>
        </w:rPr>
        <w:t>指产品</w:t>
      </w:r>
      <w:r>
        <w:rPr>
          <w:rFonts w:hint="eastAsia" w:ascii="楷体" w:hAnsi="楷体" w:eastAsia="楷体" w:cs="楷体"/>
          <w:color w:val="auto"/>
          <w:sz w:val="21"/>
          <w:szCs w:val="21"/>
          <w:highlight w:val="none"/>
        </w:rPr>
        <w:t>资产总值</w:t>
      </w:r>
      <w:r>
        <w:rPr>
          <w:rFonts w:hint="eastAsia" w:ascii="楷体" w:hAnsi="楷体" w:eastAsia="楷体" w:cs="楷体"/>
          <w:color w:val="auto"/>
          <w:sz w:val="21"/>
          <w:szCs w:val="21"/>
          <w:highlight w:val="none"/>
          <w:lang w:val="en-US" w:eastAsia="zh-CN"/>
        </w:rPr>
        <w:t>减去</w:t>
      </w:r>
      <w:r>
        <w:rPr>
          <w:rFonts w:hint="eastAsia" w:ascii="楷体" w:hAnsi="楷体" w:eastAsia="楷体" w:cs="楷体"/>
          <w:color w:val="auto"/>
          <w:sz w:val="21"/>
          <w:szCs w:val="21"/>
          <w:highlight w:val="none"/>
        </w:rPr>
        <w:t>产品负债总值</w:t>
      </w:r>
      <w:r>
        <w:rPr>
          <w:rFonts w:hint="eastAsia" w:ascii="楷体" w:hAnsi="楷体" w:eastAsia="楷体" w:cs="楷体"/>
          <w:color w:val="auto"/>
          <w:sz w:val="21"/>
          <w:szCs w:val="21"/>
          <w:highlight w:val="none"/>
          <w:lang w:val="en-US" w:eastAsia="zh-CN"/>
        </w:rPr>
        <w:t>后的价值</w:t>
      </w:r>
      <w:r>
        <w:rPr>
          <w:rFonts w:hint="eastAsia" w:ascii="楷体" w:hAnsi="楷体" w:eastAsia="楷体" w:cs="楷体"/>
          <w:color w:val="auto"/>
          <w:sz w:val="21"/>
          <w:szCs w:val="21"/>
          <w:highlight w:val="none"/>
        </w:rPr>
        <w:t>。</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keepNext w:val="0"/>
        <w:keepLines w:val="0"/>
        <w:pageBreakBefore w:val="0"/>
        <w:widowControl w:val="0"/>
        <w:numPr>
          <w:ilvl w:val="0"/>
          <w:numId w:val="7"/>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交易日：</w:t>
      </w:r>
      <w:r>
        <w:rPr>
          <w:rFonts w:ascii="楷体" w:hAnsi="楷体" w:eastAsia="楷体" w:cs="Calibri"/>
          <w:color w:val="auto"/>
          <w:sz w:val="21"/>
          <w:szCs w:val="21"/>
          <w:highlight w:val="none"/>
        </w:rPr>
        <w:t>指上海证券交易所和深圳证券交易所的正常开盘交易日</w:t>
      </w:r>
      <w:r>
        <w:rPr>
          <w:rFonts w:hint="eastAsia" w:ascii="楷体" w:hAnsi="楷体" w:eastAsia="楷体" w:cs="Calibri"/>
          <w:color w:val="auto"/>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份额登记日/份额确认日：指管理人对投资者提交的</w:t>
      </w:r>
      <w:r>
        <w:rPr>
          <w:rFonts w:hint="eastAsia" w:ascii="楷体" w:hAnsi="楷体" w:eastAsia="楷体" w:cs="Calibri"/>
          <w:color w:val="auto"/>
          <w:sz w:val="21"/>
          <w:szCs w:val="21"/>
          <w:highlight w:val="none"/>
          <w:lang w:val="en-US" w:eastAsia="zh-CN"/>
        </w:rPr>
        <w:t>购买</w:t>
      </w:r>
      <w:r>
        <w:rPr>
          <w:rFonts w:hint="eastAsia" w:ascii="楷体" w:hAnsi="楷体" w:eastAsia="楷体" w:cs="Calibri"/>
          <w:color w:val="auto"/>
          <w:sz w:val="21"/>
          <w:szCs w:val="21"/>
          <w:highlight w:val="none"/>
        </w:rPr>
        <w:t>申请进行份额登记的日期。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0"/>
        <w:rPr>
          <w:rFonts w:hint="eastAsia" w:ascii="楷体" w:hAnsi="楷体" w:eastAsia="楷体" w:cs="Times New Roman"/>
          <w:b/>
          <w:sz w:val="21"/>
          <w:szCs w:val="21"/>
          <w:highlight w:val="none"/>
        </w:rPr>
      </w:pPr>
      <w:r>
        <w:rPr>
          <w:rFonts w:hint="eastAsia" w:ascii="楷体" w:hAnsi="楷体" w:eastAsia="楷体" w:cs="Times New Roman"/>
          <w:b/>
          <w:sz w:val="21"/>
          <w:szCs w:val="21"/>
          <w:highlight w:val="none"/>
        </w:rPr>
        <w:t>投资管理</w:t>
      </w:r>
    </w:p>
    <w:p>
      <w:pPr>
        <w:keepNext w:val="0"/>
        <w:keepLines w:val="0"/>
        <w:pageBreakBefore w:val="0"/>
        <w:widowControl w:val="0"/>
        <w:numPr>
          <w:ilvl w:val="0"/>
          <w:numId w:val="10"/>
        </w:numPr>
        <w:tabs>
          <w:tab w:val="left" w:pos="993"/>
          <w:tab w:val="clear" w:pos="0"/>
        </w:tabs>
        <w:kinsoku/>
        <w:wordWrap/>
        <w:overflowPunct/>
        <w:topLinePunct w:val="0"/>
        <w:autoSpaceDE/>
        <w:autoSpaceDN/>
        <w:bidi w:val="0"/>
        <w:adjustRightInd/>
        <w:snapToGrid/>
        <w:ind w:left="0" w:leftChars="0" w:firstLine="420" w:firstLineChars="200"/>
        <w:textAlignment w:val="auto"/>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投资范围和比例</w:t>
      </w:r>
    </w:p>
    <w:p>
      <w:pPr>
        <w:keepNext w:val="0"/>
        <w:keepLines w:val="0"/>
        <w:pageBreakBefore w:val="0"/>
        <w:wordWrap/>
        <w:topLinePunct w:val="0"/>
        <w:autoSpaceDE/>
        <w:autoSpaceDN/>
        <w:bidi w:val="0"/>
        <w:ind w:firstLine="420" w:firstLineChars="200"/>
        <w:textAlignment w:val="auto"/>
        <w:rPr>
          <w:rFonts w:hint="default" w:ascii="楷体" w:hAnsi="楷体" w:eastAsia="楷体"/>
          <w:sz w:val="21"/>
          <w:szCs w:val="21"/>
          <w:highlight w:val="none"/>
          <w:lang w:val="en-US" w:eastAsia="zh-CN"/>
        </w:rPr>
      </w:pPr>
      <w:r>
        <w:rPr>
          <w:rFonts w:hint="eastAsia" w:ascii="楷体" w:hAnsi="楷体" w:eastAsia="楷体"/>
          <w:sz w:val="21"/>
          <w:szCs w:val="21"/>
          <w:highlight w:val="none"/>
        </w:rPr>
        <w:t>本理财产品直接或间接投资于现金、银行存款、债券回购、中央银行票据、同业存单、拆借、货币市场基金、债券、在银行间市场和证券交易所市场发行的资产支持证券和监管机构允许投资的其他资产（如纳入权益类资产核算的永续债等，不含金融衍生品）。具体资产投资比例为：固定收益类资产占产品资产总值比例不低于80%，其他符合监管要求的资产占产品资产总值比例不高于20%</w:t>
      </w:r>
      <w:r>
        <w:rPr>
          <w:rFonts w:hint="eastAsia" w:ascii="楷体" w:hAnsi="楷体" w:eastAsia="楷体"/>
          <w:sz w:val="21"/>
          <w:szCs w:val="21"/>
          <w:highlight w:val="none"/>
          <w:lang w:val="en-US" w:eastAsia="zh-CN"/>
        </w:rPr>
        <w:t>。</w:t>
      </w:r>
    </w:p>
    <w:p>
      <w:pPr>
        <w:keepNext w:val="0"/>
        <w:keepLines w:val="0"/>
        <w:pageBreakBefore w:val="0"/>
        <w:wordWrap/>
        <w:topLinePunct w:val="0"/>
        <w:autoSpaceDE/>
        <w:autoSpaceDN/>
        <w:bidi w:val="0"/>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keepNext w:val="0"/>
        <w:keepLines w:val="0"/>
        <w:pageBreakBefore w:val="0"/>
        <w:widowControl w:val="0"/>
        <w:numPr>
          <w:ilvl w:val="0"/>
          <w:numId w:val="10"/>
        </w:numPr>
        <w:tabs>
          <w:tab w:val="left" w:pos="993"/>
          <w:tab w:val="clear" w:pos="0"/>
        </w:tabs>
        <w:kinsoku/>
        <w:wordWrap/>
        <w:overflowPunct/>
        <w:topLinePunct w:val="0"/>
        <w:autoSpaceDE/>
        <w:autoSpaceDN/>
        <w:bidi w:val="0"/>
        <w:adjustRightInd/>
        <w:snapToGrid/>
        <w:ind w:left="0" w:leftChars="0" w:firstLine="420" w:firstLineChars="200"/>
        <w:textAlignment w:val="auto"/>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投资策略</w:t>
      </w:r>
    </w:p>
    <w:p>
      <w:pPr>
        <w:keepNext w:val="0"/>
        <w:keepLines w:val="0"/>
        <w:pageBreakBefore w:val="0"/>
        <w:wordWrap/>
        <w:topLinePunct w:val="0"/>
        <w:autoSpaceDE/>
        <w:autoSpaceDN/>
        <w:bidi w:val="0"/>
        <w:ind w:firstLine="420" w:firstLineChars="200"/>
        <w:textAlignment w:val="auto"/>
        <w:rPr>
          <w:rFonts w:hint="default"/>
          <w:highlight w:val="none"/>
          <w:lang w:val="en-US"/>
        </w:rPr>
      </w:pPr>
      <w:r>
        <w:rPr>
          <w:rFonts w:hint="eastAsia" w:ascii="楷体" w:hAnsi="楷体" w:eastAsia="楷体"/>
          <w:sz w:val="21"/>
          <w:szCs w:val="21"/>
          <w:highlight w:val="none"/>
        </w:rPr>
        <w:t>本理财产品</w:t>
      </w:r>
      <w:r>
        <w:rPr>
          <w:rFonts w:hint="eastAsia" w:ascii="楷体" w:hAnsi="楷体" w:eastAsia="楷体"/>
          <w:sz w:val="21"/>
          <w:szCs w:val="21"/>
          <w:highlight w:val="none"/>
          <w:lang w:val="en-US" w:eastAsia="zh-CN"/>
        </w:rPr>
        <w:t>主要投资存款、银行存单、短期限债券等资产，通过杠杆、久期、骑乘策略增厚产品收益，产品在严格控制风险和保持较高流动性的前提下，力争为广大投资者创造稳健的投资回报。</w:t>
      </w:r>
    </w:p>
    <w:p>
      <w:pPr>
        <w:keepNext w:val="0"/>
        <w:keepLines w:val="0"/>
        <w:pageBreakBefore w:val="0"/>
        <w:widowControl w:val="0"/>
        <w:numPr>
          <w:ilvl w:val="0"/>
          <w:numId w:val="10"/>
        </w:numPr>
        <w:tabs>
          <w:tab w:val="left" w:pos="993"/>
          <w:tab w:val="clear" w:pos="0"/>
        </w:tabs>
        <w:kinsoku/>
        <w:wordWrap/>
        <w:overflowPunct/>
        <w:topLinePunct w:val="0"/>
        <w:autoSpaceDE/>
        <w:autoSpaceDN/>
        <w:bidi w:val="0"/>
        <w:adjustRightInd/>
        <w:snapToGrid/>
        <w:ind w:left="0" w:leftChars="0" w:firstLine="420" w:firstLineChars="200"/>
        <w:textAlignment w:val="auto"/>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投资合作机构</w:t>
      </w:r>
    </w:p>
    <w:p>
      <w:pPr>
        <w:keepNext w:val="0"/>
        <w:keepLines w:val="0"/>
        <w:pageBreakBefore w:val="0"/>
        <w:numPr>
          <w:ilvl w:val="0"/>
          <w:numId w:val="0"/>
        </w:numPr>
        <w:wordWrap/>
        <w:topLinePunct w:val="0"/>
        <w:autoSpaceDE/>
        <w:autoSpaceDN/>
        <w:bidi w:val="0"/>
        <w:ind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投资合作机构主要职责是对理财产品受托资金进行投资管理，</w:t>
      </w:r>
      <w:r>
        <w:rPr>
          <w:rFonts w:hint="eastAsia" w:ascii="楷体" w:hAnsi="楷体" w:eastAsia="楷体"/>
          <w:color w:val="auto"/>
          <w:sz w:val="21"/>
          <w:szCs w:val="21"/>
          <w:highlight w:val="none"/>
          <w:lang w:val="en-US" w:eastAsia="zh-CN"/>
        </w:rPr>
        <w:t>管理人</w:t>
      </w:r>
      <w:r>
        <w:rPr>
          <w:rFonts w:hint="eastAsia" w:ascii="楷体" w:hAnsi="楷体" w:eastAsia="楷体"/>
          <w:color w:val="auto"/>
          <w:sz w:val="21"/>
          <w:szCs w:val="21"/>
          <w:highlight w:val="none"/>
        </w:rPr>
        <w:t>已按投资决策流程对投资合作机构进行了准入，并持续开展投资合作机构的存续期管理。本产品投资合作机构包括：</w:t>
      </w:r>
    </w:p>
    <w:p>
      <w:pPr>
        <w:keepNext w:val="0"/>
        <w:keepLines w:val="0"/>
        <w:pageBreakBefore w:val="0"/>
        <w:widowControl w:val="0"/>
        <w:numPr>
          <w:ilvl w:val="0"/>
          <w:numId w:val="11"/>
        </w:numPr>
        <w:tabs>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lang w:eastAsia="zh-CN"/>
        </w:rPr>
      </w:pPr>
      <w:r>
        <w:rPr>
          <w:rFonts w:hint="eastAsia" w:ascii="楷体" w:hAnsi="楷体" w:eastAsia="楷体"/>
          <w:sz w:val="21"/>
          <w:szCs w:val="21"/>
          <w:highlight w:val="none"/>
          <w:lang w:eastAsia="zh-CN"/>
        </w:rPr>
        <w:t>苏豪弘业期货股份有限公司：苏豪弘业期货股份有限公司成立于1995年，隶属于江苏省国资委全资拥有的国有企业江苏省苏豪控股集团有限公司。公司经营范围涵盖商品期货经纪、金融期货经纪、期货投资咨询、资产管理、基金销售业务。</w:t>
      </w:r>
    </w:p>
    <w:p>
      <w:pPr>
        <w:keepNext w:val="0"/>
        <w:keepLines w:val="0"/>
        <w:pageBreakBefore w:val="0"/>
        <w:widowControl w:val="0"/>
        <w:numPr>
          <w:ilvl w:val="0"/>
          <w:numId w:val="11"/>
        </w:numPr>
        <w:tabs>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lang w:eastAsia="zh-CN"/>
        </w:rPr>
      </w:pPr>
      <w:r>
        <w:rPr>
          <w:rFonts w:hint="eastAsia" w:ascii="楷体" w:hAnsi="楷体" w:eastAsia="楷体"/>
          <w:sz w:val="21"/>
          <w:szCs w:val="21"/>
          <w:highlight w:val="none"/>
          <w:lang w:eastAsia="zh-CN"/>
        </w:rPr>
        <w:t>江苏省国际信托有限责任公司：江苏省国际信托有限责任公司是经江苏省人民政府和中国银行业监督管理委员会批准设立的非银行金融机构，是江苏省国信集团的主要成员企业之一，专业从事金融信托业务。</w:t>
      </w:r>
    </w:p>
    <w:p>
      <w:pPr>
        <w:keepNext w:val="0"/>
        <w:keepLines w:val="0"/>
        <w:pageBreakBefore w:val="0"/>
        <w:widowControl w:val="0"/>
        <w:numPr>
          <w:ilvl w:val="0"/>
          <w:numId w:val="11"/>
        </w:numPr>
        <w:tabs>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lang w:eastAsia="zh-CN"/>
        </w:rPr>
      </w:pPr>
      <w:r>
        <w:rPr>
          <w:rFonts w:hint="eastAsia" w:ascii="楷体" w:hAnsi="楷体" w:eastAsia="楷体"/>
          <w:sz w:val="21"/>
          <w:szCs w:val="21"/>
          <w:highlight w:val="none"/>
          <w:lang w:eastAsia="zh-CN"/>
        </w:rPr>
        <w:t>创金合信基金管理有限公司：创金合信基金管理有限公司成立于2014年7月9日，由第一创业证券股份有限公司、深圳市金合信投资合伙企业（有限合伙）共同发起设立，注册地为深圳。</w:t>
      </w:r>
    </w:p>
    <w:p>
      <w:pPr>
        <w:keepNext w:val="0"/>
        <w:keepLines w:val="0"/>
        <w:pageBreakBefore w:val="0"/>
        <w:widowControl w:val="0"/>
        <w:numPr>
          <w:ilvl w:val="0"/>
          <w:numId w:val="11"/>
        </w:numPr>
        <w:tabs>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lang w:eastAsia="zh-CN"/>
        </w:rPr>
      </w:pPr>
      <w:r>
        <w:rPr>
          <w:rFonts w:hint="eastAsia" w:ascii="楷体" w:hAnsi="楷体" w:eastAsia="楷体"/>
          <w:sz w:val="21"/>
          <w:szCs w:val="21"/>
          <w:highlight w:val="none"/>
          <w:lang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keepNext w:val="0"/>
        <w:keepLines w:val="0"/>
        <w:pageBreakBefore w:val="0"/>
        <w:widowControl w:val="0"/>
        <w:numPr>
          <w:ilvl w:val="0"/>
          <w:numId w:val="11"/>
        </w:numPr>
        <w:tabs>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lang w:eastAsia="zh-CN"/>
        </w:rPr>
      </w:pPr>
      <w:r>
        <w:rPr>
          <w:rFonts w:hint="eastAsia" w:ascii="楷体" w:hAnsi="楷体" w:eastAsia="楷体"/>
          <w:sz w:val="21"/>
          <w:szCs w:val="21"/>
          <w:highlight w:val="none"/>
          <w:lang w:eastAsia="zh-CN"/>
        </w:rPr>
        <w:t>永诚保险资产管理有限公司：永诚保险资产管理有限公司（简称“永诚资产”）是由永诚财产保险股份有限公司全资发起组建的保险资产管理公司，公司注册于浙江省宁波市，注册资本金为人民币3亿元。</w:t>
      </w:r>
    </w:p>
    <w:p>
      <w:pPr>
        <w:keepNext w:val="0"/>
        <w:keepLines w:val="0"/>
        <w:pageBreakBefore w:val="0"/>
        <w:widowControl w:val="0"/>
        <w:numPr>
          <w:ilvl w:val="0"/>
          <w:numId w:val="11"/>
        </w:numPr>
        <w:tabs>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lang w:eastAsia="zh-CN"/>
        </w:rPr>
      </w:pPr>
      <w:r>
        <w:rPr>
          <w:rFonts w:hint="eastAsia" w:ascii="楷体" w:hAnsi="楷体" w:eastAsia="楷体"/>
          <w:sz w:val="21"/>
          <w:szCs w:val="21"/>
          <w:highlight w:val="none"/>
          <w:lang w:eastAsia="zh-CN"/>
        </w:rPr>
        <w:t>国投泰康信托有限公司：国投泰康信托有限公司成立于1986年6月，是由中国银保监会监管的非银行金融机构。国投泰康信托注册资本26.705亿元，股东为国投资本控股有限公司、泰康保险集团股份有限公司、悦达资本股份有限公司和泰康资产管理有限责任公司。</w:t>
      </w:r>
    </w:p>
    <w:p>
      <w:pPr>
        <w:keepNext w:val="0"/>
        <w:keepLines w:val="0"/>
        <w:pageBreakBefore w:val="0"/>
        <w:widowControl w:val="0"/>
        <w:numPr>
          <w:ilvl w:val="0"/>
          <w:numId w:val="11"/>
        </w:numPr>
        <w:tabs>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lang w:eastAsia="zh-CN"/>
        </w:rPr>
      </w:pPr>
      <w:r>
        <w:rPr>
          <w:rFonts w:hint="eastAsia" w:ascii="楷体" w:hAnsi="楷体" w:eastAsia="楷体"/>
          <w:sz w:val="21"/>
          <w:szCs w:val="21"/>
          <w:highlight w:val="none"/>
          <w:lang w:eastAsia="zh-CN"/>
        </w:rPr>
        <w:t>安联保险资产管理有限公司：安联保险资产管理有限公司（简称安联资管或公司）于2021年7月27日获得中国银行保险监督管理委员会的开业批复，成为中国获批开业的外资独资保险资产管理公司，注册资本为五亿元人民币，注册地北京。</w:t>
      </w:r>
    </w:p>
    <w:p>
      <w:pPr>
        <w:keepNext w:val="0"/>
        <w:keepLines w:val="0"/>
        <w:pageBreakBefore w:val="0"/>
        <w:widowControl w:val="0"/>
        <w:numPr>
          <w:ilvl w:val="0"/>
          <w:numId w:val="11"/>
        </w:numPr>
        <w:tabs>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lang w:eastAsia="zh-CN"/>
        </w:rPr>
      </w:pPr>
      <w:r>
        <w:rPr>
          <w:rFonts w:hint="eastAsia" w:ascii="楷体" w:hAnsi="楷体" w:eastAsia="楷体"/>
          <w:sz w:val="21"/>
          <w:szCs w:val="21"/>
          <w:highlight w:val="none"/>
          <w:lang w:eastAsia="zh-CN"/>
        </w:rPr>
        <w:t>华泰证券(上海)资产管理有限公司：华泰证券（上海）资产管理有限公司成立于2014年10月16日，系经中国证监会批准（证监许可【2014】679号），由华泰证券股份有限公司100%控股设立，注册资本26亿元。</w:t>
      </w:r>
    </w:p>
    <w:p>
      <w:pPr>
        <w:keepNext w:val="0"/>
        <w:keepLines w:val="0"/>
        <w:pageBreakBefore w:val="0"/>
        <w:widowControl w:val="0"/>
        <w:numPr>
          <w:ilvl w:val="0"/>
          <w:numId w:val="11"/>
        </w:numPr>
        <w:tabs>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lang w:eastAsia="zh-CN"/>
        </w:rPr>
      </w:pPr>
      <w:r>
        <w:rPr>
          <w:rFonts w:hint="eastAsia" w:ascii="楷体" w:hAnsi="楷体" w:eastAsia="楷体"/>
          <w:sz w:val="21"/>
          <w:szCs w:val="21"/>
          <w:highlight w:val="none"/>
          <w:lang w:eastAsia="zh-CN"/>
        </w:rPr>
        <w:t>陆家嘴国际信托有限公司：陆家嘴国际信托有限公司（简称陆家嘴信托或公司）是上海陆家嘴金融发展有限公司控股的信托机构，注册资本为104亿元。公司注册地为青岛，在部分城市设立业务团队。</w:t>
      </w:r>
    </w:p>
    <w:p>
      <w:pPr>
        <w:keepNext w:val="0"/>
        <w:keepLines w:val="0"/>
        <w:pageBreakBefore w:val="0"/>
        <w:widowControl w:val="0"/>
        <w:numPr>
          <w:ilvl w:val="0"/>
          <w:numId w:val="11"/>
        </w:numPr>
        <w:tabs>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lang w:eastAsia="zh-CN"/>
        </w:rPr>
      </w:pPr>
      <w:r>
        <w:rPr>
          <w:rFonts w:hint="eastAsia" w:ascii="楷体" w:hAnsi="楷体" w:eastAsia="楷体"/>
          <w:sz w:val="21"/>
          <w:szCs w:val="21"/>
          <w:highlight w:val="none"/>
          <w:lang w:eastAsia="zh-CN"/>
        </w:rPr>
        <w:t>新华资产管理股份有限公司：新华资产管理股份有限公司成立于2006年5月，是国内首批专业保险资产管理机构，前身为新华人寿保险股份有限公司投资管理中心，控股股东为新华人寿保险股份有限公司。2014年2月，经中国保险监督管理委员会批准，注册资本由1亿元增加至5亿元人民币。</w:t>
      </w:r>
    </w:p>
    <w:p>
      <w:pPr>
        <w:keepNext w:val="0"/>
        <w:keepLines w:val="0"/>
        <w:pageBreakBefore w:val="0"/>
        <w:widowControl w:val="0"/>
        <w:numPr>
          <w:ilvl w:val="0"/>
          <w:numId w:val="11"/>
        </w:numPr>
        <w:tabs>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lang w:eastAsia="zh-CN"/>
        </w:rPr>
      </w:pPr>
      <w:r>
        <w:rPr>
          <w:rFonts w:hint="eastAsia" w:ascii="楷体" w:hAnsi="楷体" w:eastAsia="楷体"/>
          <w:sz w:val="21"/>
          <w:szCs w:val="21"/>
          <w:highlight w:val="none"/>
          <w:lang w:eastAsia="zh-CN"/>
        </w:rPr>
        <w:t>东方财富证券股份有限公司：东方财富证券股份有限公司，简称“东方财富证券”，是东方财富信息股份有限公司旗下的持牌证券公司，始终坚持用户第一，注重科技赋能、投研管理建设，旨在为客户提供全方位的财富管理服务。</w:t>
      </w:r>
    </w:p>
    <w:p>
      <w:pPr>
        <w:keepNext w:val="0"/>
        <w:keepLines w:val="0"/>
        <w:pageBreakBefore w:val="0"/>
        <w:widowControl w:val="0"/>
        <w:numPr>
          <w:ilvl w:val="0"/>
          <w:numId w:val="11"/>
        </w:numPr>
        <w:tabs>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lang w:eastAsia="zh-CN"/>
        </w:rPr>
      </w:pPr>
      <w:r>
        <w:rPr>
          <w:rFonts w:hint="eastAsia" w:ascii="楷体" w:hAnsi="楷体" w:eastAsia="楷体"/>
          <w:sz w:val="21"/>
          <w:szCs w:val="21"/>
          <w:highlight w:val="none"/>
          <w:lang w:eastAsia="zh-CN"/>
        </w:rPr>
        <w:t>太平洋资产管理有限责任公司：太平洋资产管理有限责任公司（以下简称“太保资产”）于2006年6月经中国保监会批准成立，由中国太平洋保险（集团）股份有限公司控股，注册资本21亿元。</w:t>
      </w:r>
    </w:p>
    <w:p>
      <w:pPr>
        <w:keepNext w:val="0"/>
        <w:keepLines w:val="0"/>
        <w:pageBreakBefore w:val="0"/>
        <w:widowControl w:val="0"/>
        <w:numPr>
          <w:ilvl w:val="0"/>
          <w:numId w:val="11"/>
        </w:numPr>
        <w:tabs>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lang w:eastAsia="zh-CN"/>
        </w:rPr>
      </w:pPr>
      <w:r>
        <w:rPr>
          <w:rFonts w:hint="eastAsia" w:ascii="楷体" w:hAnsi="楷体" w:eastAsia="楷体"/>
          <w:sz w:val="21"/>
          <w:szCs w:val="21"/>
          <w:highlight w:val="none"/>
          <w:lang w:eastAsia="zh-CN"/>
        </w:rPr>
        <w:t>中国人保资产管理有限公司：中国人保资产管理有限公司成立于2003年7月16日，是经国务院同意、原中国保监会批准设立的境内第一家保险资产管理公司，由中国人民保险集团股份有限公司发起。</w:t>
      </w:r>
    </w:p>
    <w:p>
      <w:pPr>
        <w:keepNext w:val="0"/>
        <w:keepLines w:val="0"/>
        <w:pageBreakBefore w:val="0"/>
        <w:widowControl w:val="0"/>
        <w:numPr>
          <w:ilvl w:val="0"/>
          <w:numId w:val="11"/>
        </w:numPr>
        <w:tabs>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lang w:eastAsia="zh-CN"/>
        </w:rPr>
      </w:pPr>
      <w:r>
        <w:rPr>
          <w:rFonts w:hint="eastAsia" w:ascii="楷体" w:hAnsi="楷体" w:eastAsia="楷体"/>
          <w:sz w:val="21"/>
          <w:szCs w:val="21"/>
          <w:highlight w:val="none"/>
          <w:lang w:eastAsia="zh-CN"/>
        </w:rPr>
        <w:t>大家资产管理有限责任公司：大家资产管理有限责任公司，简称“大家资产”，公司2022年年末资产管理总规模10,337亿元，位居保险资管行业前10。大家资产是大家保险集团旗下专业资产管理公司。公司于2011年5月经原中国保险监督管理委员会批准正式设立，注册资本6亿元人民币。</w:t>
      </w:r>
    </w:p>
    <w:p>
      <w:pPr>
        <w:keepNext w:val="0"/>
        <w:keepLines w:val="0"/>
        <w:pageBreakBefore w:val="0"/>
        <w:widowControl w:val="0"/>
        <w:numPr>
          <w:ilvl w:val="0"/>
          <w:numId w:val="11"/>
        </w:numPr>
        <w:tabs>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lang w:eastAsia="zh-CN"/>
        </w:rPr>
      </w:pPr>
      <w:r>
        <w:rPr>
          <w:rFonts w:hint="eastAsia" w:ascii="楷体" w:hAnsi="楷体" w:eastAsia="楷体"/>
          <w:sz w:val="21"/>
          <w:szCs w:val="21"/>
          <w:highlight w:val="none"/>
          <w:lang w:eastAsia="zh-CN"/>
        </w:rPr>
        <w:t>长城财富保险资产管理股份有限公司：长城财富保险资产管理股份有限公司（简称长城财富或公司）于2015年3月18日正式开业，是原中国保监会核准的第十九家保险资产管理公司，公司的主要股东为长城人寿保险股份有限公司、北京金融街投资（集团）有限公司等，注册资本为2亿元人民币，注册地深圳。</w:t>
      </w:r>
    </w:p>
    <w:p>
      <w:pPr>
        <w:keepNext w:val="0"/>
        <w:keepLines w:val="0"/>
        <w:pageBreakBefore w:val="0"/>
        <w:widowControl w:val="0"/>
        <w:numPr>
          <w:ilvl w:val="0"/>
          <w:numId w:val="11"/>
        </w:numPr>
        <w:tabs>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lang w:eastAsia="zh-CN"/>
        </w:rPr>
      </w:pPr>
      <w:r>
        <w:rPr>
          <w:rFonts w:hint="eastAsia" w:ascii="楷体" w:hAnsi="楷体" w:eastAsia="楷体"/>
          <w:sz w:val="21"/>
          <w:szCs w:val="21"/>
          <w:highlight w:val="none"/>
          <w:lang w:eastAsia="zh-CN"/>
        </w:rPr>
        <w:t>英大保险资产管理有限公司：英大保险资产管理有限公司，简称“英大资产”，公司2022年年末资产管理总规模1,447亿元，位居保险资管行业前20。英大资产由英大人寿、英大财险和英大集团共同发起设立，于2015年4月3日开业，注册资本金为5.2亿元，注册地为北京市。</w:t>
      </w:r>
    </w:p>
    <w:p>
      <w:pPr>
        <w:keepNext w:val="0"/>
        <w:keepLines w:val="0"/>
        <w:pageBreakBefore w:val="0"/>
        <w:widowControl w:val="0"/>
        <w:numPr>
          <w:ilvl w:val="0"/>
          <w:numId w:val="11"/>
        </w:numPr>
        <w:tabs>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lang w:eastAsia="zh-CN"/>
        </w:rPr>
      </w:pPr>
      <w:r>
        <w:rPr>
          <w:rFonts w:hint="eastAsia" w:ascii="楷体" w:hAnsi="楷体" w:eastAsia="楷体"/>
          <w:sz w:val="21"/>
          <w:szCs w:val="21"/>
          <w:highlight w:val="none"/>
          <w:lang w:eastAsia="zh-CN"/>
        </w:rPr>
        <w:t>泰康资产管理有限责任公司：泰康资产管理有限责任公司成立于2006年，注册资本10亿元，是泰康保险集团子公司。截至2021年12月31日，公司管理资产总规模超过27000亿元，其中受托管理的第三方资产总规模近17000亿元，另类投资管理规模超5000亿元，养老金管理规模超6400亿元。2022年，泰康资产在“欧洲养老金与投资IPE”发布的“2022全球资管500强”名单中排名全球第75位，中国第5位。</w:t>
      </w:r>
    </w:p>
    <w:p>
      <w:pPr>
        <w:keepNext w:val="0"/>
        <w:keepLines w:val="0"/>
        <w:pageBreakBefore w:val="0"/>
        <w:widowControl w:val="0"/>
        <w:numPr>
          <w:ilvl w:val="0"/>
          <w:numId w:val="11"/>
        </w:numPr>
        <w:tabs>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lang w:eastAsia="zh-CN"/>
        </w:rPr>
      </w:pPr>
      <w:r>
        <w:rPr>
          <w:rFonts w:hint="eastAsia" w:ascii="楷体" w:hAnsi="楷体" w:eastAsia="楷体"/>
          <w:sz w:val="21"/>
          <w:szCs w:val="21"/>
          <w:highlight w:val="none"/>
          <w:lang w:eastAsia="zh-CN"/>
        </w:rPr>
        <w:t>华鑫证券有限责任公司：华鑫证券有限责任公司于2001年3月成立，注册资本36亿元。公司秉承“以人为本、客户至上、专业专注、创造价值”的核心价值观，以金融科技引领业务发展作为核心战略，致力于为客户提供交易、投融资、财富管理等高品质的服务和产品。</w:t>
      </w:r>
    </w:p>
    <w:p>
      <w:pPr>
        <w:keepNext w:val="0"/>
        <w:keepLines w:val="0"/>
        <w:pageBreakBefore w:val="0"/>
        <w:widowControl w:val="0"/>
        <w:numPr>
          <w:ilvl w:val="0"/>
          <w:numId w:val="11"/>
        </w:numPr>
        <w:tabs>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lang w:eastAsia="zh-CN"/>
        </w:rPr>
      </w:pPr>
      <w:r>
        <w:rPr>
          <w:rFonts w:hint="eastAsia" w:ascii="楷体" w:hAnsi="楷体" w:eastAsia="楷体"/>
          <w:sz w:val="21"/>
          <w:szCs w:val="21"/>
          <w:highlight w:val="none"/>
          <w:lang w:eastAsia="zh-CN"/>
        </w:rPr>
        <w:t>光大永明资产管理股份有限公司：光大永明资产管理股份有限公司(以下简称“光大永明资产”)于2012年4月11日在北京正式开业,是原中国保监会核准的第十二家保险资产管理公司，目前注册资本金为5亿元人民币。</w:t>
      </w:r>
    </w:p>
    <w:p>
      <w:pPr>
        <w:keepNext w:val="0"/>
        <w:keepLines w:val="0"/>
        <w:pageBreakBefore w:val="0"/>
        <w:widowControl w:val="0"/>
        <w:numPr>
          <w:ilvl w:val="0"/>
          <w:numId w:val="11"/>
        </w:numPr>
        <w:tabs>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lang w:eastAsia="zh-CN"/>
        </w:rPr>
      </w:pPr>
      <w:r>
        <w:rPr>
          <w:rFonts w:hint="eastAsia" w:ascii="楷体" w:hAnsi="楷体" w:eastAsia="楷体"/>
          <w:sz w:val="21"/>
          <w:szCs w:val="21"/>
          <w:highlight w:val="none"/>
          <w:lang w:eastAsia="zh-CN"/>
        </w:rPr>
        <w:t>华润深国投信托有限公司：华润信托于1982年8月24日成立，原名为深圳市信托投资公司，注册资本人民币5,813万元。目前，公司注册资本人民币110亿元，华润金控投资有限公司持有公司51%股权，深圳市投资控股有限公司持有公司49%股权。</w:t>
      </w:r>
    </w:p>
    <w:p>
      <w:pPr>
        <w:keepNext w:val="0"/>
        <w:keepLines w:val="0"/>
        <w:pageBreakBefore w:val="0"/>
        <w:wordWrap/>
        <w:topLinePunct w:val="0"/>
        <w:autoSpaceDE/>
        <w:autoSpaceDN/>
        <w:bidi w:val="0"/>
        <w:ind w:firstLine="420" w:firstLineChars="200"/>
        <w:textAlignment w:val="auto"/>
        <w:rPr>
          <w:rFonts w:hint="eastAsia"/>
          <w:highlight w:val="none"/>
        </w:rPr>
      </w:pPr>
      <w:r>
        <w:rPr>
          <w:rFonts w:hint="eastAsia" w:ascii="楷体" w:hAnsi="楷体" w:eastAsia="楷体"/>
          <w:sz w:val="21"/>
          <w:szCs w:val="21"/>
          <w:highlight w:val="none"/>
        </w:rPr>
        <w:t>产品存续期内合作机构如有变化，管理人将按照监管规定和内部管理制度要求对合作机构进行准入，签署相关协议后，</w:t>
      </w:r>
      <w:r>
        <w:rPr>
          <w:rFonts w:hint="eastAsia" w:ascii="楷体" w:hAnsi="楷体" w:eastAsia="楷体"/>
          <w:sz w:val="21"/>
          <w:szCs w:val="21"/>
          <w:highlight w:val="none"/>
          <w:lang w:val="en-US" w:eastAsia="zh-CN"/>
        </w:rPr>
        <w:t>披露</w:t>
      </w:r>
      <w:r>
        <w:rPr>
          <w:rFonts w:hint="eastAsia" w:ascii="楷体" w:hAnsi="楷体" w:eastAsia="楷体"/>
          <w:sz w:val="21"/>
          <w:szCs w:val="21"/>
          <w:highlight w:val="none"/>
        </w:rPr>
        <w:t>新增</w:t>
      </w:r>
      <w:r>
        <w:rPr>
          <w:rFonts w:hint="eastAsia" w:ascii="楷体" w:hAnsi="楷体" w:eastAsia="楷体"/>
          <w:sz w:val="21"/>
          <w:szCs w:val="21"/>
          <w:highlight w:val="none"/>
          <w:lang w:val="en-US" w:eastAsia="zh-CN"/>
        </w:rPr>
        <w:t>的</w:t>
      </w:r>
      <w:r>
        <w:rPr>
          <w:rFonts w:hint="eastAsia" w:ascii="楷体" w:hAnsi="楷体" w:eastAsia="楷体"/>
          <w:sz w:val="21"/>
          <w:szCs w:val="21"/>
          <w:highlight w:val="none"/>
        </w:rPr>
        <w:t>投资合作机构。</w:t>
      </w:r>
    </w:p>
    <w:p>
      <w:pPr>
        <w:keepNext w:val="0"/>
        <w:keepLines w:val="0"/>
        <w:pageBreakBefore w:val="0"/>
        <w:widowControl w:val="0"/>
        <w:numPr>
          <w:ilvl w:val="0"/>
          <w:numId w:val="10"/>
        </w:numPr>
        <w:tabs>
          <w:tab w:val="left" w:pos="993"/>
          <w:tab w:val="clear" w:pos="0"/>
        </w:tabs>
        <w:kinsoku/>
        <w:wordWrap/>
        <w:overflowPunct/>
        <w:topLinePunct w:val="0"/>
        <w:autoSpaceDE/>
        <w:autoSpaceDN/>
        <w:bidi w:val="0"/>
        <w:adjustRightInd/>
        <w:snapToGrid/>
        <w:ind w:left="0" w:leftChars="0" w:firstLine="420" w:firstLineChars="200"/>
        <w:textAlignment w:val="auto"/>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投资限制</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本理财产品投资于单只证券或单只公募证券投资基金的市值不超过本产品净资产的10%。</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发行的全部公募理财产品投资单只证券或者单只公募证券投资基金的市值不得超过该证券市值或者公募证券投资基金市值的30%。其中，管理人全部开放式公募理财产品投资单一上市公司发行的股票不得超过该上市公司可流通股票的15%。</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highlight w:val="none"/>
        </w:rPr>
      </w:pPr>
      <w:r>
        <w:rPr>
          <w:rFonts w:hint="eastAsia" w:ascii="楷体" w:hAnsi="楷体" w:eastAsia="楷体"/>
          <w:color w:val="auto"/>
          <w:sz w:val="21"/>
          <w:szCs w:val="21"/>
          <w:highlight w:val="none"/>
        </w:rPr>
        <w:t>针对上述第1、2</w:t>
      </w:r>
      <w:r>
        <w:rPr>
          <w:rFonts w:hint="eastAsia" w:ascii="楷体" w:hAnsi="楷体" w:eastAsia="楷体"/>
          <w:color w:val="auto"/>
          <w:sz w:val="21"/>
          <w:szCs w:val="21"/>
          <w:highlight w:val="none"/>
          <w:lang w:eastAsia="zh-CN"/>
        </w:rPr>
        <w:t>、</w:t>
      </w:r>
      <w:r>
        <w:rPr>
          <w:rFonts w:hint="eastAsia" w:ascii="楷体" w:hAnsi="楷体" w:eastAsia="楷体"/>
          <w:color w:val="auto"/>
          <w:sz w:val="21"/>
          <w:szCs w:val="21"/>
          <w:highlight w:val="none"/>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w:t>
      </w:r>
      <w:r>
        <w:rPr>
          <w:rFonts w:hint="eastAsia" w:ascii="楷体" w:hAnsi="楷体" w:eastAsia="楷体"/>
          <w:color w:val="auto"/>
          <w:sz w:val="21"/>
          <w:szCs w:val="21"/>
          <w:highlight w:val="none"/>
          <w:lang w:val="en-US" w:eastAsia="zh-CN"/>
        </w:rPr>
        <w:t>杠杆率</w:t>
      </w:r>
      <w:r>
        <w:rPr>
          <w:rFonts w:hint="eastAsia" w:ascii="楷体" w:hAnsi="楷体" w:eastAsia="楷体"/>
          <w:color w:val="auto"/>
          <w:sz w:val="21"/>
          <w:szCs w:val="21"/>
          <w:highlight w:val="none"/>
        </w:rPr>
        <w:t>不超过140%。</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本理财产品在开放日及开放日前7个工作日内持有不低于产品资产净值5%的现金或者到期日在一年以内的国债、中央银行票据和政策性金融债券。</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在开放日前一工作日内，本理财产品7个工作日可变现资产的可变现价值应当不低于本产品净资产的10%。</w:t>
      </w:r>
    </w:p>
    <w:p>
      <w:pPr>
        <w:keepNext w:val="0"/>
        <w:keepLines w:val="0"/>
        <w:pageBreakBefore w:val="0"/>
        <w:widowControl w:val="0"/>
        <w:numPr>
          <w:ilvl w:val="0"/>
          <w:numId w:val="12"/>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highlight w:val="none"/>
        </w:rPr>
      </w:pPr>
      <w:r>
        <w:rPr>
          <w:rFonts w:hint="eastAsia" w:ascii="楷体" w:hAnsi="楷体" w:eastAsia="楷体" w:cs="楷体"/>
          <w:color w:val="auto"/>
          <w:sz w:val="21"/>
          <w:szCs w:val="21"/>
          <w:highlight w:val="none"/>
        </w:rPr>
        <w:t>本理财产品投资不存在活跃交易市场并且需要采用估值技术确定公允价值的资产比例不得达到或超过本产品净资产的50%。非因管理人主观因素导致突破前款规定比例限制的,本理财产品不得新增投资上述资产。</w:t>
      </w:r>
    </w:p>
    <w:p>
      <w:pPr>
        <w:keepNext w:val="0"/>
        <w:keepLines w:val="0"/>
        <w:pageBreakBefore w:val="0"/>
        <w:widowControl w:val="0"/>
        <w:numPr>
          <w:ilvl w:val="0"/>
          <w:numId w:val="10"/>
        </w:numPr>
        <w:tabs>
          <w:tab w:val="left" w:pos="993"/>
          <w:tab w:val="clear" w:pos="0"/>
        </w:tabs>
        <w:kinsoku/>
        <w:wordWrap/>
        <w:overflowPunct/>
        <w:topLinePunct w:val="0"/>
        <w:autoSpaceDE/>
        <w:autoSpaceDN/>
        <w:bidi w:val="0"/>
        <w:adjustRightInd/>
        <w:snapToGrid/>
        <w:ind w:left="0" w:leftChars="0" w:firstLine="420" w:firstLineChars="200"/>
        <w:textAlignment w:val="auto"/>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投资管理调整</w:t>
      </w:r>
    </w:p>
    <w:p>
      <w:pPr>
        <w:pStyle w:val="2"/>
        <w:keepNext w:val="0"/>
        <w:keepLines w:val="0"/>
        <w:pageBreakBefore w:val="0"/>
        <w:widowControl w:val="0"/>
        <w:kinsoku/>
        <w:wordWrap/>
        <w:overflowPunct/>
        <w:topLinePunct w:val="0"/>
        <w:autoSpaceDE/>
        <w:autoSpaceDN/>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highlight w:val="none"/>
          <w:lang w:val="en-US" w:eastAsia="zh-CN" w:bidi="ar-SA"/>
        </w:rPr>
      </w:pPr>
      <w:r>
        <w:rPr>
          <w:rFonts w:hint="eastAsia" w:ascii="楷体" w:hAnsi="楷体" w:eastAsia="楷体" w:cs="Times New Roman"/>
          <w:color w:val="auto"/>
          <w:kern w:val="2"/>
          <w:sz w:val="21"/>
          <w:szCs w:val="21"/>
          <w:highlight w:val="none"/>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keepNext w:val="0"/>
        <w:keepLines w:val="0"/>
        <w:pageBreakBefore w:val="0"/>
        <w:wordWrap/>
        <w:topLinePunct w:val="0"/>
        <w:autoSpaceDE/>
        <w:autoSpaceDN/>
        <w:bidi w:val="0"/>
        <w:ind w:firstLine="420" w:firstLineChars="200"/>
        <w:textAlignment w:val="auto"/>
        <w:rPr>
          <w:rFonts w:hint="eastAsia"/>
          <w:highlight w:val="none"/>
          <w:lang w:val="en-US" w:eastAsia="zh-CN"/>
        </w:rPr>
      </w:pPr>
      <w:r>
        <w:rPr>
          <w:rFonts w:hint="eastAsia" w:ascii="楷体" w:hAnsi="楷体" w:eastAsia="楷体" w:cs="楷体"/>
          <w:color w:val="auto"/>
          <w:sz w:val="21"/>
          <w:szCs w:val="21"/>
          <w:highlight w:val="none"/>
        </w:rPr>
        <w:t>如监管有最新规定的，可参照监管规定</w:t>
      </w:r>
      <w:r>
        <w:rPr>
          <w:rFonts w:hint="eastAsia" w:ascii="楷体" w:hAnsi="楷体" w:eastAsia="楷体" w:cs="楷体"/>
          <w:color w:val="auto"/>
          <w:sz w:val="21"/>
          <w:szCs w:val="21"/>
          <w:highlight w:val="none"/>
          <w:lang w:val="en-US" w:eastAsia="zh-CN"/>
        </w:rPr>
        <w:t>执行</w:t>
      </w:r>
      <w:r>
        <w:rPr>
          <w:rFonts w:hint="eastAsia" w:ascii="楷体" w:hAnsi="楷体" w:eastAsia="楷体" w:cs="楷体"/>
          <w:color w:val="auto"/>
          <w:sz w:val="21"/>
          <w:szCs w:val="21"/>
          <w:highlight w:val="none"/>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0"/>
        <w:rPr>
          <w:rFonts w:hint="eastAsia" w:ascii="楷体" w:hAnsi="楷体" w:eastAsia="楷体" w:cs="Times New Roman"/>
          <w:b/>
          <w:sz w:val="21"/>
          <w:szCs w:val="21"/>
          <w:highlight w:val="none"/>
        </w:rPr>
      </w:pPr>
      <w:r>
        <w:rPr>
          <w:rFonts w:hint="eastAsia" w:ascii="楷体" w:hAnsi="楷体" w:eastAsia="楷体" w:cs="Times New Roman"/>
          <w:b/>
          <w:sz w:val="21"/>
          <w:szCs w:val="21"/>
          <w:highlight w:val="none"/>
        </w:rPr>
        <w:t>产品认购</w:t>
      </w:r>
    </w:p>
    <w:p>
      <w:pPr>
        <w:keepNext w:val="0"/>
        <w:keepLines w:val="0"/>
        <w:pageBreakBefore w:val="0"/>
        <w:widowControl w:val="0"/>
        <w:numPr>
          <w:ilvl w:val="0"/>
          <w:numId w:val="13"/>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认购方式</w:t>
      </w:r>
      <w:r>
        <w:rPr>
          <w:rFonts w:hint="eastAsia" w:ascii="楷体" w:hAnsi="楷体" w:eastAsia="楷体" w:cs="Calibri"/>
          <w:b w:val="0"/>
          <w:bCs w:val="0"/>
          <w:color w:val="auto"/>
          <w:sz w:val="21"/>
          <w:szCs w:val="21"/>
          <w:highlight w:val="none"/>
          <w:lang w:val="en-US" w:eastAsia="zh-CN"/>
        </w:rPr>
        <w:t>及确认</w:t>
      </w:r>
    </w:p>
    <w:p>
      <w:pPr>
        <w:keepNext w:val="0"/>
        <w:keepLines w:val="0"/>
        <w:pageBreakBefore w:val="0"/>
        <w:numPr>
          <w:ilvl w:val="0"/>
          <w:numId w:val="0"/>
        </w:numPr>
        <w:wordWrap/>
        <w:topLinePunct w:val="0"/>
        <w:autoSpaceDE/>
        <w:autoSpaceDN/>
        <w:bidi w:val="0"/>
        <w:ind w:left="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keepNext w:val="0"/>
        <w:keepLines w:val="0"/>
        <w:pageBreakBefore w:val="0"/>
        <w:widowControl w:val="0"/>
        <w:numPr>
          <w:ilvl w:val="0"/>
          <w:numId w:val="13"/>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认购份额的计算</w:t>
      </w:r>
    </w:p>
    <w:p>
      <w:pPr>
        <w:keepNext w:val="0"/>
        <w:keepLines w:val="0"/>
        <w:pageBreakBefore w:val="0"/>
        <w:wordWrap/>
        <w:topLinePunct w:val="0"/>
        <w:autoSpaceDE/>
        <w:autoSpaceDN/>
        <w:bidi w:val="0"/>
        <w:ind w:firstLine="420" w:firstLineChars="200"/>
        <w:textAlignment w:val="auto"/>
        <w:rPr>
          <w:rFonts w:hint="eastAsia"/>
          <w:highlight w:val="none"/>
        </w:rPr>
      </w:pPr>
      <w:r>
        <w:rPr>
          <w:rFonts w:ascii="楷体" w:hAnsi="楷体" w:eastAsia="楷体"/>
          <w:color w:val="auto"/>
          <w:sz w:val="21"/>
          <w:szCs w:val="21"/>
          <w:highlight w:val="none"/>
        </w:rPr>
        <w:t>认购份额=</w:t>
      </w:r>
      <w:r>
        <w:rPr>
          <w:rFonts w:hint="eastAsia" w:ascii="楷体" w:hAnsi="楷体" w:eastAsia="楷体"/>
          <w:color w:val="auto"/>
          <w:sz w:val="21"/>
          <w:szCs w:val="21"/>
          <w:highlight w:val="none"/>
        </w:rPr>
        <w:t>认购金额</w:t>
      </w:r>
      <w:r>
        <w:rPr>
          <w:rFonts w:ascii="楷体" w:hAnsi="楷体" w:eastAsia="楷体"/>
          <w:color w:val="auto"/>
          <w:sz w:val="21"/>
          <w:szCs w:val="21"/>
          <w:highlight w:val="none"/>
        </w:rPr>
        <w:t>/</w:t>
      </w:r>
      <w:r>
        <w:rPr>
          <w:rFonts w:hint="eastAsia" w:ascii="楷体" w:hAnsi="楷体" w:eastAsia="楷体"/>
          <w:color w:val="auto"/>
          <w:sz w:val="21"/>
          <w:szCs w:val="21"/>
          <w:highlight w:val="none"/>
        </w:rPr>
        <w:t>产品</w:t>
      </w:r>
      <w:r>
        <w:rPr>
          <w:rFonts w:hint="eastAsia" w:ascii="楷体" w:hAnsi="楷体" w:eastAsia="楷体"/>
          <w:color w:val="auto"/>
          <w:sz w:val="21"/>
          <w:szCs w:val="21"/>
          <w:highlight w:val="none"/>
          <w:lang w:val="en-US" w:eastAsia="zh-CN"/>
        </w:rPr>
        <w:t>份额面值，</w:t>
      </w:r>
      <w:r>
        <w:rPr>
          <w:rFonts w:ascii="楷体" w:hAnsi="楷体" w:eastAsia="楷体"/>
          <w:color w:val="auto"/>
          <w:sz w:val="21"/>
          <w:szCs w:val="21"/>
          <w:highlight w:val="none"/>
        </w:rPr>
        <w:t>认购份额</w:t>
      </w:r>
      <w:r>
        <w:rPr>
          <w:rFonts w:hint="eastAsia" w:ascii="楷体" w:hAnsi="楷体" w:eastAsia="楷体"/>
          <w:color w:val="auto"/>
          <w:sz w:val="21"/>
          <w:szCs w:val="21"/>
          <w:highlight w:val="none"/>
        </w:rPr>
        <w:t>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0"/>
        <w:rPr>
          <w:rFonts w:hint="eastAsia" w:ascii="楷体" w:hAnsi="楷体" w:eastAsia="楷体" w:cs="Times New Roman"/>
          <w:b/>
          <w:sz w:val="21"/>
          <w:szCs w:val="21"/>
          <w:highlight w:val="none"/>
        </w:rPr>
      </w:pPr>
      <w:r>
        <w:rPr>
          <w:rFonts w:hint="eastAsia" w:ascii="楷体" w:hAnsi="楷体" w:eastAsia="楷体" w:cs="Times New Roman"/>
          <w:b/>
          <w:sz w:val="21"/>
          <w:szCs w:val="21"/>
          <w:highlight w:val="none"/>
        </w:rPr>
        <w:t>产品申购、赎回</w:t>
      </w:r>
    </w:p>
    <w:p>
      <w:pPr>
        <w:keepNext w:val="0"/>
        <w:keepLines w:val="0"/>
        <w:pageBreakBefore w:val="0"/>
        <w:widowControl w:val="0"/>
        <w:numPr>
          <w:ilvl w:val="0"/>
          <w:numId w:val="14"/>
        </w:numPr>
        <w:tabs>
          <w:tab w:val="left" w:pos="993"/>
          <w:tab w:val="clear" w:pos="420"/>
        </w:tabs>
        <w:kinsoku/>
        <w:wordWrap/>
        <w:overflowPunct/>
        <w:topLinePunct w:val="0"/>
        <w:autoSpaceDE/>
        <w:autoSpaceDN/>
        <w:bidi w:val="0"/>
        <w:adjustRightInd/>
        <w:snapToGrid/>
        <w:ind w:left="0" w:leftChars="0" w:firstLine="420" w:firstLineChars="200"/>
        <w:textAlignment w:val="auto"/>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开放计划</w:t>
      </w:r>
    </w:p>
    <w:p>
      <w:pPr>
        <w:keepNext w:val="0"/>
        <w:keepLines w:val="0"/>
        <w:pageBreakBefore w:val="0"/>
        <w:numPr>
          <w:ilvl w:val="0"/>
          <w:numId w:val="0"/>
        </w:numPr>
        <w:tabs>
          <w:tab w:val="left" w:pos="728"/>
        </w:tabs>
        <w:wordWrap/>
        <w:topLinePunct w:val="0"/>
        <w:autoSpaceDE/>
        <w:autoSpaceDN/>
        <w:bidi w:val="0"/>
        <w:ind w:left="0" w:leftChars="0" w:firstLine="420" w:firstLineChars="200"/>
        <w:textAlignment w:val="auto"/>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本产品</w:t>
      </w:r>
      <w:r>
        <w:rPr>
          <w:rFonts w:hint="eastAsia" w:ascii="楷体" w:hAnsi="楷体" w:eastAsia="楷体" w:cs="Calibri"/>
          <w:b w:val="0"/>
          <w:bCs/>
          <w:sz w:val="21"/>
          <w:szCs w:val="21"/>
          <w:highlight w:val="none"/>
          <w:lang w:val="en-US" w:eastAsia="zh-CN"/>
        </w:rPr>
        <w:t>封闭运作</w:t>
      </w:r>
      <w:r>
        <w:rPr>
          <w:rFonts w:hint="eastAsia" w:ascii="楷体" w:hAnsi="楷体" w:eastAsia="楷体" w:cs="Calibri"/>
          <w:b w:val="0"/>
          <w:bCs/>
          <w:sz w:val="21"/>
          <w:szCs w:val="21"/>
          <w:highlight w:val="none"/>
        </w:rPr>
        <w:t>期结束后</w:t>
      </w:r>
      <w:r>
        <w:rPr>
          <w:rFonts w:hint="eastAsia" w:ascii="楷体" w:hAnsi="楷体" w:eastAsia="楷体" w:cs="Calibri"/>
          <w:b w:val="0"/>
          <w:bCs/>
          <w:sz w:val="21"/>
          <w:szCs w:val="21"/>
          <w:highlight w:val="none"/>
          <w:lang w:val="en-US" w:eastAsia="zh-CN"/>
        </w:rPr>
        <w:t>，按开放日接受投资者的申购/赎回申请，每个交易日为产品开放日（T日），其中投资者赎回份额需满足最短持有时间。开放日闭市前的申购/赎回申请当日受理</w:t>
      </w:r>
      <w:r>
        <w:rPr>
          <w:rFonts w:hint="eastAsia" w:ascii="楷体" w:hAnsi="楷体" w:eastAsia="楷体" w:cs="Calibri"/>
          <w:b w:val="0"/>
          <w:bCs/>
          <w:sz w:val="21"/>
          <w:szCs w:val="21"/>
          <w:highlight w:val="none"/>
          <w:lang w:eastAsia="zh-CN"/>
        </w:rPr>
        <w:t>，</w:t>
      </w:r>
      <w:r>
        <w:rPr>
          <w:rFonts w:hint="eastAsia" w:ascii="楷体" w:hAnsi="楷体" w:eastAsia="楷体" w:cs="Calibri"/>
          <w:b w:val="0"/>
          <w:bCs/>
          <w:sz w:val="21"/>
          <w:szCs w:val="21"/>
          <w:highlight w:val="none"/>
          <w:lang w:val="en-US" w:eastAsia="zh-CN"/>
        </w:rPr>
        <w:t>闭市后的申购/赎回申请</w:t>
      </w:r>
      <w:r>
        <w:rPr>
          <w:rFonts w:hint="eastAsia" w:ascii="楷体" w:hAnsi="楷体" w:eastAsia="楷体" w:cs="Calibri"/>
          <w:b w:val="0"/>
          <w:bCs/>
          <w:sz w:val="21"/>
          <w:szCs w:val="21"/>
          <w:highlight w:val="none"/>
        </w:rPr>
        <w:t>为预受理，视同下一</w:t>
      </w:r>
      <w:r>
        <w:rPr>
          <w:rFonts w:hint="eastAsia" w:ascii="楷体" w:hAnsi="楷体" w:eastAsia="楷体" w:cs="Calibri"/>
          <w:b w:val="0"/>
          <w:bCs/>
          <w:sz w:val="21"/>
          <w:szCs w:val="21"/>
          <w:highlight w:val="none"/>
          <w:lang w:val="en-US" w:eastAsia="zh-CN"/>
        </w:rPr>
        <w:t>开放</w:t>
      </w:r>
      <w:r>
        <w:rPr>
          <w:rFonts w:hint="eastAsia" w:ascii="楷体" w:hAnsi="楷体" w:eastAsia="楷体" w:cs="Calibri"/>
          <w:b w:val="0"/>
          <w:bCs/>
          <w:sz w:val="21"/>
          <w:szCs w:val="21"/>
          <w:highlight w:val="none"/>
        </w:rPr>
        <w:t>日</w:t>
      </w:r>
      <w:r>
        <w:rPr>
          <w:rFonts w:hint="eastAsia" w:ascii="楷体" w:hAnsi="楷体" w:eastAsia="楷体" w:cs="Calibri"/>
          <w:b w:val="0"/>
          <w:bCs/>
          <w:sz w:val="21"/>
          <w:szCs w:val="21"/>
          <w:highlight w:val="none"/>
          <w:lang w:val="en-US" w:eastAsia="zh-CN"/>
        </w:rPr>
        <w:t>申请。投资者</w:t>
      </w:r>
      <w:r>
        <w:rPr>
          <w:rFonts w:hint="eastAsia" w:ascii="楷体" w:hAnsi="楷体" w:eastAsia="楷体" w:cs="Calibri"/>
          <w:b w:val="0"/>
          <w:bCs/>
          <w:sz w:val="21"/>
          <w:szCs w:val="21"/>
          <w:highlight w:val="none"/>
        </w:rPr>
        <w:t>提交的申购/赎回申请可以在产品开放日</w:t>
      </w:r>
      <w:r>
        <w:rPr>
          <w:rFonts w:hint="eastAsia" w:ascii="楷体" w:hAnsi="楷体" w:eastAsia="楷体" w:cs="Calibri"/>
          <w:b w:val="0"/>
          <w:bCs/>
          <w:sz w:val="21"/>
          <w:szCs w:val="21"/>
          <w:highlight w:val="none"/>
          <w:lang w:val="en-US" w:eastAsia="zh-CN"/>
        </w:rPr>
        <w:t>闭市</w:t>
      </w:r>
      <w:r>
        <w:rPr>
          <w:rFonts w:hint="eastAsia" w:ascii="楷体" w:hAnsi="楷体" w:eastAsia="楷体" w:cs="Calibri"/>
          <w:b w:val="0"/>
          <w:bCs/>
          <w:sz w:val="21"/>
          <w:szCs w:val="21"/>
          <w:highlight w:val="none"/>
        </w:rPr>
        <w:t>前撤销，之后不得撤销。（</w:t>
      </w:r>
      <w:r>
        <w:rPr>
          <w:rFonts w:hint="eastAsia" w:ascii="楷体" w:hAnsi="楷体" w:eastAsia="楷体" w:cs="Calibri"/>
          <w:b w:val="0"/>
          <w:bCs/>
          <w:sz w:val="21"/>
          <w:szCs w:val="21"/>
          <w:highlight w:val="none"/>
          <w:lang w:val="en-US" w:eastAsia="zh-CN"/>
        </w:rPr>
        <w:t>开放日闭市时间为17:00，具体</w:t>
      </w:r>
      <w:r>
        <w:rPr>
          <w:rFonts w:hint="eastAsia" w:ascii="楷体" w:hAnsi="楷体" w:eastAsia="楷体" w:cs="Calibri"/>
          <w:b w:val="0"/>
          <w:bCs/>
          <w:sz w:val="21"/>
          <w:szCs w:val="21"/>
          <w:highlight w:val="none"/>
        </w:rPr>
        <w:t>以各销售机构设置为准）</w:t>
      </w:r>
    </w:p>
    <w:p>
      <w:pPr>
        <w:keepNext w:val="0"/>
        <w:keepLines w:val="0"/>
        <w:pageBreakBefore w:val="0"/>
        <w:widowControl w:val="0"/>
        <w:numPr>
          <w:ilvl w:val="0"/>
          <w:numId w:val="14"/>
        </w:numPr>
        <w:tabs>
          <w:tab w:val="left" w:pos="993"/>
          <w:tab w:val="clear" w:pos="420"/>
        </w:tabs>
        <w:kinsoku/>
        <w:wordWrap/>
        <w:overflowPunct/>
        <w:topLinePunct w:val="0"/>
        <w:autoSpaceDE/>
        <w:autoSpaceDN/>
        <w:bidi w:val="0"/>
        <w:adjustRightInd/>
        <w:snapToGrid/>
        <w:ind w:left="0" w:leftChars="0" w:firstLine="420" w:firstLineChars="200"/>
        <w:textAlignment w:val="auto"/>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申购、赎回的规则</w:t>
      </w:r>
    </w:p>
    <w:p>
      <w:pPr>
        <w:keepNext w:val="0"/>
        <w:keepLines w:val="0"/>
        <w:pageBreakBefore w:val="0"/>
        <w:widowControl w:val="0"/>
        <w:numPr>
          <w:ilvl w:val="0"/>
          <w:numId w:val="15"/>
        </w:numPr>
        <w:tabs>
          <w:tab w:val="left" w:pos="728"/>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申购、赎回的原则：投资者必须在产品开放计划内提出申购、赎回申请</w:t>
      </w:r>
      <w:r>
        <w:rPr>
          <w:rFonts w:hint="eastAsia" w:ascii="楷体" w:hAnsi="楷体" w:eastAsia="楷体" w:cs="Calibri"/>
          <w:b w:val="0"/>
          <w:bCs/>
          <w:sz w:val="21"/>
          <w:szCs w:val="21"/>
          <w:highlight w:val="none"/>
          <w:lang w:eastAsia="zh-CN"/>
        </w:rPr>
        <w:t>，</w:t>
      </w:r>
      <w:r>
        <w:rPr>
          <w:rFonts w:hint="eastAsia" w:ascii="楷体" w:hAnsi="楷体" w:eastAsia="楷体" w:cs="Calibri"/>
          <w:b w:val="0"/>
          <w:bCs/>
          <w:sz w:val="21"/>
          <w:szCs w:val="21"/>
          <w:highlight w:val="none"/>
        </w:rPr>
        <w:t>采用金额申购、份额赎回的原则，即申购以金额申请，赎回以份额申请。投资者提出申购申请时，须备足购买资金</w:t>
      </w:r>
      <w:r>
        <w:rPr>
          <w:rFonts w:hint="eastAsia" w:ascii="楷体" w:hAnsi="楷体" w:eastAsia="楷体" w:cs="Calibri"/>
          <w:b w:val="0"/>
          <w:bCs/>
          <w:sz w:val="21"/>
          <w:szCs w:val="21"/>
          <w:highlight w:val="none"/>
          <w:lang w:val="en-US" w:eastAsia="zh-CN"/>
        </w:rPr>
        <w:t>；</w:t>
      </w:r>
      <w:r>
        <w:rPr>
          <w:rFonts w:hint="eastAsia" w:ascii="楷体" w:hAnsi="楷体" w:eastAsia="楷体" w:cs="Calibri"/>
          <w:b w:val="0"/>
          <w:bCs/>
          <w:sz w:val="21"/>
          <w:szCs w:val="21"/>
          <w:highlight w:val="none"/>
        </w:rPr>
        <w:t>投资者提出赎回申请时，须有足够的理财产品份额余额。</w:t>
      </w:r>
    </w:p>
    <w:p>
      <w:pPr>
        <w:keepNext w:val="0"/>
        <w:keepLines w:val="0"/>
        <w:pageBreakBefore w:val="0"/>
        <w:widowControl w:val="0"/>
        <w:numPr>
          <w:ilvl w:val="0"/>
          <w:numId w:val="15"/>
        </w:numPr>
        <w:tabs>
          <w:tab w:val="left" w:pos="728"/>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申购、赎回的确认：投资者申购/赎回本产品时采用“未知价”原则，投资者在开放计划内通过销售机构提出的申购/赎回申请，管理人于</w:t>
      </w:r>
      <w:r>
        <w:rPr>
          <w:rFonts w:hint="eastAsia" w:ascii="楷体" w:hAnsi="楷体" w:eastAsia="楷体" w:cs="Calibri"/>
          <w:b w:val="0"/>
          <w:bCs/>
          <w:sz w:val="21"/>
          <w:szCs w:val="21"/>
          <w:highlight w:val="none"/>
          <w:lang w:val="en-US" w:eastAsia="zh-CN"/>
        </w:rPr>
        <w:t>T+1</w:t>
      </w:r>
      <w:r>
        <w:rPr>
          <w:rFonts w:hint="eastAsia" w:ascii="楷体" w:hAnsi="楷体" w:eastAsia="楷体" w:cs="Calibri"/>
          <w:b w:val="0"/>
          <w:bCs/>
          <w:sz w:val="21"/>
          <w:szCs w:val="21"/>
          <w:highlight w:val="none"/>
        </w:rPr>
        <w:t>日按开放日单位净值对申购/赎回申请予以统一</w:t>
      </w:r>
      <w:r>
        <w:rPr>
          <w:rFonts w:hint="eastAsia" w:ascii="楷体" w:hAnsi="楷体" w:eastAsia="楷体" w:cs="Calibri"/>
          <w:sz w:val="21"/>
          <w:szCs w:val="21"/>
          <w:highlight w:val="none"/>
        </w:rPr>
        <w:t>确认。</w:t>
      </w:r>
    </w:p>
    <w:p>
      <w:pPr>
        <w:keepNext w:val="0"/>
        <w:keepLines w:val="0"/>
        <w:pageBreakBefore w:val="0"/>
        <w:wordWrap/>
        <w:topLinePunct w:val="0"/>
        <w:autoSpaceDE/>
        <w:autoSpaceDN/>
        <w:bidi w:val="0"/>
        <w:ind w:firstLine="420" w:firstLineChars="200"/>
        <w:textAlignment w:val="auto"/>
        <w:rPr>
          <w:rFonts w:hint="eastAsia" w:ascii="楷体" w:hAnsi="楷体" w:eastAsia="楷体"/>
          <w:b w:val="0"/>
          <w:bCs/>
          <w:sz w:val="21"/>
          <w:szCs w:val="21"/>
          <w:highlight w:val="none"/>
        </w:rPr>
      </w:pPr>
      <w:r>
        <w:rPr>
          <w:rFonts w:hint="eastAsia" w:ascii="楷体" w:hAnsi="楷体" w:eastAsia="楷体" w:cs="Calibri"/>
          <w:b w:val="0"/>
          <w:bCs/>
          <w:sz w:val="21"/>
          <w:szCs w:val="21"/>
          <w:highlight w:val="none"/>
          <w:lang w:val="en-US" w:eastAsia="zh-CN"/>
        </w:rPr>
        <w:t>管理人在份额登记日对投资者的</w:t>
      </w:r>
      <w:r>
        <w:rPr>
          <w:rFonts w:hint="eastAsia" w:ascii="楷体" w:hAnsi="楷体" w:eastAsia="楷体"/>
          <w:b w:val="0"/>
          <w:bCs/>
          <w:sz w:val="21"/>
          <w:szCs w:val="21"/>
          <w:highlight w:val="none"/>
        </w:rPr>
        <w:t>申购</w:t>
      </w:r>
      <w:r>
        <w:rPr>
          <w:rFonts w:hint="eastAsia" w:ascii="楷体" w:hAnsi="楷体" w:eastAsia="楷体" w:cs="Calibri"/>
          <w:b w:val="0"/>
          <w:bCs/>
          <w:sz w:val="21"/>
          <w:szCs w:val="21"/>
          <w:highlight w:val="none"/>
          <w:lang w:val="en-US" w:eastAsia="zh-CN"/>
        </w:rPr>
        <w:t>申请登记成功后并收到投资者全额交付的款项，视为投资者的</w:t>
      </w:r>
      <w:r>
        <w:rPr>
          <w:rFonts w:hint="eastAsia" w:ascii="楷体" w:hAnsi="楷体" w:eastAsia="楷体"/>
          <w:b w:val="0"/>
          <w:bCs/>
          <w:sz w:val="21"/>
          <w:szCs w:val="21"/>
          <w:highlight w:val="none"/>
        </w:rPr>
        <w:t>申购</w:t>
      </w:r>
      <w:r>
        <w:rPr>
          <w:rFonts w:hint="eastAsia" w:ascii="楷体" w:hAnsi="楷体" w:eastAsia="楷体" w:cs="Calibri"/>
          <w:b w:val="0"/>
          <w:bCs/>
          <w:sz w:val="21"/>
          <w:szCs w:val="21"/>
          <w:highlight w:val="none"/>
          <w:lang w:val="en-US" w:eastAsia="zh-CN"/>
        </w:rPr>
        <w:t>申请生效。投资者应在</w:t>
      </w:r>
      <w:r>
        <w:rPr>
          <w:rFonts w:hint="eastAsia" w:ascii="楷体" w:hAnsi="楷体" w:eastAsia="楷体"/>
          <w:b w:val="0"/>
          <w:bCs/>
          <w:sz w:val="21"/>
          <w:szCs w:val="21"/>
          <w:highlight w:val="none"/>
        </w:rPr>
        <w:t>开放日后</w:t>
      </w:r>
      <w:r>
        <w:rPr>
          <w:rFonts w:hint="eastAsia" w:ascii="楷体" w:hAnsi="楷体" w:eastAsia="楷体" w:cs="Calibri"/>
          <w:b w:val="0"/>
          <w:bCs/>
          <w:sz w:val="21"/>
          <w:szCs w:val="21"/>
          <w:highlight w:val="none"/>
          <w:lang w:val="en-US" w:eastAsia="zh-CN"/>
        </w:rPr>
        <w:t>及时查询最终的成交情况以及</w:t>
      </w:r>
      <w:r>
        <w:rPr>
          <w:rFonts w:hint="eastAsia" w:ascii="楷体" w:hAnsi="楷体" w:eastAsia="楷体"/>
          <w:b w:val="0"/>
          <w:bCs/>
          <w:sz w:val="21"/>
          <w:szCs w:val="21"/>
          <w:highlight w:val="none"/>
        </w:rPr>
        <w:t>申购</w:t>
      </w:r>
      <w:r>
        <w:rPr>
          <w:rFonts w:hint="eastAsia" w:ascii="楷体" w:hAnsi="楷体" w:eastAsia="楷体" w:cs="Calibri"/>
          <w:b w:val="0"/>
          <w:bCs/>
          <w:sz w:val="21"/>
          <w:szCs w:val="21"/>
          <w:highlight w:val="none"/>
          <w:lang w:val="en-US" w:eastAsia="zh-CN"/>
        </w:rPr>
        <w:t>的份额。</w:t>
      </w:r>
      <w:r>
        <w:rPr>
          <w:rFonts w:hint="eastAsia" w:ascii="楷体" w:hAnsi="楷体" w:eastAsia="楷体"/>
          <w:b w:val="0"/>
          <w:bCs/>
          <w:sz w:val="21"/>
          <w:szCs w:val="21"/>
          <w:highlight w:val="none"/>
        </w:rPr>
        <w:t>因投资者资金账户余额不足、司法冻结、不可抗力因素或其他不可归责于</w:t>
      </w:r>
      <w:r>
        <w:rPr>
          <w:rFonts w:hint="eastAsia" w:ascii="楷体" w:hAnsi="楷体" w:eastAsia="楷体"/>
          <w:b w:val="0"/>
          <w:bCs/>
          <w:sz w:val="21"/>
          <w:szCs w:val="21"/>
          <w:highlight w:val="none"/>
          <w:lang w:val="en-US" w:eastAsia="zh-CN"/>
        </w:rPr>
        <w:t>管理人</w:t>
      </w:r>
      <w:r>
        <w:rPr>
          <w:rFonts w:hint="eastAsia" w:ascii="楷体" w:hAnsi="楷体" w:eastAsia="楷体"/>
          <w:b w:val="0"/>
          <w:bCs/>
          <w:sz w:val="21"/>
          <w:szCs w:val="21"/>
          <w:highlight w:val="none"/>
        </w:rPr>
        <w:t>和销售机构的事由出现，造成申购</w:t>
      </w:r>
      <w:r>
        <w:rPr>
          <w:rFonts w:hint="eastAsia" w:ascii="楷体" w:hAnsi="楷体" w:eastAsia="楷体" w:cs="Calibri"/>
          <w:b w:val="0"/>
          <w:bCs/>
          <w:sz w:val="21"/>
          <w:szCs w:val="21"/>
          <w:highlight w:val="none"/>
          <w:lang w:val="en-US" w:eastAsia="zh-CN"/>
        </w:rPr>
        <w:t>申请</w:t>
      </w:r>
      <w:r>
        <w:rPr>
          <w:rFonts w:hint="eastAsia" w:ascii="楷体" w:hAnsi="楷体" w:eastAsia="楷体"/>
          <w:b w:val="0"/>
          <w:bCs/>
          <w:sz w:val="21"/>
          <w:szCs w:val="21"/>
          <w:highlight w:val="none"/>
        </w:rPr>
        <w:t>未被确认的，</w:t>
      </w:r>
      <w:r>
        <w:rPr>
          <w:rFonts w:hint="eastAsia" w:ascii="楷体" w:hAnsi="楷体" w:eastAsia="楷体"/>
          <w:b w:val="0"/>
          <w:bCs/>
          <w:sz w:val="21"/>
          <w:szCs w:val="21"/>
          <w:highlight w:val="none"/>
          <w:lang w:val="en-US" w:eastAsia="zh-CN"/>
        </w:rPr>
        <w:t>管理人</w:t>
      </w:r>
      <w:r>
        <w:rPr>
          <w:rFonts w:hint="eastAsia" w:ascii="楷体" w:hAnsi="楷体" w:eastAsia="楷体"/>
          <w:b w:val="0"/>
          <w:bCs/>
          <w:sz w:val="21"/>
          <w:szCs w:val="21"/>
          <w:highlight w:val="none"/>
        </w:rPr>
        <w:t>和销售机构不承担任何责任。</w:t>
      </w:r>
    </w:p>
    <w:p>
      <w:pPr>
        <w:keepNext w:val="0"/>
        <w:keepLines w:val="0"/>
        <w:pageBreakBefore w:val="0"/>
        <w:wordWrap/>
        <w:topLinePunct w:val="0"/>
        <w:autoSpaceDE/>
        <w:autoSpaceDN/>
        <w:bidi w:val="0"/>
        <w:ind w:firstLine="420" w:firstLineChars="200"/>
        <w:textAlignment w:val="auto"/>
        <w:rPr>
          <w:rFonts w:hint="eastAsia" w:ascii="楷体" w:hAnsi="楷体" w:eastAsia="楷体"/>
          <w:b w:val="0"/>
          <w:bCs/>
          <w:sz w:val="21"/>
          <w:szCs w:val="21"/>
          <w:highlight w:val="none"/>
        </w:rPr>
      </w:pPr>
      <w:r>
        <w:rPr>
          <w:rFonts w:hint="eastAsia" w:ascii="楷体" w:hAnsi="楷体" w:eastAsia="楷体"/>
          <w:b w:val="0"/>
          <w:bCs/>
          <w:sz w:val="21"/>
          <w:szCs w:val="21"/>
          <w:highlight w:val="none"/>
        </w:rPr>
        <w:t>投资者赎回资金将在确认日后</w:t>
      </w:r>
      <w:r>
        <w:rPr>
          <w:rFonts w:hint="eastAsia" w:ascii="楷体" w:hAnsi="楷体" w:eastAsia="楷体"/>
          <w:b w:val="0"/>
          <w:bCs/>
          <w:sz w:val="21"/>
          <w:szCs w:val="21"/>
          <w:highlight w:val="none"/>
          <w:lang w:val="en-US" w:eastAsia="zh-CN"/>
        </w:rPr>
        <w:t>4</w:t>
      </w:r>
      <w:r>
        <w:rPr>
          <w:rFonts w:hint="eastAsia" w:ascii="楷体" w:hAnsi="楷体" w:eastAsia="楷体"/>
          <w:b w:val="0"/>
          <w:bCs/>
          <w:sz w:val="21"/>
          <w:szCs w:val="21"/>
          <w:highlight w:val="none"/>
        </w:rPr>
        <w:t>个工作日内到达投资者资金账户。</w:t>
      </w:r>
    </w:p>
    <w:p>
      <w:pPr>
        <w:keepNext w:val="0"/>
        <w:keepLines w:val="0"/>
        <w:pageBreakBefore w:val="0"/>
        <w:widowControl w:val="0"/>
        <w:numPr>
          <w:ilvl w:val="0"/>
          <w:numId w:val="14"/>
        </w:numPr>
        <w:tabs>
          <w:tab w:val="left" w:pos="993"/>
          <w:tab w:val="clear" w:pos="420"/>
        </w:tabs>
        <w:kinsoku/>
        <w:wordWrap/>
        <w:overflowPunct/>
        <w:topLinePunct w:val="0"/>
        <w:autoSpaceDE/>
        <w:autoSpaceDN/>
        <w:bidi w:val="0"/>
        <w:adjustRightInd/>
        <w:snapToGrid/>
        <w:ind w:left="0" w:leftChars="0" w:firstLine="420" w:firstLineChars="200"/>
        <w:textAlignment w:val="auto"/>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申购份额的计算</w:t>
      </w:r>
    </w:p>
    <w:p>
      <w:pPr>
        <w:keepNext w:val="0"/>
        <w:keepLines w:val="0"/>
        <w:pageBreakBefore w:val="0"/>
        <w:wordWrap/>
        <w:topLinePunct w:val="0"/>
        <w:autoSpaceDE/>
        <w:autoSpaceDN/>
        <w:bidi w:val="0"/>
        <w:ind w:firstLine="420" w:firstLineChars="200"/>
        <w:textAlignment w:val="auto"/>
        <w:rPr>
          <w:rFonts w:hint="eastAsia" w:ascii="楷体" w:hAnsi="楷体" w:eastAsia="楷体"/>
          <w:b w:val="0"/>
          <w:bCs/>
          <w:sz w:val="21"/>
          <w:szCs w:val="21"/>
          <w:highlight w:val="none"/>
          <w:lang w:eastAsia="zh-CN"/>
        </w:rPr>
      </w:pPr>
      <w:r>
        <w:rPr>
          <w:rFonts w:hint="eastAsia" w:ascii="楷体" w:hAnsi="楷体" w:eastAsia="楷体"/>
          <w:b w:val="0"/>
          <w:bCs/>
          <w:sz w:val="21"/>
          <w:szCs w:val="21"/>
          <w:highlight w:val="none"/>
        </w:rPr>
        <w:t>申购份额=申购金额/开放日产品单位净值</w:t>
      </w:r>
      <w:r>
        <w:rPr>
          <w:rFonts w:hint="eastAsia" w:ascii="楷体" w:hAnsi="楷体" w:eastAsia="楷体"/>
          <w:b w:val="0"/>
          <w:bCs/>
          <w:sz w:val="21"/>
          <w:szCs w:val="21"/>
          <w:highlight w:val="none"/>
          <w:lang w:eastAsia="zh-CN"/>
        </w:rPr>
        <w:t>，</w:t>
      </w:r>
      <w:r>
        <w:rPr>
          <w:rFonts w:hint="eastAsia" w:ascii="楷体" w:hAnsi="楷体" w:eastAsia="楷体"/>
          <w:b w:val="0"/>
          <w:bCs/>
          <w:sz w:val="21"/>
          <w:szCs w:val="21"/>
          <w:highlight w:val="none"/>
        </w:rPr>
        <w:t>申购份额以四舍五入的方法保留到小数点后两位</w:t>
      </w:r>
      <w:r>
        <w:rPr>
          <w:rFonts w:hint="eastAsia" w:ascii="楷体" w:hAnsi="楷体" w:eastAsia="楷体"/>
          <w:b w:val="0"/>
          <w:bCs/>
          <w:sz w:val="21"/>
          <w:szCs w:val="21"/>
          <w:highlight w:val="none"/>
          <w:lang w:eastAsia="zh-CN"/>
        </w:rPr>
        <w:t>。</w:t>
      </w:r>
    </w:p>
    <w:p>
      <w:pPr>
        <w:keepNext w:val="0"/>
        <w:keepLines w:val="0"/>
        <w:pageBreakBefore w:val="0"/>
        <w:widowControl w:val="0"/>
        <w:numPr>
          <w:ilvl w:val="0"/>
          <w:numId w:val="14"/>
        </w:numPr>
        <w:tabs>
          <w:tab w:val="left" w:pos="993"/>
          <w:tab w:val="clear" w:pos="420"/>
        </w:tabs>
        <w:kinsoku/>
        <w:wordWrap/>
        <w:overflowPunct/>
        <w:topLinePunct w:val="0"/>
        <w:autoSpaceDE/>
        <w:autoSpaceDN/>
        <w:bidi w:val="0"/>
        <w:adjustRightInd/>
        <w:snapToGrid/>
        <w:ind w:left="0" w:leftChars="0" w:firstLine="420" w:firstLineChars="200"/>
        <w:textAlignment w:val="auto"/>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赎回金额的计算</w:t>
      </w:r>
    </w:p>
    <w:p>
      <w:pPr>
        <w:keepNext w:val="0"/>
        <w:keepLines w:val="0"/>
        <w:pageBreakBefore w:val="0"/>
        <w:wordWrap/>
        <w:topLinePunct w:val="0"/>
        <w:autoSpaceDE/>
        <w:autoSpaceDN/>
        <w:bidi w:val="0"/>
        <w:ind w:firstLine="420" w:firstLineChars="200"/>
        <w:textAlignment w:val="auto"/>
        <w:rPr>
          <w:rFonts w:hint="eastAsia" w:ascii="楷体" w:hAnsi="楷体" w:eastAsia="楷体"/>
          <w:b w:val="0"/>
          <w:bCs/>
          <w:sz w:val="21"/>
          <w:szCs w:val="21"/>
          <w:highlight w:val="none"/>
          <w:lang w:eastAsia="zh-CN"/>
        </w:rPr>
      </w:pPr>
      <w:r>
        <w:rPr>
          <w:rFonts w:hint="eastAsia" w:ascii="楷体" w:hAnsi="楷体" w:eastAsia="楷体"/>
          <w:b w:val="0"/>
          <w:bCs/>
          <w:sz w:val="21"/>
          <w:szCs w:val="21"/>
          <w:highlight w:val="none"/>
        </w:rPr>
        <w:t>赎回金额=赎回份额*开放日产品单位净值</w:t>
      </w:r>
      <w:r>
        <w:rPr>
          <w:rFonts w:hint="eastAsia" w:ascii="楷体" w:hAnsi="楷体" w:eastAsia="楷体"/>
          <w:sz w:val="21"/>
          <w:szCs w:val="21"/>
          <w:highlight w:val="none"/>
          <w:lang w:val="en-US" w:eastAsia="zh-CN"/>
        </w:rPr>
        <w:t>-超额业绩报酬（如有）</w:t>
      </w:r>
      <w:r>
        <w:rPr>
          <w:rFonts w:hint="eastAsia" w:ascii="楷体" w:hAnsi="楷体" w:eastAsia="楷体"/>
          <w:b w:val="0"/>
          <w:bCs/>
          <w:sz w:val="21"/>
          <w:szCs w:val="21"/>
          <w:highlight w:val="none"/>
          <w:lang w:eastAsia="zh-CN"/>
        </w:rPr>
        <w:t>，</w:t>
      </w:r>
      <w:r>
        <w:rPr>
          <w:rFonts w:hint="eastAsia" w:ascii="楷体" w:hAnsi="楷体" w:eastAsia="楷体"/>
          <w:b w:val="0"/>
          <w:bCs/>
          <w:sz w:val="21"/>
          <w:szCs w:val="21"/>
          <w:highlight w:val="none"/>
        </w:rPr>
        <w:t>赎回金额以四舍五入的方法保留到小数点后两位</w:t>
      </w:r>
      <w:r>
        <w:rPr>
          <w:rFonts w:hint="eastAsia" w:ascii="楷体" w:hAnsi="楷体" w:eastAsia="楷体"/>
          <w:b w:val="0"/>
          <w:bCs/>
          <w:sz w:val="21"/>
          <w:szCs w:val="21"/>
          <w:highlight w:val="none"/>
          <w:lang w:eastAsia="zh-CN"/>
        </w:rPr>
        <w:t>。</w:t>
      </w:r>
    </w:p>
    <w:p>
      <w:pPr>
        <w:keepNext w:val="0"/>
        <w:keepLines w:val="0"/>
        <w:pageBreakBefore w:val="0"/>
        <w:widowControl w:val="0"/>
        <w:numPr>
          <w:ilvl w:val="0"/>
          <w:numId w:val="14"/>
        </w:numPr>
        <w:tabs>
          <w:tab w:val="left" w:pos="993"/>
          <w:tab w:val="clear" w:pos="420"/>
        </w:tabs>
        <w:kinsoku/>
        <w:wordWrap/>
        <w:overflowPunct/>
        <w:topLinePunct w:val="0"/>
        <w:autoSpaceDE/>
        <w:autoSpaceDN/>
        <w:bidi w:val="0"/>
        <w:adjustRightInd/>
        <w:snapToGrid/>
        <w:ind w:left="0" w:leftChars="0" w:firstLine="420" w:firstLineChars="200"/>
        <w:textAlignment w:val="auto"/>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巨额赎回：详见“产品要素”。</w:t>
      </w:r>
    </w:p>
    <w:p>
      <w:pPr>
        <w:keepNext w:val="0"/>
        <w:keepLines w:val="0"/>
        <w:pageBreakBefore w:val="0"/>
        <w:widowControl w:val="0"/>
        <w:numPr>
          <w:ilvl w:val="0"/>
          <w:numId w:val="14"/>
        </w:numPr>
        <w:tabs>
          <w:tab w:val="left" w:pos="993"/>
          <w:tab w:val="clear" w:pos="420"/>
        </w:tabs>
        <w:kinsoku/>
        <w:wordWrap/>
        <w:overflowPunct/>
        <w:topLinePunct w:val="0"/>
        <w:autoSpaceDE/>
        <w:autoSpaceDN/>
        <w:bidi w:val="0"/>
        <w:adjustRightInd/>
        <w:snapToGrid/>
        <w:ind w:left="0" w:leftChars="0" w:firstLine="420" w:firstLineChars="200"/>
        <w:textAlignment w:val="auto"/>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特殊情形及处理</w:t>
      </w:r>
    </w:p>
    <w:p>
      <w:pPr>
        <w:keepNext w:val="0"/>
        <w:keepLines w:val="0"/>
        <w:pageBreakBefore w:val="0"/>
        <w:wordWrap/>
        <w:topLinePunct w:val="0"/>
        <w:autoSpaceDE/>
        <w:autoSpaceDN/>
        <w:bidi w:val="0"/>
        <w:ind w:firstLine="420" w:firstLineChars="200"/>
        <w:textAlignment w:val="auto"/>
        <w:rPr>
          <w:rFonts w:ascii="楷体" w:hAnsi="楷体" w:eastAsia="楷体"/>
          <w:b w:val="0"/>
          <w:bCs w:val="0"/>
          <w:sz w:val="21"/>
          <w:szCs w:val="21"/>
          <w:highlight w:val="none"/>
        </w:rPr>
      </w:pPr>
      <w:r>
        <w:rPr>
          <w:rFonts w:ascii="楷体" w:hAnsi="楷体" w:eastAsia="楷体"/>
          <w:b w:val="0"/>
          <w:bCs w:val="0"/>
          <w:sz w:val="21"/>
          <w:szCs w:val="21"/>
          <w:highlight w:val="none"/>
        </w:rPr>
        <w:t>1.</w:t>
      </w:r>
      <w:r>
        <w:rPr>
          <w:rFonts w:hint="eastAsia" w:ascii="楷体" w:hAnsi="楷体" w:eastAsia="楷体"/>
          <w:b w:val="0"/>
          <w:bCs w:val="0"/>
          <w:sz w:val="21"/>
          <w:szCs w:val="21"/>
          <w:highlight w:val="none"/>
        </w:rPr>
        <w:t>除以下情形外，管理人不得拒绝接受或暂停接受投资者的申购申请：</w:t>
      </w:r>
    </w:p>
    <w:p>
      <w:pPr>
        <w:keepNext w:val="0"/>
        <w:keepLines w:val="0"/>
        <w:pageBreakBefore w:val="0"/>
        <w:numPr>
          <w:ilvl w:val="0"/>
          <w:numId w:val="0"/>
        </w:numPr>
        <w:tabs>
          <w:tab w:val="left" w:pos="728"/>
        </w:tabs>
        <w:wordWrap/>
        <w:topLinePunct w:val="0"/>
        <w:autoSpaceDE/>
        <w:autoSpaceDN/>
        <w:bidi w:val="0"/>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（1）不可抗力的原因导致产品无法正常运作</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（2）超出产品单一投资者持有上限</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3</w:t>
      </w:r>
      <w:r>
        <w:rPr>
          <w:rFonts w:hint="eastAsia" w:ascii="楷体" w:hAnsi="楷体" w:eastAsia="楷体" w:cs="Calibri"/>
          <w:sz w:val="21"/>
          <w:szCs w:val="21"/>
          <w:highlight w:val="none"/>
        </w:rPr>
        <w:t>）发生《理财产品说明书》约定的暂停估值的情形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4</w:t>
      </w:r>
      <w:r>
        <w:rPr>
          <w:rFonts w:hint="eastAsia" w:ascii="楷体" w:hAnsi="楷体" w:eastAsia="楷体" w:cs="Calibri"/>
          <w:sz w:val="21"/>
          <w:szCs w:val="21"/>
          <w:highlight w:val="none"/>
        </w:rPr>
        <w:t>）管理人接受某笔或者某些申购申请有可能导致单一投资者持有理财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份额的比例达到或者超过50%的情形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5</w:t>
      </w:r>
      <w:r>
        <w:rPr>
          <w:rFonts w:hint="eastAsia" w:ascii="楷体" w:hAnsi="楷体" w:eastAsia="楷体" w:cs="Calibri"/>
          <w:sz w:val="21"/>
          <w:szCs w:val="21"/>
          <w:highlight w:val="none"/>
        </w:rPr>
        <w:t>）当接受某笔或某些申购申请可能对存量理财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）法律、法规规定认定的其他情形。</w:t>
      </w:r>
    </w:p>
    <w:p>
      <w:pPr>
        <w:keepNext w:val="0"/>
        <w:keepLines w:val="0"/>
        <w:pageBreakBefore w:val="0"/>
        <w:numPr>
          <w:ilvl w:val="0"/>
          <w:numId w:val="0"/>
        </w:numPr>
        <w:tabs>
          <w:tab w:val="left" w:pos="728"/>
        </w:tabs>
        <w:wordWrap/>
        <w:topLinePunct w:val="0"/>
        <w:autoSpaceDE/>
        <w:autoSpaceDN/>
        <w:bidi w:val="0"/>
        <w:ind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keepNext w:val="0"/>
        <w:keepLines w:val="0"/>
        <w:pageBreakBefore w:val="0"/>
        <w:wordWrap/>
        <w:topLinePunct w:val="0"/>
        <w:autoSpaceDE/>
        <w:autoSpaceDN/>
        <w:bidi w:val="0"/>
        <w:ind w:firstLine="420" w:firstLineChars="200"/>
        <w:textAlignment w:val="auto"/>
        <w:rPr>
          <w:rFonts w:ascii="楷体" w:hAnsi="楷体" w:eastAsia="楷体"/>
          <w:b w:val="0"/>
          <w:bCs w:val="0"/>
          <w:sz w:val="21"/>
          <w:szCs w:val="21"/>
          <w:highlight w:val="none"/>
        </w:rPr>
      </w:pPr>
      <w:r>
        <w:rPr>
          <w:rFonts w:ascii="楷体" w:hAnsi="楷体" w:eastAsia="楷体"/>
          <w:b w:val="0"/>
          <w:bCs w:val="0"/>
          <w:sz w:val="21"/>
          <w:szCs w:val="21"/>
          <w:highlight w:val="none"/>
        </w:rPr>
        <w:t>2.</w:t>
      </w:r>
      <w:r>
        <w:rPr>
          <w:rFonts w:hint="eastAsia" w:ascii="楷体" w:hAnsi="楷体" w:eastAsia="楷体"/>
          <w:b w:val="0"/>
          <w:bCs w:val="0"/>
          <w:sz w:val="21"/>
          <w:szCs w:val="21"/>
          <w:highlight w:val="none"/>
        </w:rPr>
        <w:t>除以下情形外，管理人不得暂停接受投资者的赎回申请或延缓支付赎回款项：</w:t>
      </w:r>
    </w:p>
    <w:p>
      <w:pPr>
        <w:keepNext w:val="0"/>
        <w:keepLines w:val="0"/>
        <w:pageBreakBefore w:val="0"/>
        <w:numPr>
          <w:ilvl w:val="0"/>
          <w:numId w:val="0"/>
        </w:numPr>
        <w:tabs>
          <w:tab w:val="left" w:pos="728"/>
        </w:tabs>
        <w:wordWrap/>
        <w:topLinePunct w:val="0"/>
        <w:autoSpaceDE/>
        <w:autoSpaceDN/>
        <w:bidi w:val="0"/>
        <w:ind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（1）不可抗力的原因导致管理人不能支付赎回款项</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（2）触发巨额赎回条款</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（3）发生《理财产品说明书》约定的暂停估值的情形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（4）当接受某笔或某些赎回申请可能对存量理财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5</w:t>
      </w:r>
      <w:r>
        <w:rPr>
          <w:rFonts w:hint="eastAsia" w:ascii="楷体" w:hAnsi="楷体" w:eastAsia="楷体" w:cs="Calibri"/>
          <w:sz w:val="21"/>
          <w:szCs w:val="21"/>
          <w:highlight w:val="none"/>
        </w:rPr>
        <w:t>）法律、法规规定认定的其他情形。</w:t>
      </w:r>
    </w:p>
    <w:p>
      <w:pPr>
        <w:keepNext w:val="0"/>
        <w:keepLines w:val="0"/>
        <w:pageBreakBefore w:val="0"/>
        <w:numPr>
          <w:ilvl w:val="0"/>
          <w:numId w:val="0"/>
        </w:numPr>
        <w:tabs>
          <w:tab w:val="left" w:pos="728"/>
        </w:tabs>
        <w:wordWrap/>
        <w:topLinePunct w:val="0"/>
        <w:autoSpaceDE/>
        <w:autoSpaceDN/>
        <w:bidi w:val="0"/>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若管理人决定</w:t>
      </w:r>
      <w:r>
        <w:rPr>
          <w:rFonts w:hint="eastAsia" w:ascii="楷体" w:hAnsi="楷体" w:eastAsia="楷体"/>
          <w:sz w:val="21"/>
          <w:szCs w:val="21"/>
          <w:highlight w:val="none"/>
        </w:rPr>
        <w:t>暂停接受投资者的赎回申请或延缓支付赎回款项</w:t>
      </w:r>
      <w:r>
        <w:rPr>
          <w:rFonts w:hint="eastAsia" w:ascii="楷体" w:hAnsi="楷体" w:eastAsia="楷体" w:cs="Calibri"/>
          <w:sz w:val="21"/>
          <w:szCs w:val="21"/>
          <w:highlight w:val="none"/>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highlight w:val="none"/>
        </w:rPr>
        <w:t>暂停接受投资者的赎回申请或延缓支付赎回款项的情况消除后</w:t>
      </w:r>
      <w:r>
        <w:rPr>
          <w:rFonts w:hint="eastAsia" w:ascii="楷体" w:hAnsi="楷体" w:eastAsia="楷体" w:cs="Calibri"/>
          <w:sz w:val="21"/>
          <w:szCs w:val="21"/>
          <w:highlight w:val="none"/>
        </w:rPr>
        <w:t>，管理人将及时恢复</w:t>
      </w:r>
      <w:r>
        <w:rPr>
          <w:rFonts w:hint="eastAsia" w:ascii="楷体" w:hAnsi="楷体" w:eastAsia="楷体" w:cs="Calibri"/>
          <w:sz w:val="21"/>
          <w:szCs w:val="21"/>
          <w:highlight w:val="none"/>
          <w:lang w:val="en-US" w:eastAsia="zh-CN"/>
        </w:rPr>
        <w:t>赎回</w:t>
      </w:r>
      <w:r>
        <w:rPr>
          <w:rFonts w:hint="eastAsia" w:ascii="楷体" w:hAnsi="楷体" w:eastAsia="楷体" w:cs="Calibri"/>
          <w:sz w:val="21"/>
          <w:szCs w:val="21"/>
          <w:highlight w:val="none"/>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0"/>
        <w:rPr>
          <w:rFonts w:hint="eastAsia" w:ascii="楷体" w:hAnsi="楷体" w:eastAsia="楷体" w:cs="Times New Roman"/>
          <w:b/>
          <w:sz w:val="21"/>
          <w:szCs w:val="21"/>
          <w:highlight w:val="none"/>
        </w:rPr>
      </w:pPr>
      <w:r>
        <w:rPr>
          <w:rFonts w:hint="eastAsia" w:ascii="楷体" w:hAnsi="楷体" w:eastAsia="楷体" w:cs="Times New Roman"/>
          <w:b/>
          <w:sz w:val="21"/>
          <w:szCs w:val="21"/>
          <w:highlight w:val="none"/>
        </w:rPr>
        <w:t>产品终止</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highlight w:val="none"/>
        </w:rPr>
      </w:pPr>
      <w:r>
        <w:rPr>
          <w:rFonts w:hint="eastAsia" w:ascii="楷体" w:hAnsi="楷体" w:eastAsia="楷体" w:cs="楷体"/>
          <w:b w:val="0"/>
          <w:bCs w:val="0"/>
          <w:color w:val="auto"/>
          <w:sz w:val="21"/>
          <w:szCs w:val="21"/>
          <w:highlight w:val="none"/>
        </w:rPr>
        <w:t>提前终止</w:t>
      </w:r>
    </w:p>
    <w:p>
      <w:pPr>
        <w:keepNext w:val="0"/>
        <w:keepLines w:val="0"/>
        <w:pageBreakBefore w:val="0"/>
        <w:numPr>
          <w:ilvl w:val="0"/>
          <w:numId w:val="0"/>
        </w:numPr>
        <w:wordWrap/>
        <w:topLinePunct w:val="0"/>
        <w:autoSpaceDE/>
        <w:autoSpaceDN/>
        <w:bidi w:val="0"/>
        <w:ind w:left="0" w:firstLine="420" w:firstLineChars="200"/>
        <w:textAlignment w:val="auto"/>
        <w:rPr>
          <w:rFonts w:hint="eastAsia" w:ascii="楷体" w:hAnsi="楷体" w:eastAsia="楷体"/>
          <w:b w:val="0"/>
          <w:bCs w:val="0"/>
          <w:color w:val="auto"/>
          <w:sz w:val="21"/>
          <w:szCs w:val="21"/>
          <w:highlight w:val="none"/>
        </w:rPr>
      </w:pPr>
      <w:r>
        <w:rPr>
          <w:rFonts w:hint="eastAsia" w:ascii="楷体" w:hAnsi="楷体" w:eastAsia="楷体" w:cs="Calibri"/>
          <w:b w:val="0"/>
          <w:bCs w:val="0"/>
          <w:color w:val="auto"/>
          <w:sz w:val="21"/>
          <w:szCs w:val="21"/>
          <w:highlight w:val="none"/>
        </w:rPr>
        <w:t>在理财产品投资运作期间内，投资者无权要求提前终止该理财产品。在理财产品投资运作期间内，</w:t>
      </w:r>
      <w:r>
        <w:rPr>
          <w:rFonts w:hint="eastAsia" w:ascii="楷体" w:hAnsi="楷体" w:eastAsia="楷体" w:cs="Calibri"/>
          <w:b w:val="0"/>
          <w:bCs w:val="0"/>
          <w:color w:val="auto"/>
          <w:sz w:val="21"/>
          <w:szCs w:val="21"/>
          <w:highlight w:val="none"/>
          <w:lang w:val="en-US" w:eastAsia="zh-CN"/>
        </w:rPr>
        <w:t>包括但不限于</w:t>
      </w:r>
      <w:r>
        <w:rPr>
          <w:rFonts w:hint="eastAsia" w:ascii="楷体" w:hAnsi="楷体" w:eastAsia="楷体" w:cs="Calibri"/>
          <w:b w:val="0"/>
          <w:bCs w:val="0"/>
          <w:color w:val="auto"/>
          <w:sz w:val="21"/>
          <w:szCs w:val="21"/>
          <w:highlight w:val="none"/>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highlight w:val="none"/>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明确产品终止日</w:t>
      </w:r>
      <w:r>
        <w:rPr>
          <w:rFonts w:hint="eastAsia" w:ascii="楷体" w:hAnsi="楷体" w:eastAsia="楷体"/>
          <w:b w:val="0"/>
          <w:bCs w:val="0"/>
          <w:color w:val="auto"/>
          <w:sz w:val="21"/>
          <w:szCs w:val="21"/>
          <w:highlight w:val="none"/>
        </w:rPr>
        <w:t>。</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正常终止</w:t>
      </w:r>
    </w:p>
    <w:p>
      <w:pPr>
        <w:keepNext w:val="0"/>
        <w:keepLines w:val="0"/>
        <w:pageBreakBefore w:val="0"/>
        <w:wordWrap/>
        <w:topLinePunct w:val="0"/>
        <w:autoSpaceDE/>
        <w:autoSpaceDN/>
        <w:bidi w:val="0"/>
        <w:ind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投资者持有本理财产品至产品到期日，投资者的投资本金和收益（如有）将在产品到期后一次性支付。</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延期</w:t>
      </w:r>
      <w:r>
        <w:rPr>
          <w:rFonts w:hint="eastAsia" w:ascii="楷体" w:hAnsi="楷体" w:eastAsia="楷体" w:cs="Calibri"/>
          <w:b w:val="0"/>
          <w:bCs w:val="0"/>
          <w:color w:val="auto"/>
          <w:sz w:val="21"/>
          <w:szCs w:val="21"/>
          <w:highlight w:val="none"/>
          <w:lang w:val="en-US" w:eastAsia="zh-CN"/>
        </w:rPr>
        <w:t>终止</w:t>
      </w:r>
    </w:p>
    <w:p>
      <w:pPr>
        <w:keepNext w:val="0"/>
        <w:keepLines w:val="0"/>
        <w:pageBreakBefore w:val="0"/>
        <w:wordWrap/>
        <w:topLinePunct w:val="0"/>
        <w:autoSpaceDE/>
        <w:autoSpaceDN/>
        <w:bidi w:val="0"/>
        <w:ind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投资者可得资金计算</w:t>
      </w:r>
    </w:p>
    <w:p>
      <w:pPr>
        <w:keepNext w:val="0"/>
        <w:keepLines w:val="0"/>
        <w:pageBreakBefore w:val="0"/>
        <w:wordWrap/>
        <w:topLinePunct w:val="0"/>
        <w:autoSpaceDE/>
        <w:autoSpaceDN/>
        <w:bidi w:val="0"/>
        <w:ind w:firstLine="420" w:firstLineChars="200"/>
        <w:textAlignment w:val="auto"/>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投资者可得资金=投资者持有份额×产品到期</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终止）</w:t>
      </w:r>
      <w:r>
        <w:rPr>
          <w:rFonts w:hint="eastAsia" w:ascii="楷体" w:hAnsi="楷体" w:eastAsia="楷体"/>
          <w:b w:val="0"/>
          <w:bCs w:val="0"/>
          <w:color w:val="auto"/>
          <w:sz w:val="21"/>
          <w:szCs w:val="21"/>
          <w:highlight w:val="none"/>
        </w:rPr>
        <w:t>时单位净值</w:t>
      </w:r>
      <w:r>
        <w:rPr>
          <w:rFonts w:hint="eastAsia" w:ascii="楷体" w:hAnsi="楷体" w:eastAsia="楷体"/>
          <w:b w:val="0"/>
          <w:bCs w:val="0"/>
          <w:color w:val="auto"/>
          <w:sz w:val="21"/>
          <w:szCs w:val="21"/>
          <w:highlight w:val="none"/>
          <w:lang w:val="en-US" w:eastAsia="zh-CN"/>
        </w:rPr>
        <w:t>-超额业绩报酬（如有）</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rPr>
        <w:t>投资者可得资金以四舍五入的方法保留到小数点后两位。</w:t>
      </w:r>
    </w:p>
    <w:p>
      <w:pPr>
        <w:keepNext w:val="0"/>
        <w:keepLines w:val="0"/>
        <w:pageBreakBefore w:val="0"/>
        <w:widowControl w:val="0"/>
        <w:numPr>
          <w:ilvl w:val="0"/>
          <w:numId w:val="16"/>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终止</w:t>
      </w:r>
      <w:r>
        <w:rPr>
          <w:rFonts w:hint="eastAsia" w:ascii="楷体" w:hAnsi="楷体" w:eastAsia="楷体" w:cs="Calibri"/>
          <w:b w:val="0"/>
          <w:bCs w:val="0"/>
          <w:color w:val="auto"/>
          <w:sz w:val="21"/>
          <w:szCs w:val="21"/>
          <w:highlight w:val="none"/>
        </w:rPr>
        <w:t>清算</w:t>
      </w:r>
    </w:p>
    <w:p>
      <w:pPr>
        <w:keepNext w:val="0"/>
        <w:keepLines w:val="0"/>
        <w:pageBreakBefore w:val="0"/>
        <w:widowControl w:val="0"/>
        <w:numPr>
          <w:ilvl w:val="0"/>
          <w:numId w:val="0"/>
        </w:numPr>
        <w:tabs>
          <w:tab w:val="left" w:pos="1092"/>
        </w:tabs>
        <w:wordWrap/>
        <w:topLinePunct w:val="0"/>
        <w:autoSpaceDE/>
        <w:autoSpaceDN/>
        <w:bidi w:val="0"/>
        <w:ind w:firstLine="420" w:firstLineChars="200"/>
        <w:jc w:val="both"/>
        <w:textAlignment w:val="auto"/>
        <w:rPr>
          <w:rFonts w:hint="eastAsia" w:ascii="楷体" w:hAnsi="楷体" w:eastAsia="楷体" w:cs="Calibri"/>
          <w:sz w:val="24"/>
          <w:szCs w:val="24"/>
          <w:highlight w:val="none"/>
        </w:rPr>
      </w:pPr>
      <w:r>
        <w:rPr>
          <w:rFonts w:hint="eastAsia" w:ascii="楷体" w:hAnsi="楷体" w:eastAsia="楷体" w:cs="Calibri"/>
          <w:color w:val="auto"/>
          <w:sz w:val="21"/>
          <w:szCs w:val="21"/>
          <w:highlight w:val="none"/>
        </w:rPr>
        <w:t>投资者的投资本金和收益（如有）将于产品到期日</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产品终止日）</w:t>
      </w:r>
      <w:r>
        <w:rPr>
          <w:rFonts w:hint="eastAsia" w:ascii="楷体" w:hAnsi="楷体" w:eastAsia="楷体" w:cs="Calibri"/>
          <w:color w:val="auto"/>
          <w:sz w:val="21"/>
          <w:szCs w:val="21"/>
          <w:highlight w:val="none"/>
        </w:rPr>
        <w:t>后5个工作日以内划至投资者指定账户，如遇</w:t>
      </w:r>
      <w:r>
        <w:rPr>
          <w:rFonts w:hint="eastAsia" w:ascii="楷体" w:hAnsi="楷体" w:eastAsia="楷体" w:cs="Calibri"/>
          <w:color w:val="auto"/>
          <w:sz w:val="21"/>
          <w:szCs w:val="21"/>
          <w:highlight w:val="none"/>
          <w:lang w:val="en-US" w:eastAsia="zh-CN"/>
        </w:rPr>
        <w:t>非工作日</w:t>
      </w:r>
      <w:r>
        <w:rPr>
          <w:rFonts w:hint="eastAsia" w:ascii="楷体" w:hAnsi="楷体" w:eastAsia="楷体" w:cs="Calibri"/>
          <w:color w:val="auto"/>
          <w:sz w:val="21"/>
          <w:szCs w:val="21"/>
          <w:highlight w:val="none"/>
        </w:rPr>
        <w:t>则相应顺延。</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0"/>
        <w:rPr>
          <w:rFonts w:hint="eastAsia" w:ascii="楷体" w:hAnsi="楷体" w:eastAsia="楷体" w:cs="Times New Roman"/>
          <w:b/>
          <w:sz w:val="21"/>
          <w:szCs w:val="21"/>
          <w:highlight w:val="none"/>
          <w:lang w:val="en-US" w:eastAsia="zh-CN"/>
        </w:rPr>
      </w:pPr>
      <w:r>
        <w:rPr>
          <w:rFonts w:hint="eastAsia" w:ascii="楷体" w:hAnsi="楷体" w:eastAsia="楷体" w:cs="Times New Roman"/>
          <w:b/>
          <w:sz w:val="21"/>
          <w:szCs w:val="21"/>
          <w:highlight w:val="none"/>
          <w:lang w:val="en-US" w:eastAsia="zh-CN"/>
        </w:rPr>
        <w:t>情景示例</w:t>
      </w:r>
    </w:p>
    <w:p>
      <w:pPr>
        <w:keepNext w:val="0"/>
        <w:keepLines w:val="0"/>
        <w:pageBreakBefore w:val="0"/>
        <w:tabs>
          <w:tab w:val="left" w:pos="993"/>
        </w:tabs>
        <w:wordWrap/>
        <w:topLinePunct w:val="0"/>
        <w:autoSpaceDE/>
        <w:autoSpaceDN/>
        <w:bidi w:val="0"/>
        <w:ind w:left="480"/>
        <w:textAlignment w:val="auto"/>
        <w:rPr>
          <w:rFonts w:hint="eastAsia" w:ascii="楷体" w:hAnsi="楷体" w:eastAsia="楷体" w:cs="Calibri"/>
          <w:b/>
          <w:sz w:val="21"/>
          <w:szCs w:val="21"/>
          <w:highlight w:val="none"/>
          <w:u w:val="single"/>
        </w:rPr>
      </w:pPr>
      <w:r>
        <w:rPr>
          <w:rFonts w:hint="eastAsia" w:ascii="楷体" w:hAnsi="楷体" w:eastAsia="楷体" w:cs="Calibri"/>
          <w:b/>
          <w:sz w:val="21"/>
          <w:szCs w:val="21"/>
          <w:highlight w:val="none"/>
          <w:u w:val="single"/>
        </w:rPr>
        <w:t>以下示例均为假设情况，不代表本产品实际投资业绩。</w:t>
      </w:r>
    </w:p>
    <w:p>
      <w:pPr>
        <w:keepNext w:val="0"/>
        <w:keepLines w:val="0"/>
        <w:pageBreakBefore w:val="0"/>
        <w:widowControl w:val="0"/>
        <w:numPr>
          <w:ilvl w:val="0"/>
          <w:numId w:val="17"/>
        </w:numPr>
        <w:tabs>
          <w:tab w:val="left" w:pos="728"/>
        </w:tabs>
        <w:kinsoku/>
        <w:wordWrap/>
        <w:overflowPunct/>
        <w:topLinePunct w:val="0"/>
        <w:autoSpaceDE/>
        <w:autoSpaceDN/>
        <w:bidi w:val="0"/>
        <w:adjustRightInd/>
        <w:snapToGrid/>
        <w:ind w:left="0" w:leftChars="0" w:firstLine="420" w:firstLineChars="200"/>
        <w:textAlignment w:val="auto"/>
        <w:outlineLvl w:val="2"/>
        <w:rPr>
          <w:rFonts w:hint="eastAsia" w:ascii="楷体" w:hAnsi="楷体" w:eastAsia="楷体" w:cs="Calibri"/>
          <w:sz w:val="21"/>
          <w:szCs w:val="21"/>
          <w:highlight w:val="none"/>
        </w:rPr>
      </w:pPr>
      <w:r>
        <w:rPr>
          <w:rFonts w:hint="eastAsia" w:ascii="楷体" w:hAnsi="楷体" w:eastAsia="楷体" w:cs="Calibri"/>
          <w:sz w:val="21"/>
          <w:szCs w:val="21"/>
          <w:highlight w:val="none"/>
        </w:rPr>
        <w:t>情景一</w:t>
      </w:r>
    </w:p>
    <w:p>
      <w:pPr>
        <w:keepNext w:val="0"/>
        <w:keepLines w:val="0"/>
        <w:pageBreakBefore w:val="0"/>
        <w:wordWrap/>
        <w:topLinePunct w:val="0"/>
        <w:autoSpaceDE/>
        <w:autoSpaceDN/>
        <w:bidi w:val="0"/>
        <w:ind w:firstLine="420" w:firstLineChars="200"/>
        <w:textAlignment w:val="auto"/>
        <w:rPr>
          <w:rFonts w:hint="eastAsia" w:ascii="楷体" w:hAnsi="楷体" w:eastAsia="楷体"/>
          <w:sz w:val="21"/>
          <w:szCs w:val="21"/>
          <w:highlight w:val="none"/>
          <w:lang w:val="en-US" w:eastAsia="zh-CN"/>
        </w:rPr>
      </w:pPr>
      <w:r>
        <w:rPr>
          <w:rFonts w:ascii="楷体" w:hAnsi="楷体" w:eastAsia="楷体"/>
          <w:sz w:val="21"/>
          <w:szCs w:val="21"/>
          <w:highlight w:val="none"/>
        </w:rPr>
        <w:t>假定投资者</w:t>
      </w:r>
      <w:r>
        <w:rPr>
          <w:rFonts w:hint="eastAsia" w:ascii="楷体" w:hAnsi="楷体" w:eastAsia="楷体"/>
          <w:sz w:val="21"/>
          <w:szCs w:val="21"/>
          <w:highlight w:val="none"/>
        </w:rPr>
        <w:t>申购1</w:t>
      </w:r>
      <w:r>
        <w:rPr>
          <w:rFonts w:ascii="楷体" w:hAnsi="楷体" w:eastAsia="楷体"/>
          <w:sz w:val="21"/>
          <w:szCs w:val="21"/>
          <w:highlight w:val="none"/>
        </w:rPr>
        <w:t>0000元</w:t>
      </w:r>
      <w:r>
        <w:rPr>
          <w:rFonts w:hint="eastAsia" w:ascii="楷体" w:hAnsi="楷体" w:eastAsia="楷体"/>
          <w:sz w:val="21"/>
          <w:szCs w:val="21"/>
          <w:highlight w:val="none"/>
          <w:lang w:val="en-US" w:eastAsia="zh-CN"/>
        </w:rPr>
        <w:t>本产品</w:t>
      </w:r>
      <w:r>
        <w:rPr>
          <w:rFonts w:ascii="楷体" w:hAnsi="楷体" w:eastAsia="楷体"/>
          <w:sz w:val="21"/>
          <w:szCs w:val="21"/>
          <w:highlight w:val="none"/>
        </w:rPr>
        <w:t>，</w:t>
      </w:r>
      <w:r>
        <w:rPr>
          <w:rFonts w:hint="eastAsia" w:ascii="楷体" w:hAnsi="楷体" w:eastAsia="楷体"/>
          <w:sz w:val="21"/>
          <w:szCs w:val="21"/>
          <w:highlight w:val="none"/>
        </w:rPr>
        <w:t>对应</w:t>
      </w:r>
      <w:r>
        <w:rPr>
          <w:rFonts w:hint="eastAsia" w:ascii="楷体" w:hAnsi="楷体" w:eastAsia="楷体"/>
          <w:sz w:val="21"/>
          <w:szCs w:val="21"/>
          <w:highlight w:val="none"/>
          <w:lang w:val="en-US" w:eastAsia="zh-CN"/>
        </w:rPr>
        <w:t>开放日</w:t>
      </w:r>
      <w:r>
        <w:rPr>
          <w:rFonts w:hint="eastAsia" w:ascii="楷体" w:hAnsi="楷体" w:eastAsia="楷体"/>
          <w:sz w:val="21"/>
          <w:szCs w:val="21"/>
          <w:highlight w:val="none"/>
        </w:rPr>
        <w:t>产品单位净值</w:t>
      </w:r>
      <w:r>
        <w:rPr>
          <w:rFonts w:ascii="楷体" w:hAnsi="楷体" w:eastAsia="楷体"/>
          <w:sz w:val="21"/>
          <w:szCs w:val="21"/>
          <w:highlight w:val="none"/>
        </w:rPr>
        <w:t>为1.</w:t>
      </w:r>
      <w:r>
        <w:rPr>
          <w:rFonts w:hint="eastAsia" w:ascii="楷体" w:hAnsi="楷体" w:eastAsia="楷体"/>
          <w:sz w:val="21"/>
          <w:szCs w:val="21"/>
          <w:highlight w:val="none"/>
        </w:rPr>
        <w:t>08</w:t>
      </w:r>
      <w:r>
        <w:rPr>
          <w:rFonts w:ascii="楷体" w:hAnsi="楷体" w:eastAsia="楷体"/>
          <w:sz w:val="21"/>
          <w:szCs w:val="21"/>
          <w:highlight w:val="none"/>
        </w:rPr>
        <w:t>0334，</w:t>
      </w:r>
      <w:r>
        <w:rPr>
          <w:rFonts w:hint="eastAsia" w:ascii="楷体" w:hAnsi="楷体" w:eastAsia="楷体"/>
          <w:sz w:val="21"/>
          <w:szCs w:val="21"/>
          <w:highlight w:val="none"/>
        </w:rPr>
        <w:t>投资者申购确认份额为9256.40份</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持有超过最低持有天数后某个开放日</w:t>
      </w:r>
      <w:r>
        <w:rPr>
          <w:rFonts w:hint="eastAsia" w:ascii="楷体" w:hAnsi="楷体" w:eastAsia="楷体"/>
          <w:sz w:val="21"/>
          <w:szCs w:val="21"/>
          <w:highlight w:val="none"/>
        </w:rPr>
        <w:t>投资者提交赎回申请，赎回其所持有</w:t>
      </w:r>
      <w:r>
        <w:rPr>
          <w:rFonts w:hint="eastAsia" w:ascii="楷体" w:hAnsi="楷体" w:eastAsia="楷体"/>
          <w:sz w:val="21"/>
          <w:szCs w:val="21"/>
          <w:highlight w:val="none"/>
          <w:lang w:val="en-US" w:eastAsia="zh-CN"/>
        </w:rPr>
        <w:t>的</w:t>
      </w:r>
      <w:r>
        <w:rPr>
          <w:rFonts w:hint="eastAsia" w:ascii="楷体" w:hAnsi="楷体" w:eastAsia="楷体"/>
          <w:sz w:val="21"/>
          <w:szCs w:val="21"/>
          <w:highlight w:val="none"/>
        </w:rPr>
        <w:t>本产品全部份额，对应</w:t>
      </w:r>
      <w:r>
        <w:rPr>
          <w:rFonts w:hint="eastAsia" w:ascii="楷体" w:hAnsi="楷体" w:eastAsia="楷体"/>
          <w:sz w:val="21"/>
          <w:szCs w:val="21"/>
          <w:highlight w:val="none"/>
          <w:lang w:val="en-US" w:eastAsia="zh-CN"/>
        </w:rPr>
        <w:t>开放日</w:t>
      </w:r>
      <w:r>
        <w:rPr>
          <w:rFonts w:hint="eastAsia" w:ascii="楷体" w:hAnsi="楷体" w:eastAsia="楷体"/>
          <w:sz w:val="21"/>
          <w:szCs w:val="21"/>
          <w:highlight w:val="none"/>
        </w:rPr>
        <w:t>产品单位净值为1.090221</w:t>
      </w:r>
      <w:r>
        <w:rPr>
          <w:rFonts w:hint="eastAsia" w:ascii="楷体" w:hAnsi="楷体" w:eastAsia="楷体"/>
          <w:sz w:val="21"/>
          <w:szCs w:val="21"/>
          <w:highlight w:val="none"/>
          <w:lang w:eastAsia="zh-CN"/>
        </w:rPr>
        <w:t>。</w:t>
      </w:r>
    </w:p>
    <w:p>
      <w:pPr>
        <w:keepNext w:val="0"/>
        <w:keepLines w:val="0"/>
        <w:pageBreakBefore w:val="0"/>
        <w:wordWrap/>
        <w:topLinePunct w:val="0"/>
        <w:autoSpaceDE/>
        <w:autoSpaceDN/>
        <w:bidi w:val="0"/>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投资者申购确认份额=1</w:t>
      </w:r>
      <w:r>
        <w:rPr>
          <w:rFonts w:ascii="楷体" w:hAnsi="楷体" w:eastAsia="楷体"/>
          <w:sz w:val="21"/>
          <w:szCs w:val="21"/>
          <w:highlight w:val="none"/>
        </w:rPr>
        <w:t>0000</w:t>
      </w:r>
      <w:r>
        <w:rPr>
          <w:rFonts w:hint="eastAsia" w:ascii="楷体" w:hAnsi="楷体" w:eastAsia="楷体"/>
          <w:sz w:val="21"/>
          <w:szCs w:val="21"/>
          <w:highlight w:val="none"/>
        </w:rPr>
        <w:t>/</w:t>
      </w:r>
      <w:r>
        <w:rPr>
          <w:rFonts w:ascii="楷体" w:hAnsi="楷体" w:eastAsia="楷体"/>
          <w:sz w:val="21"/>
          <w:szCs w:val="21"/>
          <w:highlight w:val="none"/>
        </w:rPr>
        <w:t>1.</w:t>
      </w:r>
      <w:r>
        <w:rPr>
          <w:rFonts w:hint="eastAsia" w:ascii="楷体" w:hAnsi="楷体" w:eastAsia="楷体"/>
          <w:sz w:val="21"/>
          <w:szCs w:val="21"/>
          <w:highlight w:val="none"/>
        </w:rPr>
        <w:t>08</w:t>
      </w:r>
      <w:r>
        <w:rPr>
          <w:rFonts w:ascii="楷体" w:hAnsi="楷体" w:eastAsia="楷体"/>
          <w:sz w:val="21"/>
          <w:szCs w:val="21"/>
          <w:highlight w:val="none"/>
        </w:rPr>
        <w:t>0334</w:t>
      </w:r>
      <w:r>
        <w:rPr>
          <w:rFonts w:hint="eastAsia" w:ascii="楷体" w:hAnsi="楷体" w:eastAsia="楷体"/>
          <w:sz w:val="21"/>
          <w:szCs w:val="21"/>
          <w:highlight w:val="none"/>
        </w:rPr>
        <w:t>=9256.40份</w:t>
      </w:r>
    </w:p>
    <w:p>
      <w:pPr>
        <w:keepNext w:val="0"/>
        <w:keepLines w:val="0"/>
        <w:pageBreakBefore w:val="0"/>
        <w:wordWrap/>
        <w:topLinePunct w:val="0"/>
        <w:autoSpaceDE/>
        <w:autoSpaceDN/>
        <w:bidi w:val="0"/>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投资者赎回兑付金额=9256.40</w:t>
      </w:r>
      <w:r>
        <w:rPr>
          <w:rFonts w:ascii="楷体" w:hAnsi="楷体" w:eastAsia="楷体"/>
          <w:sz w:val="21"/>
          <w:szCs w:val="21"/>
          <w:highlight w:val="none"/>
        </w:rPr>
        <w:t>×</w:t>
      </w:r>
      <w:r>
        <w:rPr>
          <w:rFonts w:hint="eastAsia" w:ascii="楷体" w:hAnsi="楷体" w:eastAsia="楷体"/>
          <w:sz w:val="21"/>
          <w:szCs w:val="21"/>
          <w:highlight w:val="none"/>
        </w:rPr>
        <w:t>1.090221=10091.52元</w:t>
      </w:r>
    </w:p>
    <w:p>
      <w:pPr>
        <w:keepNext w:val="0"/>
        <w:keepLines w:val="0"/>
        <w:pageBreakBefore w:val="0"/>
        <w:wordWrap/>
        <w:topLinePunct w:val="0"/>
        <w:autoSpaceDE/>
        <w:autoSpaceDN/>
        <w:bidi w:val="0"/>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投资者</w:t>
      </w:r>
      <w:r>
        <w:rPr>
          <w:rFonts w:ascii="楷体" w:hAnsi="楷体" w:eastAsia="楷体"/>
          <w:sz w:val="21"/>
          <w:szCs w:val="21"/>
          <w:highlight w:val="none"/>
        </w:rPr>
        <w:t>投资收益金额=</w:t>
      </w:r>
      <w:r>
        <w:rPr>
          <w:rFonts w:hint="eastAsia" w:ascii="楷体" w:hAnsi="楷体" w:eastAsia="楷体"/>
          <w:sz w:val="21"/>
          <w:szCs w:val="21"/>
          <w:highlight w:val="none"/>
        </w:rPr>
        <w:t>10091.52</w:t>
      </w:r>
      <w:r>
        <w:rPr>
          <w:rFonts w:ascii="楷体" w:hAnsi="楷体" w:eastAsia="楷体"/>
          <w:sz w:val="21"/>
          <w:szCs w:val="21"/>
          <w:highlight w:val="none"/>
        </w:rPr>
        <w:t>-</w:t>
      </w:r>
      <w:r>
        <w:rPr>
          <w:rFonts w:hint="eastAsia" w:ascii="楷体" w:hAnsi="楷体" w:eastAsia="楷体"/>
          <w:sz w:val="21"/>
          <w:szCs w:val="21"/>
          <w:highlight w:val="none"/>
        </w:rPr>
        <w:t>10000=91.52元</w:t>
      </w:r>
    </w:p>
    <w:p>
      <w:pPr>
        <w:keepNext w:val="0"/>
        <w:keepLines w:val="0"/>
        <w:pageBreakBefore w:val="0"/>
        <w:widowControl w:val="0"/>
        <w:numPr>
          <w:ilvl w:val="0"/>
          <w:numId w:val="17"/>
        </w:numPr>
        <w:tabs>
          <w:tab w:val="left" w:pos="728"/>
        </w:tabs>
        <w:kinsoku/>
        <w:wordWrap/>
        <w:overflowPunct/>
        <w:topLinePunct w:val="0"/>
        <w:autoSpaceDE/>
        <w:autoSpaceDN/>
        <w:bidi w:val="0"/>
        <w:adjustRightInd/>
        <w:snapToGrid/>
        <w:ind w:left="0" w:leftChars="0" w:firstLine="420" w:firstLineChars="200"/>
        <w:textAlignment w:val="auto"/>
        <w:outlineLvl w:val="2"/>
        <w:rPr>
          <w:rFonts w:hint="eastAsia" w:ascii="楷体" w:hAnsi="楷体" w:eastAsia="楷体" w:cs="Calibri"/>
          <w:sz w:val="21"/>
          <w:szCs w:val="21"/>
          <w:highlight w:val="none"/>
        </w:rPr>
      </w:pPr>
      <w:r>
        <w:rPr>
          <w:rFonts w:hint="eastAsia" w:ascii="楷体" w:hAnsi="楷体" w:eastAsia="楷体" w:cs="Calibri"/>
          <w:sz w:val="21"/>
          <w:szCs w:val="21"/>
          <w:highlight w:val="none"/>
        </w:rPr>
        <w:t>情景二</w:t>
      </w:r>
    </w:p>
    <w:p>
      <w:pPr>
        <w:keepNext w:val="0"/>
        <w:keepLines w:val="0"/>
        <w:pageBreakBefore w:val="0"/>
        <w:wordWrap/>
        <w:topLinePunct w:val="0"/>
        <w:autoSpaceDE/>
        <w:autoSpaceDN/>
        <w:bidi w:val="0"/>
        <w:ind w:firstLine="420" w:firstLineChars="200"/>
        <w:textAlignment w:val="auto"/>
        <w:rPr>
          <w:rFonts w:hint="eastAsia" w:ascii="楷体" w:hAnsi="楷体" w:eastAsia="楷体"/>
          <w:sz w:val="21"/>
          <w:szCs w:val="21"/>
          <w:highlight w:val="none"/>
          <w:lang w:eastAsia="zh-CN"/>
        </w:rPr>
      </w:pPr>
      <w:r>
        <w:rPr>
          <w:rFonts w:hint="eastAsia" w:ascii="楷体" w:hAnsi="楷体" w:eastAsia="楷体"/>
          <w:sz w:val="21"/>
          <w:szCs w:val="21"/>
          <w:highlight w:val="none"/>
        </w:rPr>
        <w:t>假定投资者申购10000元</w:t>
      </w:r>
      <w:r>
        <w:rPr>
          <w:rFonts w:hint="eastAsia" w:ascii="楷体" w:hAnsi="楷体" w:eastAsia="楷体"/>
          <w:sz w:val="21"/>
          <w:szCs w:val="21"/>
          <w:highlight w:val="none"/>
          <w:lang w:val="en-US" w:eastAsia="zh-CN"/>
        </w:rPr>
        <w:t>本产品</w:t>
      </w:r>
      <w:r>
        <w:rPr>
          <w:rFonts w:hint="eastAsia" w:ascii="楷体" w:hAnsi="楷体" w:eastAsia="楷体"/>
          <w:sz w:val="21"/>
          <w:szCs w:val="21"/>
          <w:highlight w:val="none"/>
        </w:rPr>
        <w:t>，对应</w:t>
      </w:r>
      <w:r>
        <w:rPr>
          <w:rFonts w:hint="eastAsia" w:ascii="楷体" w:hAnsi="楷体" w:eastAsia="楷体"/>
          <w:sz w:val="21"/>
          <w:szCs w:val="21"/>
          <w:highlight w:val="none"/>
          <w:lang w:val="en-US" w:eastAsia="zh-CN"/>
        </w:rPr>
        <w:t>开放日</w:t>
      </w:r>
      <w:r>
        <w:rPr>
          <w:rFonts w:hint="eastAsia" w:ascii="楷体" w:hAnsi="楷体" w:eastAsia="楷体"/>
          <w:sz w:val="21"/>
          <w:szCs w:val="21"/>
          <w:highlight w:val="none"/>
        </w:rPr>
        <w:t>产品单位净值为1.080334，投资者申购确认份额为9256.40份</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持有超过最低持有天数后某个开放日</w:t>
      </w:r>
      <w:r>
        <w:rPr>
          <w:rFonts w:hint="eastAsia" w:ascii="楷体" w:hAnsi="楷体" w:eastAsia="楷体"/>
          <w:sz w:val="21"/>
          <w:szCs w:val="21"/>
          <w:highlight w:val="none"/>
        </w:rPr>
        <w:t>投资者提交赎回申请，赎回其所持有</w:t>
      </w:r>
      <w:r>
        <w:rPr>
          <w:rFonts w:hint="eastAsia" w:ascii="楷体" w:hAnsi="楷体" w:eastAsia="楷体"/>
          <w:sz w:val="21"/>
          <w:szCs w:val="21"/>
          <w:highlight w:val="none"/>
          <w:lang w:val="en-US" w:eastAsia="zh-CN"/>
        </w:rPr>
        <w:t>的</w:t>
      </w:r>
      <w:r>
        <w:rPr>
          <w:rFonts w:hint="eastAsia" w:ascii="楷体" w:hAnsi="楷体" w:eastAsia="楷体"/>
          <w:sz w:val="21"/>
          <w:szCs w:val="21"/>
          <w:highlight w:val="none"/>
        </w:rPr>
        <w:t>本产品全部份额，对应</w:t>
      </w:r>
      <w:r>
        <w:rPr>
          <w:rFonts w:hint="eastAsia" w:ascii="楷体" w:hAnsi="楷体" w:eastAsia="楷体"/>
          <w:sz w:val="21"/>
          <w:szCs w:val="21"/>
          <w:highlight w:val="none"/>
          <w:lang w:val="en-US" w:eastAsia="zh-CN"/>
        </w:rPr>
        <w:t>开放日</w:t>
      </w:r>
      <w:r>
        <w:rPr>
          <w:rFonts w:hint="eastAsia" w:ascii="楷体" w:hAnsi="楷体" w:eastAsia="楷体"/>
          <w:sz w:val="21"/>
          <w:szCs w:val="21"/>
          <w:highlight w:val="none"/>
        </w:rPr>
        <w:t>产品单位净值为1.074231</w:t>
      </w:r>
      <w:r>
        <w:rPr>
          <w:rFonts w:hint="eastAsia" w:ascii="楷体" w:hAnsi="楷体" w:eastAsia="楷体"/>
          <w:sz w:val="21"/>
          <w:szCs w:val="21"/>
          <w:highlight w:val="none"/>
          <w:lang w:eastAsia="zh-CN"/>
        </w:rPr>
        <w:t>。</w:t>
      </w:r>
    </w:p>
    <w:p>
      <w:pPr>
        <w:keepNext w:val="0"/>
        <w:keepLines w:val="0"/>
        <w:pageBreakBefore w:val="0"/>
        <w:wordWrap/>
        <w:topLinePunct w:val="0"/>
        <w:autoSpaceDE/>
        <w:autoSpaceDN/>
        <w:bidi w:val="0"/>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投资者申购确认份额=1</w:t>
      </w:r>
      <w:r>
        <w:rPr>
          <w:rFonts w:ascii="楷体" w:hAnsi="楷体" w:eastAsia="楷体"/>
          <w:sz w:val="21"/>
          <w:szCs w:val="21"/>
          <w:highlight w:val="none"/>
        </w:rPr>
        <w:t>0000</w:t>
      </w:r>
      <w:r>
        <w:rPr>
          <w:rFonts w:hint="eastAsia" w:ascii="楷体" w:hAnsi="楷体" w:eastAsia="楷体"/>
          <w:sz w:val="21"/>
          <w:szCs w:val="21"/>
          <w:highlight w:val="none"/>
        </w:rPr>
        <w:t>/</w:t>
      </w:r>
      <w:r>
        <w:rPr>
          <w:rFonts w:ascii="楷体" w:hAnsi="楷体" w:eastAsia="楷体"/>
          <w:sz w:val="21"/>
          <w:szCs w:val="21"/>
          <w:highlight w:val="none"/>
        </w:rPr>
        <w:t>1.</w:t>
      </w:r>
      <w:r>
        <w:rPr>
          <w:rFonts w:hint="eastAsia" w:ascii="楷体" w:hAnsi="楷体" w:eastAsia="楷体"/>
          <w:sz w:val="21"/>
          <w:szCs w:val="21"/>
          <w:highlight w:val="none"/>
        </w:rPr>
        <w:t>08</w:t>
      </w:r>
      <w:r>
        <w:rPr>
          <w:rFonts w:ascii="楷体" w:hAnsi="楷体" w:eastAsia="楷体"/>
          <w:sz w:val="21"/>
          <w:szCs w:val="21"/>
          <w:highlight w:val="none"/>
        </w:rPr>
        <w:t>0334</w:t>
      </w:r>
      <w:r>
        <w:rPr>
          <w:rFonts w:hint="eastAsia" w:ascii="楷体" w:hAnsi="楷体" w:eastAsia="楷体"/>
          <w:sz w:val="21"/>
          <w:szCs w:val="21"/>
          <w:highlight w:val="none"/>
        </w:rPr>
        <w:t>=9256.40份</w:t>
      </w:r>
    </w:p>
    <w:p>
      <w:pPr>
        <w:keepNext w:val="0"/>
        <w:keepLines w:val="0"/>
        <w:pageBreakBefore w:val="0"/>
        <w:wordWrap/>
        <w:topLinePunct w:val="0"/>
        <w:autoSpaceDE/>
        <w:autoSpaceDN/>
        <w:bidi w:val="0"/>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投资者赎回兑付金额=9256.40×1.074231=9943.51元</w:t>
      </w:r>
    </w:p>
    <w:p>
      <w:pPr>
        <w:keepNext w:val="0"/>
        <w:keepLines w:val="0"/>
        <w:pageBreakBefore w:val="0"/>
        <w:wordWrap/>
        <w:topLinePunct w:val="0"/>
        <w:autoSpaceDE/>
        <w:autoSpaceDN/>
        <w:bidi w:val="0"/>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投资者投资收益金额=9943.51-10000=-56.49元</w:t>
      </w:r>
    </w:p>
    <w:p>
      <w:pPr>
        <w:keepNext w:val="0"/>
        <w:keepLines w:val="0"/>
        <w:pageBreakBefore w:val="0"/>
        <w:wordWrap/>
        <w:topLinePunct w:val="0"/>
        <w:autoSpaceDE/>
        <w:autoSpaceDN/>
        <w:bidi w:val="0"/>
        <w:ind w:firstLine="369" w:firstLineChars="176"/>
        <w:textAlignment w:val="auto"/>
        <w:rPr>
          <w:rFonts w:hint="eastAsia" w:ascii="楷体" w:hAnsi="楷体" w:eastAsia="楷体" w:cs="Calibri"/>
          <w:sz w:val="21"/>
          <w:szCs w:val="21"/>
          <w:highlight w:val="none"/>
        </w:rPr>
      </w:pPr>
      <w:r>
        <w:rPr>
          <w:rFonts w:hint="eastAsia" w:ascii="楷体" w:hAnsi="楷体" w:eastAsia="楷体"/>
          <w:sz w:val="21"/>
          <w:szCs w:val="21"/>
          <w:highlight w:val="none"/>
        </w:rPr>
        <w:t>投资者投资本理财产品实际亏损56.49元，</w:t>
      </w:r>
      <w:r>
        <w:rPr>
          <w:rFonts w:hint="eastAsia" w:ascii="楷体" w:hAnsi="楷体" w:eastAsia="楷体"/>
          <w:b/>
          <w:sz w:val="21"/>
          <w:szCs w:val="21"/>
          <w:highlight w:val="none"/>
          <w:u w:val="single"/>
        </w:rPr>
        <w:t>最不利的情形下，投资者可能损失100%本金。</w:t>
      </w:r>
    </w:p>
    <w:p>
      <w:pPr>
        <w:keepNext w:val="0"/>
        <w:keepLines w:val="0"/>
        <w:pageBreakBefore w:val="0"/>
        <w:wordWrap/>
        <w:topLinePunct w:val="0"/>
        <w:autoSpaceDE/>
        <w:autoSpaceDN/>
        <w:bidi w:val="0"/>
        <w:ind w:firstLine="373" w:firstLineChars="177"/>
        <w:textAlignment w:val="auto"/>
        <w:rPr>
          <w:rFonts w:hint="eastAsia" w:ascii="楷体" w:hAnsi="楷体" w:eastAsia="楷体"/>
          <w:sz w:val="21"/>
          <w:szCs w:val="21"/>
          <w:highlight w:val="none"/>
        </w:rPr>
      </w:pPr>
      <w:r>
        <w:rPr>
          <w:rFonts w:hint="eastAsia" w:ascii="楷体" w:hAnsi="楷体" w:eastAsia="楷体"/>
          <w:b/>
          <w:sz w:val="21"/>
          <w:szCs w:val="21"/>
          <w:highlight w:val="none"/>
          <w:u w:val="single"/>
        </w:rPr>
        <w:t>上述情况假设仅用于向投资者示例收益计算方法之用，并不代表管理人对实际投资情况的预期判断，也不代表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0"/>
        <w:rPr>
          <w:rFonts w:hint="eastAsia" w:ascii="楷体" w:hAnsi="楷体" w:eastAsia="楷体" w:cs="Times New Roman"/>
          <w:b/>
          <w:sz w:val="21"/>
          <w:szCs w:val="21"/>
          <w:highlight w:val="none"/>
        </w:rPr>
      </w:pPr>
      <w:r>
        <w:rPr>
          <w:rFonts w:hint="eastAsia" w:ascii="楷体" w:hAnsi="楷体" w:eastAsia="楷体" w:cs="Times New Roman"/>
          <w:b/>
          <w:sz w:val="21"/>
          <w:szCs w:val="21"/>
          <w:highlight w:val="none"/>
        </w:rPr>
        <w:t>产品费用</w:t>
      </w:r>
    </w:p>
    <w:p>
      <w:pPr>
        <w:keepNext w:val="0"/>
        <w:keepLines w:val="0"/>
        <w:pageBreakBefore w:val="0"/>
        <w:numPr>
          <w:ilvl w:val="0"/>
          <w:numId w:val="0"/>
        </w:numPr>
        <w:wordWrap/>
        <w:topLinePunct w:val="0"/>
        <w:autoSpaceDE/>
        <w:autoSpaceDN/>
        <w:bidi w:val="0"/>
        <w:ind w:left="0" w:firstLine="420" w:firstLineChars="200"/>
        <w:textAlignment w:val="auto"/>
        <w:rPr>
          <w:rFonts w:hint="default" w:ascii="楷体" w:hAnsi="楷体" w:eastAsia="楷体" w:cs="Calibri"/>
          <w:color w:val="auto"/>
          <w:sz w:val="21"/>
          <w:szCs w:val="21"/>
          <w:highlight w:val="none"/>
        </w:rPr>
      </w:pPr>
      <w:r>
        <w:rPr>
          <w:rFonts w:hint="eastAsia" w:ascii="楷体" w:hAnsi="楷体" w:eastAsia="楷体"/>
          <w:color w:val="auto"/>
          <w:sz w:val="21"/>
          <w:szCs w:val="21"/>
          <w:highlight w:val="none"/>
        </w:rPr>
        <w:t>本产品费用包括托管费、销售服务费、投资管理费、超额业绩报酬（如有）以及产品运作和清算中产生的其他费用等。</w:t>
      </w:r>
      <w:r>
        <w:rPr>
          <w:rFonts w:hint="eastAsia" w:ascii="楷体" w:hAnsi="楷体" w:eastAsia="楷体" w:cs="Calibri"/>
          <w:color w:val="auto"/>
          <w:sz w:val="21"/>
          <w:szCs w:val="21"/>
          <w:highlight w:val="none"/>
        </w:rPr>
        <w:t>计提方法</w:t>
      </w:r>
      <w:r>
        <w:rPr>
          <w:rFonts w:hint="eastAsia" w:ascii="楷体" w:hAnsi="楷体" w:eastAsia="楷体" w:cs="Calibri"/>
          <w:color w:val="auto"/>
          <w:sz w:val="21"/>
          <w:szCs w:val="21"/>
          <w:highlight w:val="none"/>
          <w:lang w:val="en-US" w:eastAsia="zh-CN"/>
        </w:rPr>
        <w:t>如下:</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r>
        <w:rPr>
          <w:rFonts w:hint="eastAsia" w:ascii="楷体" w:hAnsi="楷体" w:eastAsia="楷体"/>
          <w:sz w:val="21"/>
          <w:szCs w:val="21"/>
          <w:highlight w:val="none"/>
          <w:lang w:eastAsia="zh-CN"/>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r>
        <w:rPr>
          <w:rFonts w:hint="eastAsia" w:ascii="楷体" w:hAnsi="楷体" w:eastAsia="楷体"/>
          <w:sz w:val="21"/>
          <w:szCs w:val="21"/>
          <w:highlight w:val="none"/>
          <w:lang w:eastAsia="zh-CN"/>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r>
        <w:rPr>
          <w:rFonts w:hint="eastAsia" w:ascii="楷体" w:hAnsi="楷体" w:eastAsia="楷体" w:cs="Calibri"/>
          <w:color w:val="auto"/>
          <w:sz w:val="21"/>
          <w:szCs w:val="21"/>
          <w:highlight w:val="none"/>
          <w:lang w:eastAsia="zh-CN"/>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w:t>
      </w:r>
      <w:r>
        <w:rPr>
          <w:rFonts w:hint="eastAsia" w:ascii="楷体" w:hAnsi="楷体" w:eastAsia="楷体" w:cs="Calibri"/>
          <w:color w:val="auto"/>
          <w:sz w:val="21"/>
          <w:szCs w:val="21"/>
          <w:highlight w:val="none"/>
          <w:lang w:val="en-US" w:eastAsia="zh-CN"/>
        </w:rPr>
        <w:t>无。</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highlight w:val="none"/>
        </w:rPr>
      </w:pPr>
      <w:r>
        <w:rPr>
          <w:rFonts w:hint="eastAsia" w:ascii="楷体" w:hAnsi="楷体" w:eastAsia="楷体" w:cs="楷体"/>
          <w:color w:val="auto"/>
          <w:sz w:val="21"/>
          <w:szCs w:val="21"/>
          <w:highlight w:val="none"/>
        </w:rPr>
        <w:t>本产品不收取认购费用、申购费用、赎回费用。</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highlight w:val="none"/>
        </w:rPr>
      </w:pPr>
      <w:r>
        <w:rPr>
          <w:rFonts w:hint="eastAsia" w:ascii="楷体" w:hAnsi="楷体" w:eastAsia="楷体" w:cs="楷体"/>
          <w:color w:val="auto"/>
          <w:sz w:val="21"/>
          <w:szCs w:val="21"/>
          <w:highlight w:val="none"/>
          <w:lang w:val="en-US" w:eastAsia="zh-CN"/>
        </w:rPr>
        <w:t>费用计算</w:t>
      </w:r>
      <w:r>
        <w:rPr>
          <w:rFonts w:hint="eastAsia" w:ascii="楷体" w:hAnsi="楷体" w:eastAsia="楷体" w:cs="楷体"/>
          <w:color w:val="auto"/>
          <w:sz w:val="21"/>
          <w:szCs w:val="21"/>
          <w:highlight w:val="none"/>
        </w:rPr>
        <w:t>四舍五入保留至小数点后两位</w:t>
      </w:r>
      <w:r>
        <w:rPr>
          <w:rFonts w:hint="eastAsia" w:ascii="楷体" w:hAnsi="楷体" w:eastAsia="楷体" w:cs="楷体"/>
          <w:color w:val="auto"/>
          <w:sz w:val="21"/>
          <w:szCs w:val="21"/>
          <w:highlight w:val="none"/>
          <w:lang w:eastAsia="zh-CN"/>
        </w:rPr>
        <w:t>。</w:t>
      </w:r>
    </w:p>
    <w:p>
      <w:pPr>
        <w:keepNext w:val="0"/>
        <w:keepLines w:val="0"/>
        <w:pageBreakBefore w:val="0"/>
        <w:wordWrap/>
        <w:topLinePunct w:val="0"/>
        <w:autoSpaceDE/>
        <w:autoSpaceDN/>
        <w:bidi w:val="0"/>
        <w:ind w:firstLine="420" w:firstLineChars="200"/>
        <w:textAlignment w:val="auto"/>
        <w:rPr>
          <w:rFonts w:hint="eastAsia"/>
          <w:highlight w:val="none"/>
        </w:rPr>
      </w:pPr>
      <w:r>
        <w:rPr>
          <w:rFonts w:hint="eastAsia" w:ascii="楷体" w:hAnsi="楷体" w:eastAsia="楷体" w:cs="楷体"/>
          <w:sz w:val="21"/>
          <w:szCs w:val="21"/>
          <w:highlight w:val="none"/>
        </w:rPr>
        <w:t>产品管理人有权根据市场情况等</w:t>
      </w:r>
      <w:r>
        <w:rPr>
          <w:rFonts w:hint="eastAsia" w:ascii="楷体" w:hAnsi="楷体" w:eastAsia="楷体" w:cs="楷体"/>
          <w:sz w:val="21"/>
          <w:szCs w:val="21"/>
          <w:highlight w:val="none"/>
          <w:lang w:val="en-US" w:eastAsia="zh-CN"/>
        </w:rPr>
        <w:t>因素</w:t>
      </w:r>
      <w:r>
        <w:rPr>
          <w:rFonts w:hint="eastAsia" w:ascii="楷体" w:hAnsi="楷体" w:eastAsia="楷体" w:cs="楷体"/>
          <w:sz w:val="21"/>
          <w:szCs w:val="21"/>
          <w:highlight w:val="none"/>
        </w:rPr>
        <w:t>调整上述各项费用费率和超额业绩报酬收取方式及比例，</w:t>
      </w:r>
      <w:r>
        <w:rPr>
          <w:rFonts w:hint="eastAsia" w:ascii="楷体" w:hAnsi="楷体" w:eastAsia="楷体" w:cs="Times New Roman"/>
          <w:color w:val="auto"/>
          <w:kern w:val="2"/>
          <w:sz w:val="21"/>
          <w:szCs w:val="21"/>
          <w:highlight w:val="none"/>
          <w:lang w:val="en-US" w:eastAsia="zh-CN" w:bidi="ar-SA"/>
        </w:rPr>
        <w:t>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0"/>
        <w:rPr>
          <w:rFonts w:hint="eastAsia" w:ascii="楷体" w:hAnsi="楷体" w:eastAsia="楷体" w:cs="Times New Roman"/>
          <w:b/>
          <w:sz w:val="21"/>
          <w:szCs w:val="21"/>
          <w:highlight w:val="none"/>
        </w:rPr>
      </w:pPr>
      <w:r>
        <w:rPr>
          <w:rFonts w:hint="eastAsia" w:ascii="楷体" w:hAnsi="楷体" w:eastAsia="楷体" w:cs="Times New Roman"/>
          <w:b/>
          <w:sz w:val="21"/>
          <w:szCs w:val="21"/>
          <w:highlight w:val="none"/>
        </w:rPr>
        <w:t>产品估值</w:t>
      </w:r>
    </w:p>
    <w:p>
      <w:pPr>
        <w:keepNext w:val="0"/>
        <w:keepLines w:val="0"/>
        <w:pageBreakBefore w:val="0"/>
        <w:widowControl w:val="0"/>
        <w:numPr>
          <w:ilvl w:val="0"/>
          <w:numId w:val="19"/>
        </w:numPr>
        <w:tabs>
          <w:tab w:val="left" w:pos="993"/>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估值对象</w:t>
      </w:r>
    </w:p>
    <w:p>
      <w:pPr>
        <w:keepNext w:val="0"/>
        <w:keepLines w:val="0"/>
        <w:pageBreakBefore w:val="0"/>
        <w:wordWrap/>
        <w:topLinePunct w:val="0"/>
        <w:autoSpaceDE/>
        <w:autoSpaceDN/>
        <w:bidi w:val="0"/>
        <w:ind w:firstLine="420" w:firstLineChars="200"/>
        <w:textAlignment w:val="auto"/>
        <w:rPr>
          <w:rFonts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本产品所拥有的各类证券、银行存款、应收款项及其它资产及负债。</w:t>
      </w:r>
    </w:p>
    <w:p>
      <w:pPr>
        <w:keepNext w:val="0"/>
        <w:keepLines w:val="0"/>
        <w:pageBreakBefore w:val="0"/>
        <w:widowControl w:val="0"/>
        <w:numPr>
          <w:ilvl w:val="0"/>
          <w:numId w:val="19"/>
        </w:numPr>
        <w:tabs>
          <w:tab w:val="left" w:pos="993"/>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估值要求</w:t>
      </w:r>
    </w:p>
    <w:p>
      <w:pPr>
        <w:keepNext w:val="0"/>
        <w:keepLines w:val="0"/>
        <w:pageBreakBefore w:val="0"/>
        <w:widowControl w:val="0"/>
        <w:numPr>
          <w:ilvl w:val="0"/>
          <w:numId w:val="20"/>
        </w:numPr>
        <w:tabs>
          <w:tab w:val="left" w:pos="728"/>
          <w:tab w:val="clear" w:pos="0"/>
        </w:tabs>
        <w:kinsoku/>
        <w:wordWrap/>
        <w:overflowPunct/>
        <w:topLinePunct w:val="0"/>
        <w:autoSpaceDE/>
        <w:autoSpaceDN/>
        <w:bidi w:val="0"/>
        <w:adjustRightInd/>
        <w:snapToGrid/>
        <w:ind w:left="0" w:leftChars="0" w:firstLine="420" w:firstLineChars="200"/>
        <w:textAlignment w:val="auto"/>
        <w:rPr>
          <w:rFonts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本产品资产估值的目的是客观、准确</w:t>
      </w:r>
      <w:r>
        <w:rPr>
          <w:rFonts w:hint="eastAsia" w:ascii="楷体" w:hAnsi="楷体" w:eastAsia="楷体" w:cs="Calibri"/>
          <w:b w:val="0"/>
          <w:bCs w:val="0"/>
          <w:color w:val="auto"/>
          <w:sz w:val="21"/>
          <w:szCs w:val="21"/>
          <w:highlight w:val="none"/>
          <w:lang w:val="en-US" w:eastAsia="zh-CN"/>
        </w:rPr>
        <w:t>地</w:t>
      </w:r>
      <w:r>
        <w:rPr>
          <w:rFonts w:hint="eastAsia" w:ascii="楷体" w:hAnsi="楷体" w:eastAsia="楷体" w:cs="Calibri"/>
          <w:b w:val="0"/>
          <w:bCs w:val="0"/>
          <w:color w:val="auto"/>
          <w:sz w:val="21"/>
          <w:szCs w:val="21"/>
          <w:highlight w:val="none"/>
        </w:rPr>
        <w:t>反映资产净值，确定理财产品资产净值，并为理财产品的兑付提供计价依据。</w:t>
      </w:r>
    </w:p>
    <w:p>
      <w:pPr>
        <w:keepNext w:val="0"/>
        <w:keepLines w:val="0"/>
        <w:pageBreakBefore w:val="0"/>
        <w:widowControl w:val="0"/>
        <w:numPr>
          <w:ilvl w:val="0"/>
          <w:numId w:val="20"/>
        </w:numPr>
        <w:tabs>
          <w:tab w:val="left" w:pos="728"/>
          <w:tab w:val="clear" w:pos="0"/>
        </w:tabs>
        <w:kinsoku/>
        <w:wordWrap/>
        <w:overflowPunct/>
        <w:topLinePunct w:val="0"/>
        <w:autoSpaceDE/>
        <w:autoSpaceDN/>
        <w:bidi w:val="0"/>
        <w:adjustRightInd/>
        <w:snapToGrid/>
        <w:ind w:left="0" w:leftChars="0" w:firstLine="420" w:firstLineChars="200"/>
        <w:textAlignment w:val="auto"/>
        <w:rPr>
          <w:rFonts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本产品单位净值精确到小数点后</w:t>
      </w:r>
      <w:r>
        <w:rPr>
          <w:rFonts w:hint="eastAsia" w:ascii="楷体" w:hAnsi="楷体" w:eastAsia="楷体" w:cs="Calibri"/>
          <w:b w:val="0"/>
          <w:bCs w:val="0"/>
          <w:color w:val="auto"/>
          <w:sz w:val="21"/>
          <w:szCs w:val="21"/>
          <w:highlight w:val="none"/>
          <w:lang w:val="en-US" w:eastAsia="zh-CN"/>
        </w:rPr>
        <w:t>6</w:t>
      </w:r>
      <w:r>
        <w:rPr>
          <w:rFonts w:hint="eastAsia" w:ascii="楷体" w:hAnsi="楷体" w:eastAsia="楷体" w:cs="Calibri"/>
          <w:b w:val="0"/>
          <w:bCs w:val="0"/>
          <w:color w:val="auto"/>
          <w:sz w:val="21"/>
          <w:szCs w:val="21"/>
          <w:highlight w:val="none"/>
        </w:rPr>
        <w:t>位，小数点</w:t>
      </w:r>
      <w:r>
        <w:rPr>
          <w:rFonts w:hint="eastAsia" w:ascii="楷体" w:hAnsi="楷体" w:eastAsia="楷体" w:cs="Calibri"/>
          <w:b w:val="0"/>
          <w:bCs w:val="0"/>
          <w:color w:val="auto"/>
          <w:sz w:val="21"/>
          <w:szCs w:val="21"/>
          <w:highlight w:val="none"/>
          <w:lang w:val="en-US" w:eastAsia="zh-CN"/>
        </w:rPr>
        <w:t>6</w:t>
      </w:r>
      <w:r>
        <w:rPr>
          <w:rFonts w:hint="eastAsia" w:ascii="楷体" w:hAnsi="楷体" w:eastAsia="楷体" w:cs="Calibri"/>
          <w:b w:val="0"/>
          <w:bCs w:val="0"/>
          <w:color w:val="auto"/>
          <w:sz w:val="21"/>
          <w:szCs w:val="21"/>
          <w:highlight w:val="none"/>
        </w:rPr>
        <w:t>位后截位。</w:t>
      </w:r>
    </w:p>
    <w:p>
      <w:pPr>
        <w:keepNext w:val="0"/>
        <w:keepLines w:val="0"/>
        <w:pageBreakBefore w:val="0"/>
        <w:widowControl w:val="0"/>
        <w:numPr>
          <w:ilvl w:val="0"/>
          <w:numId w:val="19"/>
        </w:numPr>
        <w:tabs>
          <w:tab w:val="left" w:pos="993"/>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估值方法</w:t>
      </w:r>
    </w:p>
    <w:p>
      <w:pPr>
        <w:keepNext w:val="0"/>
        <w:keepLines w:val="0"/>
        <w:pageBreakBefore w:val="0"/>
        <w:wordWrap/>
        <w:topLinePunct w:val="0"/>
        <w:autoSpaceDE/>
        <w:autoSpaceDN/>
        <w:bidi w:val="0"/>
        <w:ind w:firstLine="420" w:firstLineChars="200"/>
        <w:textAlignment w:val="auto"/>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1.存款类资产、货币市场工具：以本金列示，逐日计提利息。</w:t>
      </w:r>
    </w:p>
    <w:p>
      <w:pPr>
        <w:keepNext w:val="0"/>
        <w:keepLines w:val="0"/>
        <w:pageBreakBefore w:val="0"/>
        <w:wordWrap/>
        <w:topLinePunct w:val="0"/>
        <w:autoSpaceDE/>
        <w:autoSpaceDN/>
        <w:bidi w:val="0"/>
        <w:ind w:firstLine="420" w:firstLineChars="200"/>
        <w:textAlignment w:val="auto"/>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2.货币市场基金：按公允价值进行估值，以估值截止时间点能够取得的最新每万份收益进行估值。</w:t>
      </w:r>
    </w:p>
    <w:p>
      <w:pPr>
        <w:keepNext w:val="0"/>
        <w:keepLines w:val="0"/>
        <w:pageBreakBefore w:val="0"/>
        <w:wordWrap/>
        <w:topLinePunct w:val="0"/>
        <w:autoSpaceDE/>
        <w:autoSpaceDN/>
        <w:bidi w:val="0"/>
        <w:ind w:firstLine="420" w:firstLineChars="200"/>
        <w:textAlignment w:val="auto"/>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3.债券类资产：按公允价值进行估值，采用市价、监管认可的第三方估值机构提供的估值价格进行估值。</w:t>
      </w:r>
    </w:p>
    <w:p>
      <w:pPr>
        <w:keepNext w:val="0"/>
        <w:keepLines w:val="0"/>
        <w:pageBreakBefore w:val="0"/>
        <w:wordWrap/>
        <w:topLinePunct w:val="0"/>
        <w:autoSpaceDE/>
        <w:autoSpaceDN/>
        <w:bidi w:val="0"/>
        <w:ind w:firstLine="420" w:firstLineChars="200"/>
        <w:textAlignment w:val="auto"/>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4.权益类资产：按公允价值进行估值，采用市价、监管认可的第三方估值机构提供的估值价格进行估值。</w:t>
      </w:r>
    </w:p>
    <w:p>
      <w:pPr>
        <w:keepNext w:val="0"/>
        <w:keepLines w:val="0"/>
        <w:pageBreakBefore w:val="0"/>
        <w:wordWrap/>
        <w:topLinePunct w:val="0"/>
        <w:autoSpaceDE/>
        <w:autoSpaceDN/>
        <w:bidi w:val="0"/>
        <w:ind w:firstLine="420" w:firstLineChars="200"/>
        <w:textAlignment w:val="auto"/>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5.证券、基金、保险等资产管理计划和信托计划等资产（不含货币市场基金）：按公允价值进行估值，上述各类资管产品关于同一投资品种的估值原则、政策、技术和方法等应与理财产品管理人保持一致，理财产品管理人将按照会计准则要求定期进行评估。</w:t>
      </w:r>
    </w:p>
    <w:p>
      <w:pPr>
        <w:keepNext w:val="0"/>
        <w:keepLines w:val="0"/>
        <w:pageBreakBefore w:val="0"/>
        <w:wordWrap/>
        <w:topLinePunct w:val="0"/>
        <w:autoSpaceDE/>
        <w:autoSpaceDN/>
        <w:bidi w:val="0"/>
        <w:ind w:firstLine="420" w:firstLineChars="200"/>
        <w:textAlignment w:val="auto"/>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6.其他资产：按公允价值进行估值。</w:t>
      </w:r>
    </w:p>
    <w:p>
      <w:pPr>
        <w:keepNext w:val="0"/>
        <w:keepLines w:val="0"/>
        <w:pageBreakBefore w:val="0"/>
        <w:wordWrap/>
        <w:topLinePunct w:val="0"/>
        <w:autoSpaceDE/>
        <w:autoSpaceDN/>
        <w:bidi w:val="0"/>
        <w:ind w:firstLine="420" w:firstLineChars="200"/>
        <w:textAlignment w:val="auto"/>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如有新增事项或变更事项，按国家法律法规及监管最新规定执行。</w:t>
      </w:r>
    </w:p>
    <w:p>
      <w:pPr>
        <w:keepNext w:val="0"/>
        <w:keepLines w:val="0"/>
        <w:pageBreakBefore w:val="0"/>
        <w:widowControl w:val="0"/>
        <w:numPr>
          <w:ilvl w:val="0"/>
          <w:numId w:val="19"/>
        </w:numPr>
        <w:tabs>
          <w:tab w:val="left" w:pos="993"/>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估值错误的处理</w:t>
      </w:r>
    </w:p>
    <w:p>
      <w:pPr>
        <w:keepNext w:val="0"/>
        <w:keepLines w:val="0"/>
        <w:pageBreakBefore w:val="0"/>
        <w:wordWrap/>
        <w:topLinePunct w:val="0"/>
        <w:autoSpaceDE/>
        <w:autoSpaceDN/>
        <w:bidi w:val="0"/>
        <w:ind w:firstLine="420" w:firstLineChars="200"/>
        <w:textAlignment w:val="auto"/>
        <w:rPr>
          <w:rFonts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9"/>
        </w:numPr>
        <w:tabs>
          <w:tab w:val="left" w:pos="993"/>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暂停估值</w:t>
      </w:r>
    </w:p>
    <w:p>
      <w:pPr>
        <w:keepNext w:val="0"/>
        <w:keepLines w:val="0"/>
        <w:pageBreakBefore w:val="0"/>
        <w:wordWrap/>
        <w:topLinePunct w:val="0"/>
        <w:autoSpaceDE/>
        <w:autoSpaceDN/>
        <w:bidi w:val="0"/>
        <w:ind w:firstLine="420" w:firstLineChars="200"/>
        <w:textAlignment w:val="auto"/>
        <w:rPr>
          <w:rFonts w:hint="eastAsia"/>
          <w:highlight w:val="none"/>
        </w:rPr>
      </w:pPr>
      <w:r>
        <w:rPr>
          <w:rFonts w:hint="eastAsia" w:ascii="楷体" w:hAnsi="楷体" w:eastAsia="楷体"/>
          <w:b w:val="0"/>
          <w:bCs w:val="0"/>
          <w:color w:val="auto"/>
          <w:sz w:val="21"/>
          <w:szCs w:val="21"/>
          <w:highlight w:val="none"/>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0"/>
        <w:rPr>
          <w:rFonts w:hint="eastAsia" w:ascii="楷体" w:hAnsi="楷体" w:eastAsia="楷体" w:cs="Times New Roman"/>
          <w:b/>
          <w:sz w:val="21"/>
          <w:szCs w:val="21"/>
          <w:highlight w:val="none"/>
        </w:rPr>
      </w:pPr>
      <w:r>
        <w:rPr>
          <w:rFonts w:hint="eastAsia" w:ascii="楷体" w:hAnsi="楷体" w:eastAsia="楷体" w:cs="Times New Roman"/>
          <w:b/>
          <w:sz w:val="21"/>
          <w:szCs w:val="21"/>
          <w:highlight w:val="none"/>
        </w:rPr>
        <w:t>信息披露</w:t>
      </w:r>
    </w:p>
    <w:p>
      <w:pPr>
        <w:keepNext w:val="0"/>
        <w:keepLines w:val="0"/>
        <w:pageBreakBefore w:val="0"/>
        <w:widowControl w:val="0"/>
        <w:numPr>
          <w:ilvl w:val="0"/>
          <w:numId w:val="21"/>
        </w:numPr>
        <w:tabs>
          <w:tab w:val="left" w:pos="993"/>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信息披露</w:t>
      </w:r>
      <w:r>
        <w:rPr>
          <w:rFonts w:hint="eastAsia" w:ascii="楷体" w:hAnsi="楷体" w:eastAsia="楷体" w:cs="Calibri"/>
          <w:b w:val="0"/>
          <w:bCs w:val="0"/>
          <w:color w:val="auto"/>
          <w:sz w:val="21"/>
          <w:szCs w:val="21"/>
          <w:highlight w:val="none"/>
          <w:lang w:val="en-US" w:eastAsia="zh-CN"/>
        </w:rPr>
        <w:t>方式</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b w:val="0"/>
          <w:bCs w:val="0"/>
          <w:color w:val="auto"/>
          <w:sz w:val="21"/>
          <w:szCs w:val="21"/>
          <w:highlight w:val="none"/>
        </w:rPr>
      </w:pPr>
      <w:r>
        <w:rPr>
          <w:rFonts w:hint="eastAsia" w:ascii="楷体" w:hAnsi="楷体" w:eastAsia="楷体" w:cs="Calibri"/>
          <w:b w:val="0"/>
          <w:bCs w:val="0"/>
          <w:sz w:val="21"/>
          <w:szCs w:val="21"/>
          <w:highlight w:val="none"/>
          <w:lang w:val="en-US" w:eastAsia="zh-CN"/>
        </w:rPr>
        <w:t>管理人</w:t>
      </w:r>
      <w:r>
        <w:rPr>
          <w:rFonts w:hint="eastAsia" w:ascii="楷体" w:hAnsi="楷体" w:eastAsia="楷体" w:cs="Calibri"/>
          <w:b w:val="0"/>
          <w:bCs w:val="0"/>
          <w:sz w:val="21"/>
          <w:szCs w:val="21"/>
          <w:highlight w:val="none"/>
        </w:rPr>
        <w:t>通过苏银理财有限责任公司官方网站（</w:t>
      </w:r>
      <w:r>
        <w:rPr>
          <w:rFonts w:ascii="楷体" w:hAnsi="楷体" w:eastAsia="楷体" w:cs="Calibri"/>
          <w:b w:val="0"/>
          <w:bCs w:val="0"/>
          <w:sz w:val="21"/>
          <w:szCs w:val="21"/>
          <w:highlight w:val="none"/>
        </w:rPr>
        <w:t>www</w:t>
      </w:r>
      <w:r>
        <w:rPr>
          <w:rFonts w:hint="eastAsia" w:ascii="楷体" w:hAnsi="楷体" w:eastAsia="楷体" w:cs="Calibri"/>
          <w:b w:val="0"/>
          <w:bCs w:val="0"/>
          <w:sz w:val="21"/>
          <w:szCs w:val="21"/>
          <w:highlight w:val="none"/>
          <w:lang w:val="en-US" w:eastAsia="zh-CN"/>
        </w:rPr>
        <w:t>.</w:t>
      </w:r>
      <w:r>
        <w:rPr>
          <w:rFonts w:ascii="楷体" w:hAnsi="楷体" w:eastAsia="楷体" w:cs="Calibri"/>
          <w:b w:val="0"/>
          <w:bCs w:val="0"/>
          <w:sz w:val="21"/>
          <w:szCs w:val="21"/>
          <w:highlight w:val="none"/>
        </w:rPr>
        <w:t>suyinwealth</w:t>
      </w:r>
      <w:r>
        <w:rPr>
          <w:rFonts w:hint="eastAsia" w:ascii="楷体" w:hAnsi="楷体" w:eastAsia="楷体" w:cs="Calibri"/>
          <w:b w:val="0"/>
          <w:bCs w:val="0"/>
          <w:sz w:val="21"/>
          <w:szCs w:val="21"/>
          <w:highlight w:val="none"/>
          <w:lang w:val="en-US" w:eastAsia="zh-CN"/>
        </w:rPr>
        <w:t>.</w:t>
      </w:r>
      <w:r>
        <w:rPr>
          <w:rFonts w:ascii="楷体" w:hAnsi="楷体" w:eastAsia="楷体" w:cs="Calibri"/>
          <w:b w:val="0"/>
          <w:bCs w:val="0"/>
          <w:sz w:val="21"/>
          <w:szCs w:val="21"/>
          <w:highlight w:val="none"/>
        </w:rPr>
        <w:t>com</w:t>
      </w:r>
      <w:r>
        <w:rPr>
          <w:rFonts w:hint="eastAsia" w:ascii="楷体" w:hAnsi="楷体" w:eastAsia="楷体" w:cs="Calibri"/>
          <w:b w:val="0"/>
          <w:bCs w:val="0"/>
          <w:sz w:val="21"/>
          <w:szCs w:val="21"/>
          <w:highlight w:val="none"/>
        </w:rPr>
        <w:t>）进行信息披露。</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b w:val="0"/>
          <w:bCs w:val="0"/>
          <w:color w:val="auto"/>
          <w:sz w:val="21"/>
          <w:szCs w:val="21"/>
          <w:highlight w:val="none"/>
        </w:rPr>
      </w:pPr>
      <w:r>
        <w:rPr>
          <w:rFonts w:hint="eastAsia" w:ascii="楷体" w:hAnsi="楷体" w:eastAsia="楷体" w:cs="Calibri"/>
          <w:b w:val="0"/>
          <w:bCs w:val="0"/>
          <w:sz w:val="21"/>
          <w:szCs w:val="21"/>
          <w:highlight w:val="none"/>
          <w:lang w:val="en-US" w:eastAsia="zh-CN"/>
        </w:rPr>
        <w:t>管理人</w:t>
      </w:r>
      <w:r>
        <w:rPr>
          <w:rFonts w:hint="eastAsia" w:ascii="楷体" w:hAnsi="楷体" w:eastAsia="楷体" w:cs="Calibri"/>
          <w:b w:val="0"/>
          <w:bCs w:val="0"/>
          <w:sz w:val="21"/>
          <w:szCs w:val="21"/>
          <w:highlight w:val="none"/>
        </w:rPr>
        <w:t>将信息披露内容发送销售机构，由销售机构通过</w:t>
      </w:r>
      <w:r>
        <w:rPr>
          <w:rFonts w:hint="eastAsia" w:ascii="楷体" w:hAnsi="楷体" w:eastAsia="楷体" w:cs="Calibri"/>
          <w:b w:val="0"/>
          <w:bCs w:val="0"/>
          <w:sz w:val="21"/>
          <w:szCs w:val="21"/>
          <w:highlight w:val="none"/>
          <w:lang w:val="en-US" w:eastAsia="zh-CN"/>
        </w:rPr>
        <w:t>短信及</w:t>
      </w:r>
      <w:r>
        <w:rPr>
          <w:rFonts w:hint="eastAsia" w:ascii="楷体" w:hAnsi="楷体" w:eastAsia="楷体" w:cs="Calibri"/>
          <w:b w:val="0"/>
          <w:bCs w:val="0"/>
          <w:sz w:val="21"/>
          <w:szCs w:val="21"/>
          <w:highlight w:val="none"/>
        </w:rPr>
        <w:t>销售机构电子渠道和营业网点</w:t>
      </w:r>
      <w:r>
        <w:rPr>
          <w:rFonts w:hint="eastAsia" w:ascii="楷体" w:hAnsi="楷体" w:eastAsia="楷体" w:cs="Calibri"/>
          <w:b w:val="0"/>
          <w:bCs w:val="0"/>
          <w:sz w:val="21"/>
          <w:szCs w:val="21"/>
          <w:highlight w:val="none"/>
          <w:lang w:val="en-US" w:eastAsia="zh-CN"/>
        </w:rPr>
        <w:t>等方式</w:t>
      </w:r>
      <w:r>
        <w:rPr>
          <w:rFonts w:hint="eastAsia" w:ascii="楷体" w:hAnsi="楷体" w:eastAsia="楷体" w:cs="Calibri"/>
          <w:b w:val="0"/>
          <w:bCs w:val="0"/>
          <w:sz w:val="21"/>
          <w:szCs w:val="21"/>
          <w:highlight w:val="none"/>
        </w:rPr>
        <w:t>进行信息披露。</w:t>
      </w:r>
    </w:p>
    <w:p>
      <w:pPr>
        <w:keepNext w:val="0"/>
        <w:keepLines w:val="0"/>
        <w:pageBreakBefore w:val="0"/>
        <w:numPr>
          <w:ilvl w:val="0"/>
          <w:numId w:val="0"/>
        </w:numPr>
        <w:wordWrap/>
        <w:topLinePunct w:val="0"/>
        <w:autoSpaceDE/>
        <w:autoSpaceDN/>
        <w:bidi w:val="0"/>
        <w:ind w:left="0" w:firstLine="420" w:firstLineChars="200"/>
        <w:textAlignment w:val="auto"/>
        <w:rPr>
          <w:rFonts w:ascii="楷体" w:hAnsi="楷体" w:eastAsia="楷体" w:cs="Calibri"/>
          <w:b w:val="0"/>
          <w:bCs w:val="0"/>
          <w:color w:val="auto"/>
          <w:sz w:val="21"/>
          <w:szCs w:val="21"/>
          <w:highlight w:val="none"/>
        </w:rPr>
      </w:pPr>
      <w:r>
        <w:rPr>
          <w:rFonts w:hint="eastAsia" w:ascii="楷体" w:hAnsi="楷体" w:eastAsia="楷体"/>
          <w:b w:val="0"/>
          <w:bCs w:val="0"/>
          <w:sz w:val="21"/>
          <w:szCs w:val="21"/>
          <w:highlight w:val="none"/>
        </w:rPr>
        <w:t>相关信息在发布或发出之日视为通知已送达投资者并生效，</w:t>
      </w:r>
      <w:r>
        <w:rPr>
          <w:rFonts w:hint="eastAsia" w:ascii="楷体" w:hAnsi="楷体" w:eastAsia="楷体"/>
          <w:b w:val="0"/>
          <w:bCs w:val="0"/>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b w:val="0"/>
          <w:bCs w:val="0"/>
          <w:sz w:val="21"/>
          <w:szCs w:val="21"/>
          <w:highlight w:val="none"/>
        </w:rPr>
        <w:t>请</w:t>
      </w:r>
      <w:r>
        <w:rPr>
          <w:rFonts w:hint="eastAsia" w:ascii="楷体" w:hAnsi="楷体" w:eastAsia="楷体"/>
          <w:b w:val="0"/>
          <w:bCs w:val="0"/>
          <w:sz w:val="21"/>
          <w:szCs w:val="21"/>
          <w:highlight w:val="none"/>
          <w:lang w:val="en-US" w:eastAsia="zh-CN"/>
        </w:rPr>
        <w:t>投资者</w:t>
      </w:r>
      <w:r>
        <w:rPr>
          <w:rFonts w:hint="eastAsia" w:ascii="楷体" w:hAnsi="楷体" w:eastAsia="楷体"/>
          <w:b w:val="0"/>
          <w:bCs w:val="0"/>
          <w:sz w:val="21"/>
          <w:szCs w:val="21"/>
          <w:highlight w:val="none"/>
        </w:rPr>
        <w:t>及时登陆苏银理财有限责任</w:t>
      </w:r>
      <w:r>
        <w:rPr>
          <w:rFonts w:hint="eastAsia" w:ascii="楷体" w:hAnsi="楷体" w:eastAsia="楷体"/>
          <w:b w:val="0"/>
          <w:bCs w:val="0"/>
          <w:sz w:val="21"/>
          <w:szCs w:val="21"/>
          <w:highlight w:val="none"/>
          <w:lang w:val="en-US" w:eastAsia="zh-CN"/>
        </w:rPr>
        <w:t>公司</w:t>
      </w:r>
      <w:r>
        <w:rPr>
          <w:rFonts w:hint="eastAsia" w:ascii="楷体" w:hAnsi="楷体" w:eastAsia="楷体"/>
          <w:b w:val="0"/>
          <w:bCs w:val="0"/>
          <w:sz w:val="21"/>
          <w:szCs w:val="21"/>
          <w:highlight w:val="none"/>
        </w:rPr>
        <w:t>官方网站或者向销售机构查询获取披露信息</w:t>
      </w:r>
      <w:r>
        <w:rPr>
          <w:rFonts w:hint="eastAsia" w:ascii="楷体" w:hAnsi="楷体" w:eastAsia="楷体"/>
          <w:b w:val="0"/>
          <w:bCs w:val="0"/>
          <w:color w:val="auto"/>
          <w:sz w:val="21"/>
          <w:szCs w:val="21"/>
          <w:highlight w:val="none"/>
        </w:rPr>
        <w:t>。</w:t>
      </w:r>
    </w:p>
    <w:p>
      <w:pPr>
        <w:keepNext w:val="0"/>
        <w:keepLines w:val="0"/>
        <w:pageBreakBefore w:val="0"/>
        <w:widowControl w:val="0"/>
        <w:numPr>
          <w:ilvl w:val="0"/>
          <w:numId w:val="21"/>
        </w:numPr>
        <w:tabs>
          <w:tab w:val="left" w:pos="993"/>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信息披露</w:t>
      </w:r>
      <w:r>
        <w:rPr>
          <w:rFonts w:hint="eastAsia" w:ascii="楷体" w:hAnsi="楷体" w:eastAsia="楷体" w:cs="Calibri"/>
          <w:b w:val="0"/>
          <w:bCs w:val="0"/>
          <w:color w:val="auto"/>
          <w:sz w:val="21"/>
          <w:szCs w:val="21"/>
          <w:highlight w:val="none"/>
          <w:lang w:val="en-US" w:eastAsia="zh-CN"/>
        </w:rPr>
        <w:t>内容及时间</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发行公告：管理人在产品成立后5个工作日内，披露产品成立公告，内容包括理财产品成立日期和募集规模等信息。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重大事项公告：管理人在发生可能对理财产品投资者或者理财产品收益</w:t>
      </w:r>
      <w:r>
        <w:rPr>
          <w:rFonts w:hint="eastAsia" w:ascii="楷体" w:hAnsi="楷体" w:eastAsia="楷体" w:cs="Calibri"/>
          <w:color w:val="auto"/>
          <w:sz w:val="21"/>
          <w:szCs w:val="21"/>
          <w:highlight w:val="none"/>
          <w:lang w:val="en-US" w:eastAsia="zh-CN"/>
        </w:rPr>
        <w:t>产生重大影响</w:t>
      </w:r>
      <w:r>
        <w:rPr>
          <w:rFonts w:hint="eastAsia" w:ascii="楷体" w:hAnsi="楷体" w:eastAsia="楷体" w:cs="Calibri"/>
          <w:color w:val="auto"/>
          <w:sz w:val="21"/>
          <w:szCs w:val="21"/>
          <w:highlight w:val="none"/>
        </w:rPr>
        <w:t>的事件后2个工作日内发布重大事项公告。</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临时性信息：管理人将及时披露国务院银行业监督管理机构规定的其他信息或除重大事项事件以外的其他信息。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半年度整体报告：每半年披露从事理财业务活动的有关信息。</w:t>
      </w:r>
    </w:p>
    <w:p>
      <w:pPr>
        <w:keepNext w:val="0"/>
        <w:keepLines w:val="0"/>
        <w:pageBreakBefore w:val="0"/>
        <w:widowControl w:val="0"/>
        <w:numPr>
          <w:ilvl w:val="0"/>
          <w:numId w:val="23"/>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highlight w:val="none"/>
          <w:lang w:val="en-US" w:eastAsia="zh-CN"/>
        </w:rPr>
        <w:t>单位</w:t>
      </w:r>
      <w:r>
        <w:rPr>
          <w:rFonts w:hint="eastAsia" w:ascii="楷体" w:hAnsi="楷体" w:eastAsia="楷体" w:cs="Calibri"/>
          <w:color w:val="auto"/>
          <w:sz w:val="21"/>
          <w:szCs w:val="21"/>
          <w:highlight w:val="none"/>
        </w:rPr>
        <w:t>净值、份额累计净值、资产净值、收益情况、投资者理财交易账户发生的交易明细记录等信息。</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0"/>
        <w:rPr>
          <w:rFonts w:hint="eastAsia" w:ascii="楷体" w:hAnsi="楷体" w:eastAsia="楷体" w:cs="Times New Roman"/>
          <w:b/>
          <w:sz w:val="21"/>
          <w:szCs w:val="21"/>
          <w:highlight w:val="none"/>
        </w:rPr>
      </w:pPr>
      <w:r>
        <w:rPr>
          <w:rFonts w:hint="eastAsia" w:ascii="楷体" w:hAnsi="楷体" w:eastAsia="楷体" w:cs="Times New Roman"/>
          <w:b/>
          <w:sz w:val="21"/>
          <w:szCs w:val="21"/>
          <w:highlight w:val="none"/>
        </w:rPr>
        <w:t>其他</w:t>
      </w:r>
    </w:p>
    <w:p>
      <w:pPr>
        <w:keepNext w:val="0"/>
        <w:keepLines w:val="0"/>
        <w:pageBreakBefore w:val="0"/>
        <w:widowControl w:val="0"/>
        <w:numPr>
          <w:ilvl w:val="0"/>
          <w:numId w:val="24"/>
        </w:numPr>
        <w:tabs>
          <w:tab w:val="left" w:pos="993"/>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追索条款</w:t>
      </w:r>
    </w:p>
    <w:p>
      <w:pPr>
        <w:keepNext w:val="0"/>
        <w:keepLines w:val="0"/>
        <w:pageBreakBefore w:val="0"/>
        <w:wordWrap/>
        <w:topLinePunct w:val="0"/>
        <w:autoSpaceDE/>
        <w:autoSpaceDN/>
        <w:bidi w:val="0"/>
        <w:ind w:firstLine="420" w:firstLineChars="200"/>
        <w:textAlignment w:val="auto"/>
        <w:rPr>
          <w:rFonts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若本理财产品所投资的金融资产到期不能全部偿付导致资产减值甚至本金大幅损失，则苏银理财将以管理人名义，代表理财产品投资者利益行使诉讼权利或者实施其他权利救济措施。</w:t>
      </w:r>
    </w:p>
    <w:p>
      <w:pPr>
        <w:keepNext w:val="0"/>
        <w:keepLines w:val="0"/>
        <w:pageBreakBefore w:val="0"/>
        <w:widowControl w:val="0"/>
        <w:numPr>
          <w:ilvl w:val="0"/>
          <w:numId w:val="24"/>
        </w:numPr>
        <w:tabs>
          <w:tab w:val="left" w:pos="993"/>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信息安全</w:t>
      </w:r>
    </w:p>
    <w:p>
      <w:pPr>
        <w:keepNext w:val="0"/>
        <w:keepLines w:val="0"/>
        <w:pageBreakBefore w:val="0"/>
        <w:wordWrap/>
        <w:topLinePunct w:val="0"/>
        <w:autoSpaceDE/>
        <w:autoSpaceDN/>
        <w:bidi w:val="0"/>
        <w:ind w:firstLine="420" w:firstLineChars="200"/>
        <w:textAlignment w:val="auto"/>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苏银理财及</w:t>
      </w:r>
      <w:r>
        <w:rPr>
          <w:rFonts w:hint="eastAsia" w:ascii="楷体" w:hAnsi="楷体" w:eastAsia="楷体"/>
          <w:b w:val="0"/>
          <w:bCs w:val="0"/>
          <w:color w:val="auto"/>
          <w:sz w:val="21"/>
          <w:szCs w:val="21"/>
          <w:highlight w:val="none"/>
          <w:lang w:val="en-US" w:eastAsia="zh-CN"/>
        </w:rPr>
        <w:t>销售</w:t>
      </w:r>
      <w:r>
        <w:rPr>
          <w:rFonts w:hint="eastAsia" w:ascii="楷体" w:hAnsi="楷体" w:eastAsia="楷体"/>
          <w:b w:val="0"/>
          <w:bCs w:val="0"/>
          <w:color w:val="auto"/>
          <w:sz w:val="21"/>
          <w:szCs w:val="21"/>
          <w:highlight w:val="none"/>
        </w:rPr>
        <w:t>机构将据相关法律、法规严格履行投资者信息保密责任，除监管机构或司法机关等有权机构外，不得对其他第三方提供任何投资者信息。</w:t>
      </w:r>
    </w:p>
    <w:p>
      <w:pPr>
        <w:keepNext w:val="0"/>
        <w:keepLines w:val="0"/>
        <w:pageBreakBefore w:val="0"/>
        <w:widowControl w:val="0"/>
        <w:numPr>
          <w:ilvl w:val="0"/>
          <w:numId w:val="24"/>
        </w:numPr>
        <w:tabs>
          <w:tab w:val="left" w:pos="993"/>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争议解决</w:t>
      </w:r>
    </w:p>
    <w:p>
      <w:pPr>
        <w:keepNext w:val="0"/>
        <w:keepLines w:val="0"/>
        <w:pageBreakBefore w:val="0"/>
        <w:wordWrap/>
        <w:topLinePunct w:val="0"/>
        <w:autoSpaceDE/>
        <w:autoSpaceDN/>
        <w:bidi w:val="0"/>
        <w:adjustRightInd w:val="0"/>
        <w:ind w:firstLine="420" w:firstLineChars="200"/>
        <w:textAlignment w:val="auto"/>
        <w:rPr>
          <w:rFonts w:hint="eastAsia" w:ascii="楷体" w:hAnsi="楷体" w:eastAsia="楷体"/>
          <w:sz w:val="24"/>
          <w:szCs w:val="24"/>
          <w:highlight w:val="none"/>
        </w:rPr>
      </w:pPr>
      <w:r>
        <w:rPr>
          <w:rFonts w:hint="eastAsia" w:ascii="楷体" w:hAnsi="楷体" w:eastAsia="楷体"/>
          <w:b w:val="0"/>
          <w:bCs w:val="0"/>
          <w:color w:val="auto"/>
          <w:sz w:val="21"/>
          <w:szCs w:val="21"/>
          <w:highlight w:val="none"/>
          <w:lang w:val="en-US" w:eastAsia="zh-CN"/>
        </w:rPr>
        <w:t>本产品说明书</w:t>
      </w:r>
      <w:r>
        <w:rPr>
          <w:rFonts w:hint="eastAsia" w:ascii="楷体" w:hAnsi="楷体" w:eastAsia="楷体"/>
          <w:b w:val="0"/>
          <w:bCs w:val="0"/>
          <w:color w:val="auto"/>
          <w:sz w:val="21"/>
          <w:szCs w:val="21"/>
          <w:highlight w:val="none"/>
        </w:rPr>
        <w:t>的订立、生效、履行、解释、修改和终止等事项均适用中华人民共和国（为本合同目的，不包括香港特别行政区、澳门特别行政区和台湾地区）法律。</w:t>
      </w:r>
      <w:r>
        <w:rPr>
          <w:rFonts w:hint="eastAsia" w:ascii="楷体" w:hAnsi="楷体" w:eastAsia="楷体"/>
          <w:b w:val="0"/>
          <w:bCs w:val="0"/>
          <w:color w:val="auto"/>
          <w:sz w:val="21"/>
          <w:szCs w:val="21"/>
          <w:highlight w:val="none"/>
          <w:lang w:val="en-US" w:eastAsia="zh-CN"/>
        </w:rPr>
        <w:t>因本产品说明书</w:t>
      </w:r>
      <w:r>
        <w:rPr>
          <w:rFonts w:hint="eastAsia" w:ascii="楷体" w:hAnsi="楷体" w:eastAsia="楷体"/>
          <w:b w:val="0"/>
          <w:bCs w:val="0"/>
          <w:color w:val="auto"/>
          <w:sz w:val="21"/>
          <w:szCs w:val="21"/>
          <w:highlight w:val="none"/>
        </w:rPr>
        <w:t>引起的或与</w:t>
      </w:r>
      <w:r>
        <w:rPr>
          <w:rFonts w:hint="eastAsia" w:ascii="楷体" w:hAnsi="楷体" w:eastAsia="楷体"/>
          <w:b w:val="0"/>
          <w:bCs w:val="0"/>
          <w:color w:val="auto"/>
          <w:sz w:val="21"/>
          <w:szCs w:val="21"/>
          <w:highlight w:val="none"/>
          <w:lang w:val="en-US" w:eastAsia="zh-CN"/>
        </w:rPr>
        <w:t>本产品说明书</w:t>
      </w:r>
      <w:r>
        <w:rPr>
          <w:rFonts w:hint="eastAsia" w:ascii="楷体" w:hAnsi="楷体" w:eastAsia="楷体"/>
          <w:b w:val="0"/>
          <w:bCs w:val="0"/>
          <w:color w:val="auto"/>
          <w:sz w:val="21"/>
          <w:szCs w:val="21"/>
          <w:highlight w:val="none"/>
        </w:rPr>
        <w:t>有关的任何争议，应当首先通过双方之间的友好协商解决；协商不成的，双方均有权提交产品管理人住所地有管辖权的人民法院诉讼解决。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36"/>
          <w:szCs w:val="36"/>
        </w:rPr>
      </w:pPr>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5"/>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w:t>
      </w:r>
    </w:p>
    <w:p>
      <w:pPr>
        <w:numPr>
          <w:ilvl w:val="0"/>
          <w:numId w:val="0"/>
        </w:numPr>
        <w:ind w:left="0" w:firstLine="0"/>
        <w:rPr>
          <w:rFonts w:hint="eastAsia" w:ascii="楷体" w:hAnsi="楷体" w:eastAsia="楷体"/>
          <w:sz w:val="21"/>
          <w:szCs w:val="21"/>
        </w:rPr>
      </w:pPr>
      <w:r>
        <w:rPr>
          <w:rFonts w:hint="eastAsia" w:ascii="楷体" w:hAnsi="楷体" w:eastAsia="楷体"/>
          <w:sz w:val="21"/>
          <w:szCs w:val="21"/>
        </w:rPr>
        <w:t>为理财产品的利益依法为理财产品进行融资；按照法律法规，代表理财产品对被投资企业行使行使权利（如被投资企业股东权利等）；以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keepNext w:val="0"/>
        <w:keepLines w:val="0"/>
        <w:pageBreakBefore w:val="0"/>
        <w:widowControl w:val="0"/>
        <w:numPr>
          <w:ilvl w:val="0"/>
          <w:numId w:val="0"/>
        </w:numPr>
        <w:kinsoku/>
        <w:wordWrap/>
        <w:overflowPunct/>
        <w:topLinePunct w:val="0"/>
        <w:autoSpaceDE/>
        <w:autoSpaceDN/>
        <w:bidi w:val="0"/>
        <w:adjustRightInd/>
        <w:snapToGrid/>
        <w:ind w:left="0" w:firstLine="422" w:firstLineChars="200"/>
        <w:jc w:val="left"/>
        <w:textAlignment w:val="auto"/>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当事人合法权益的活动。法律法规、理财产品合同规定的其它权利。</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1.</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2.</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1.</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2.</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4.</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jc w:val="right"/>
        <w:rPr>
          <w:rFonts w:ascii="楷体" w:hAnsi="楷体" w:eastAsia="楷体"/>
          <w:sz w:val="24"/>
          <w:szCs w:val="24"/>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方正仿宋简体"/>
    <w:panose1 w:val="00000000000000000000"/>
    <w:charset w:val="86"/>
    <w:family w:val="auto"/>
    <w:pitch w:val="default"/>
    <w:sig w:usb0="00000000" w:usb1="00000000" w:usb2="00000010" w:usb3="00000000" w:csb0="00040000" w:csb1="00000000"/>
  </w:font>
  <w:font w:name="MS PGothic">
    <w:panose1 w:val="020B0600070205080204"/>
    <w:charset w:val="80"/>
    <w:family w:val="auto"/>
    <w:pitch w:val="default"/>
    <w:sig w:usb0="E00002FF" w:usb1="6AC7FDFB" w:usb2="08000012" w:usb3="00000000" w:csb0="4002009F" w:csb1="DFD70000"/>
  </w:font>
  <w:font w:name="方正仿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insoku w:val="0"/>
      <w:overflowPunct w:val="0"/>
      <w:spacing w:before="0" w:line="320" w:lineRule="exact"/>
      <w:ind w:left="20"/>
      <w:jc w:val="both"/>
      <w:rPr>
        <w:rFonts w:ascii="楷体" w:hAnsi="楷体" w:eastAsia="楷体" w:cs="黑体"/>
        <w:b/>
        <w:spacing w:val="-2"/>
        <w:sz w:val="24"/>
        <w:szCs w:val="24"/>
      </w:rPr>
    </w:pPr>
    <w:r>
      <w:pict>
        <v:shape id="图片 1" o:spid="_x0000_s2050" o:spt="75" alt="说明: 说明: C:\Users\JSYH\Desktop\苏银理财.png" type="#_x0000_t75" style="position:absolute;left:0pt;margin-left:390.95pt;margin-top:-7.5pt;height:33.45pt;width:104.35pt;mso-wrap-distance-bottom:0pt;mso-wrap-distance-left:9pt;mso-wrap-distance-right:9pt;mso-wrap-distance-top:0pt;z-index:251662336;mso-width-relative:page;mso-height-relative:page;" filled="f" o:preferrelative="t" stroked="f" coordsize="21600,21600">
          <v:path/>
          <v:fill on="f" focussize="0,0"/>
          <v:stroke on="f" joinstyle="miter"/>
          <v:imagedata r:id="rId1" o:title="苏银理财"/>
          <o:lock v:ext="edit" aspectratio="t"/>
          <w10:wrap type="square"/>
        </v:shape>
      </w:pict>
    </w:r>
    <w:r>
      <w:rPr>
        <w:rFonts w:ascii="楷体" w:hAnsi="楷体" w:eastAsia="楷体"/>
        <w:b/>
      </w:rPr>
      <w:pict>
        <v:shape id="WordPictureWatermark367128483" o:spid="_x0000_s2051" o:spt="75" type="#_x0000_t75" style="position:absolute;left:0pt;margin-left:-315.7pt;margin-top:-81.05pt;height:862.85pt;width:1137.35pt;mso-position-horizontal-relative:margin;mso-position-vertical-relative:margin;z-index:-251655168;mso-width-relative:page;mso-height-relative:page;" filled="f" o:preferrelative="t" stroked="f" coordsize="21600,21600" o:allowincell="f">
          <v:path/>
          <v:fill on="f" focussize="0,0"/>
          <v:stroke on="f" joinstyle="miter"/>
          <v:imagedata r:id="rId2" gain="19661f" blacklevel="22938f" o:title="苏银理财"/>
          <o:lock v:ext="edit" aspectratio="t"/>
        </v:shape>
      </w:pict>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2052" o:spt="75" type="#_x0000_t75" style="position:absolute;left:0pt;height:862.85pt;width:1137.3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2049" o:spt="75" type="#_x0000_t75" style="position:absolute;left:0pt;height:862.85pt;width:1137.3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89EF6621"/>
    <w:multiLevelType w:val="multilevel"/>
    <w:tmpl w:val="89EF6621"/>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8CA9D336"/>
    <w:multiLevelType w:val="multilevel"/>
    <w:tmpl w:val="8CA9D336"/>
    <w:lvl w:ilvl="0" w:tentative="0">
      <w:start w:val="1"/>
      <w:numFmt w:val="chineseCounting"/>
      <w:suff w:val="nothing"/>
      <w:lvlText w:val="（%1）"/>
      <w:lvlJc w:val="left"/>
      <w:pPr>
        <w:tabs>
          <w:tab w:val="left" w:pos="0"/>
        </w:tabs>
        <w:ind w:left="420" w:hanging="420"/>
      </w:pPr>
      <w:rPr>
        <w:rFonts w:hint="eastAsia" w:ascii="楷体" w:hAnsi="楷体" w:eastAsia="楷体" w:cs="楷体"/>
        <w:b/>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A9C08A8C"/>
    <w:multiLevelType w:val="multilevel"/>
    <w:tmpl w:val="A9C08A8C"/>
    <w:lvl w:ilvl="0" w:tentative="0">
      <w:start w:val="1"/>
      <w:numFmt w:val="chineseCounting"/>
      <w:suff w:val="nothing"/>
      <w:lvlText w:val="（%1）"/>
      <w:lvlJc w:val="left"/>
      <w:pPr>
        <w:tabs>
          <w:tab w:val="left" w:pos="420"/>
        </w:tabs>
        <w:ind w:left="420" w:hanging="420"/>
      </w:pPr>
      <w:rPr>
        <w:rFonts w:hint="eastAsia" w:ascii="宋体" w:hAnsi="宋体" w:eastAsia="楷体" w:cs="宋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AE4D0C0E"/>
    <w:multiLevelType w:val="multilevel"/>
    <w:tmpl w:val="AE4D0C0E"/>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D34E8ACE"/>
    <w:multiLevelType w:val="multilevel"/>
    <w:tmpl w:val="D34E8ACE"/>
    <w:lvl w:ilvl="0" w:tentative="0">
      <w:start w:val="1"/>
      <w:numFmt w:val="chineseCounting"/>
      <w:suff w:val="nothing"/>
      <w:lvlText w:val="（%1）"/>
      <w:lvlJc w:val="left"/>
      <w:pPr>
        <w:tabs>
          <w:tab w:val="left" w:pos="0"/>
        </w:tabs>
        <w:ind w:left="420" w:hanging="42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6">
    <w:nsid w:val="D4FA9CD1"/>
    <w:multiLevelType w:val="singleLevel"/>
    <w:tmpl w:val="D4FA9CD1"/>
    <w:lvl w:ilvl="0" w:tentative="0">
      <w:start w:val="1"/>
      <w:numFmt w:val="decimalEnclosedCircleChinese"/>
      <w:suff w:val="nothing"/>
      <w:lvlText w:val="%1"/>
      <w:lvlJc w:val="left"/>
      <w:pPr>
        <w:tabs>
          <w:tab w:val="left" w:pos="0"/>
        </w:tabs>
        <w:ind w:left="0" w:firstLine="0"/>
      </w:pPr>
      <w:rPr>
        <w:rFonts w:hint="eastAsia" w:ascii="楷体" w:hAnsi="楷体" w:eastAsia="楷体" w:cs="楷体"/>
      </w:rPr>
    </w:lvl>
  </w:abstractNum>
  <w:abstractNum w:abstractNumId="7">
    <w:nsid w:val="D55A4D67"/>
    <w:multiLevelType w:val="multilevel"/>
    <w:tmpl w:val="D55A4D67"/>
    <w:lvl w:ilvl="0" w:tentative="0">
      <w:start w:val="1"/>
      <w:numFmt w:val="chineseCounting"/>
      <w:suff w:val="nothing"/>
      <w:lvlText w:val="（%1）"/>
      <w:lvlJc w:val="left"/>
      <w:pPr>
        <w:tabs>
          <w:tab w:val="left" w:pos="0"/>
        </w:tabs>
        <w:ind w:left="420" w:hanging="420"/>
      </w:pPr>
      <w:rPr>
        <w:rFonts w:hint="eastAsia" w:ascii="宋体" w:hAnsi="宋体" w:eastAsia="楷体" w:cs="宋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8">
    <w:nsid w:val="EE895835"/>
    <w:multiLevelType w:val="multilevel"/>
    <w:tmpl w:val="EE895835"/>
    <w:lvl w:ilvl="0" w:tentative="0">
      <w:start w:val="1"/>
      <w:numFmt w:val="decimal"/>
      <w:suff w:val="nothing"/>
      <w:lvlText w:val="%1."/>
      <w:lvlJc w:val="left"/>
      <w:pPr>
        <w:ind w:left="0" w:leftChars="0" w:firstLine="0" w:firstLineChars="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F9EB37A1"/>
    <w:multiLevelType w:val="multilevel"/>
    <w:tmpl w:val="F9EB37A1"/>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FABDD487"/>
    <w:multiLevelType w:val="multilevel"/>
    <w:tmpl w:val="FABDD487"/>
    <w:lvl w:ilvl="0" w:tentative="0">
      <w:start w:val="1"/>
      <w:numFmt w:val="chineseCounting"/>
      <w:suff w:val="nothing"/>
      <w:lvlText w:val="（%1）"/>
      <w:lvlJc w:val="left"/>
      <w:pPr>
        <w:tabs>
          <w:tab w:val="left" w:pos="420"/>
        </w:tabs>
        <w:ind w:left="420" w:hanging="420"/>
      </w:pPr>
      <w:rPr>
        <w:rFonts w:hint="eastAsia" w:ascii="宋体" w:hAnsi="宋体" w:eastAsia="楷体" w:cs="宋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FFB76D11"/>
    <w:multiLevelType w:val="multilevel"/>
    <w:tmpl w:val="FFB76D11"/>
    <w:lvl w:ilvl="0" w:tentative="0">
      <w:start w:val="1"/>
      <w:numFmt w:val="chineseCounting"/>
      <w:suff w:val="nothing"/>
      <w:lvlText w:val="（%1）"/>
      <w:lvlJc w:val="left"/>
      <w:pPr>
        <w:tabs>
          <w:tab w:val="left" w:pos="420"/>
        </w:tabs>
        <w:ind w:left="1129" w:hanging="420"/>
      </w:pPr>
      <w:rPr>
        <w:rFonts w:hint="eastAsia" w:ascii="宋体" w:hAnsi="宋体" w:eastAsia="楷体" w:cs="宋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2">
    <w:nsid w:val="0443B38F"/>
    <w:multiLevelType w:val="multilevel"/>
    <w:tmpl w:val="0443B38F"/>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2D42F757"/>
    <w:multiLevelType w:val="singleLevel"/>
    <w:tmpl w:val="2D42F757"/>
    <w:lvl w:ilvl="0" w:tentative="0">
      <w:start w:val="2"/>
      <w:numFmt w:val="chineseCounting"/>
      <w:suff w:val="nothing"/>
      <w:lvlText w:val="（%1）"/>
      <w:lvlJc w:val="left"/>
      <w:rPr>
        <w:rFonts w:hint="eastAsia"/>
        <w:b/>
        <w:bCs/>
      </w:rPr>
    </w:lvl>
  </w:abstractNum>
  <w:abstractNum w:abstractNumId="15">
    <w:nsid w:val="2F62CAAB"/>
    <w:multiLevelType w:val="singleLevel"/>
    <w:tmpl w:val="2F62CAAB"/>
    <w:lvl w:ilvl="0" w:tentative="0">
      <w:start w:val="1"/>
      <w:numFmt w:val="decimal"/>
      <w:suff w:val="nothing"/>
      <w:lvlText w:val="%1."/>
      <w:lvlJc w:val="left"/>
      <w:pPr>
        <w:tabs>
          <w:tab w:val="left" w:pos="0"/>
        </w:tabs>
        <w:ind w:left="0" w:firstLine="0"/>
      </w:pPr>
      <w:rPr>
        <w:rFonts w:hint="default"/>
      </w:rPr>
    </w:lvl>
  </w:abstractNum>
  <w:abstractNum w:abstractNumId="16">
    <w:nsid w:val="3603F780"/>
    <w:multiLevelType w:val="multilevel"/>
    <w:tmpl w:val="3603F780"/>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3708999D"/>
    <w:multiLevelType w:val="singleLevel"/>
    <w:tmpl w:val="3708999D"/>
    <w:lvl w:ilvl="0" w:tentative="0">
      <w:start w:val="1"/>
      <w:numFmt w:val="decimalEnclosedCircleChinese"/>
      <w:suff w:val="nothing"/>
      <w:lvlText w:val="%1　"/>
      <w:lvlJc w:val="left"/>
      <w:pPr>
        <w:ind w:left="0" w:firstLine="400"/>
      </w:pPr>
      <w:rPr>
        <w:rFonts w:hint="eastAsia"/>
        <w:b w:val="0"/>
        <w:bCs w:val="0"/>
      </w:rPr>
    </w:lvl>
  </w:abstractNum>
  <w:abstractNum w:abstractNumId="18">
    <w:nsid w:val="4C33CBE2"/>
    <w:multiLevelType w:val="multilevel"/>
    <w:tmpl w:val="4C33CBE2"/>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9">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20">
    <w:nsid w:val="537C70F8"/>
    <w:multiLevelType w:val="multilevel"/>
    <w:tmpl w:val="537C70F8"/>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1">
    <w:nsid w:val="557CABA9"/>
    <w:multiLevelType w:val="multilevel"/>
    <w:tmpl w:val="557CABA9"/>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5959BFF6"/>
    <w:multiLevelType w:val="multilevel"/>
    <w:tmpl w:val="5959BFF6"/>
    <w:lvl w:ilvl="0" w:tentative="0">
      <w:start w:val="1"/>
      <w:numFmt w:val="decimal"/>
      <w:suff w:val="nothing"/>
      <w:lvlText w:val="%1."/>
      <w:lvlJc w:val="left"/>
      <w:pPr>
        <w:ind w:left="0" w:leftChars="0" w:firstLine="0" w:firstLineChars="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3">
    <w:nsid w:val="63B36EF9"/>
    <w:multiLevelType w:val="multilevel"/>
    <w:tmpl w:val="63B36EF9"/>
    <w:lvl w:ilvl="0" w:tentative="0">
      <w:start w:val="1"/>
      <w:numFmt w:val="chineseCounting"/>
      <w:suff w:val="nothing"/>
      <w:lvlText w:val="（%1）"/>
      <w:lvlJc w:val="left"/>
      <w:pPr>
        <w:tabs>
          <w:tab w:val="left" w:pos="0"/>
        </w:tabs>
        <w:ind w:left="420" w:hanging="420"/>
      </w:pPr>
      <w:rPr>
        <w:rFonts w:hint="eastAsia" w:ascii="宋体" w:hAnsi="宋体" w:eastAsia="楷体" w:cs="宋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4">
    <w:nsid w:val="66CD7663"/>
    <w:multiLevelType w:val="multilevel"/>
    <w:tmpl w:val="66CD7663"/>
    <w:lvl w:ilvl="0" w:tentative="0">
      <w:start w:val="1"/>
      <w:numFmt w:val="chineseCounting"/>
      <w:suff w:val="nothing"/>
      <w:lvlText w:val="（%1）"/>
      <w:lvlJc w:val="left"/>
      <w:pPr>
        <w:tabs>
          <w:tab w:val="left" w:pos="420"/>
        </w:tabs>
        <w:ind w:left="1129" w:hanging="420"/>
      </w:pPr>
      <w:rPr>
        <w:rFonts w:hint="eastAsia" w:ascii="宋体" w:hAnsi="宋体" w:eastAsia="楷体" w:cs="宋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18"/>
  </w:num>
  <w:num w:numId="2">
    <w:abstractNumId w:val="2"/>
  </w:num>
  <w:num w:numId="3">
    <w:abstractNumId w:val="22"/>
  </w:num>
  <w:num w:numId="4">
    <w:abstractNumId w:val="8"/>
  </w:num>
  <w:num w:numId="5">
    <w:abstractNumId w:val="17"/>
  </w:num>
  <w:num w:numId="6">
    <w:abstractNumId w:val="20"/>
  </w:num>
  <w:num w:numId="7">
    <w:abstractNumId w:val="5"/>
  </w:num>
  <w:num w:numId="8">
    <w:abstractNumId w:val="4"/>
  </w:num>
  <w:num w:numId="9">
    <w:abstractNumId w:val="12"/>
  </w:num>
  <w:num w:numId="10">
    <w:abstractNumId w:val="7"/>
  </w:num>
  <w:num w:numId="11">
    <w:abstractNumId w:val="6"/>
  </w:num>
  <w:num w:numId="12">
    <w:abstractNumId w:val="19"/>
  </w:num>
  <w:num w:numId="13">
    <w:abstractNumId w:val="23"/>
  </w:num>
  <w:num w:numId="14">
    <w:abstractNumId w:val="11"/>
  </w:num>
  <w:num w:numId="15">
    <w:abstractNumId w:val="21"/>
  </w:num>
  <w:num w:numId="16">
    <w:abstractNumId w:val="13"/>
  </w:num>
  <w:num w:numId="17">
    <w:abstractNumId w:val="1"/>
  </w:num>
  <w:num w:numId="18">
    <w:abstractNumId w:val="0"/>
  </w:num>
  <w:num w:numId="19">
    <w:abstractNumId w:val="24"/>
  </w:num>
  <w:num w:numId="20">
    <w:abstractNumId w:val="15"/>
  </w:num>
  <w:num w:numId="21">
    <w:abstractNumId w:val="3"/>
  </w:num>
  <w:num w:numId="22">
    <w:abstractNumId w:val="16"/>
  </w:num>
  <w:num w:numId="23">
    <w:abstractNumId w:val="9"/>
  </w:num>
  <w:num w:numId="24">
    <w:abstractNumId w:val="10"/>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F370E4"/>
    <w:rsid w:val="3AF370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38"/>
    <w:qFormat/>
    <w:uiPriority w:val="1"/>
    <w:pPr>
      <w:autoSpaceDE w:val="0"/>
      <w:autoSpaceDN w:val="0"/>
      <w:adjustRightInd w:val="0"/>
      <w:spacing w:before="17"/>
      <w:ind w:left="1144"/>
      <w:jc w:val="left"/>
      <w:outlineLvl w:val="0"/>
    </w:pPr>
    <w:rPr>
      <w:rFonts w:ascii="黑体" w:eastAsia="黑体"/>
      <w:b/>
      <w:bCs/>
      <w:kern w:val="0"/>
      <w:sz w:val="36"/>
      <w:szCs w:val="36"/>
    </w:rPr>
  </w:style>
  <w:style w:type="paragraph" w:styleId="4">
    <w:name w:val="heading 2"/>
    <w:basedOn w:val="1"/>
    <w:next w:val="1"/>
    <w:link w:val="51"/>
    <w:qFormat/>
    <w:uiPriority w:val="9"/>
    <w:pPr>
      <w:keepNext/>
      <w:keepLines/>
      <w:spacing w:before="260" w:after="260" w:line="416" w:lineRule="auto"/>
      <w:outlineLvl w:val="1"/>
    </w:pPr>
    <w:rPr>
      <w:rFonts w:ascii="Cambria" w:hAnsi="Cambria"/>
      <w:b/>
      <w:bCs/>
      <w:kern w:val="0"/>
      <w:sz w:val="32"/>
      <w:szCs w:val="32"/>
    </w:rPr>
  </w:style>
  <w:style w:type="paragraph" w:styleId="5">
    <w:name w:val="heading 3"/>
    <w:basedOn w:val="1"/>
    <w:next w:val="1"/>
    <w:link w:val="40"/>
    <w:qFormat/>
    <w:uiPriority w:val="1"/>
    <w:pPr>
      <w:autoSpaceDE w:val="0"/>
      <w:autoSpaceDN w:val="0"/>
      <w:adjustRightInd w:val="0"/>
      <w:spacing w:before="34"/>
      <w:ind w:left="120"/>
      <w:jc w:val="left"/>
      <w:outlineLvl w:val="2"/>
    </w:pPr>
    <w:rPr>
      <w:rFonts w:ascii="宋体"/>
      <w:b/>
      <w:bCs/>
      <w:kern w:val="0"/>
      <w:sz w:val="20"/>
      <w:szCs w:val="21"/>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2"/>
    <w:qFormat/>
    <w:uiPriority w:val="1"/>
    <w:pPr>
      <w:autoSpaceDE w:val="0"/>
      <w:autoSpaceDN w:val="0"/>
      <w:adjustRightInd w:val="0"/>
      <w:spacing w:before="162"/>
      <w:ind w:left="120"/>
      <w:jc w:val="left"/>
    </w:pPr>
    <w:rPr>
      <w:rFonts w:ascii="宋体"/>
      <w:kern w:val="0"/>
      <w:sz w:val="20"/>
      <w:szCs w:val="21"/>
    </w:rPr>
  </w:style>
  <w:style w:type="paragraph" w:styleId="6">
    <w:name w:val="annotation text"/>
    <w:basedOn w:val="1"/>
    <w:link w:val="41"/>
    <w:unhideWhenUsed/>
    <w:qFormat/>
    <w:uiPriority w:val="99"/>
    <w:pPr>
      <w:jc w:val="left"/>
    </w:pPr>
  </w:style>
  <w:style w:type="paragraph" w:styleId="7">
    <w:name w:val="Date"/>
    <w:basedOn w:val="1"/>
    <w:next w:val="1"/>
    <w:link w:val="54"/>
    <w:unhideWhenUsed/>
    <w:qFormat/>
    <w:uiPriority w:val="99"/>
    <w:pPr>
      <w:ind w:left="100" w:leftChars="2500"/>
    </w:pPr>
  </w:style>
  <w:style w:type="paragraph" w:styleId="8">
    <w:name w:val="Balloon Text"/>
    <w:basedOn w:val="1"/>
    <w:link w:val="55"/>
    <w:unhideWhenUsed/>
    <w:qFormat/>
    <w:uiPriority w:val="99"/>
    <w:rPr>
      <w:kern w:val="0"/>
      <w:sz w:val="18"/>
      <w:szCs w:val="18"/>
    </w:rPr>
  </w:style>
  <w:style w:type="paragraph" w:styleId="9">
    <w:name w:val="footer"/>
    <w:basedOn w:val="1"/>
    <w:link w:val="56"/>
    <w:unhideWhenUsed/>
    <w:qFormat/>
    <w:uiPriority w:val="99"/>
    <w:pPr>
      <w:tabs>
        <w:tab w:val="center" w:pos="4153"/>
        <w:tab w:val="right" w:pos="8306"/>
      </w:tabs>
      <w:snapToGrid w:val="0"/>
      <w:jc w:val="left"/>
    </w:pPr>
    <w:rPr>
      <w:kern w:val="0"/>
      <w:sz w:val="18"/>
      <w:szCs w:val="18"/>
    </w:rPr>
  </w:style>
  <w:style w:type="paragraph" w:styleId="10">
    <w:name w:val="header"/>
    <w:basedOn w:val="1"/>
    <w:link w:val="5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qFormat/>
    <w:uiPriority w:val="99"/>
    <w:pPr>
      <w:snapToGrid w:val="0"/>
      <w:jc w:val="left"/>
    </w:pPr>
    <w:rPr>
      <w:sz w:val="18"/>
      <w:szCs w:val="18"/>
    </w:rPr>
  </w:style>
  <w:style w:type="paragraph" w:styleId="1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4">
    <w:name w:val="annotation subject"/>
    <w:basedOn w:val="6"/>
    <w:next w:val="6"/>
    <w:link w:val="48"/>
    <w:unhideWhenUsed/>
    <w:qFormat/>
    <w:uiPriority w:val="99"/>
    <w:rPr>
      <w:b/>
      <w:bCs/>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qFormat/>
    <w:uiPriority w:val="99"/>
    <w:rPr>
      <w:rFonts w:ascii="Times New Roman" w:hAnsi="Times New Roman" w:eastAsia="宋体" w:cs="Times New Roman"/>
      <w:vertAlign w:val="superscript"/>
    </w:rPr>
  </w:style>
  <w:style w:type="character" w:customStyle="1" w:styleId="22">
    <w:name w:val="批注文字 字符"/>
    <w:qFormat/>
    <w:uiPriority w:val="99"/>
    <w:rPr>
      <w:rFonts w:ascii="Times New Roman" w:hAnsi="Times New Roman" w:eastAsia="宋体" w:cs="Times New Roman"/>
    </w:rPr>
  </w:style>
  <w:style w:type="character" w:customStyle="1" w:styleId="23">
    <w:name w:val="标题 3 字符"/>
    <w:qFormat/>
    <w:uiPriority w:val="1"/>
    <w:rPr>
      <w:rFonts w:ascii="宋体" w:hAnsi="Times New Roman" w:eastAsia="宋体" w:cs="Times New Roman"/>
      <w:b/>
      <w:bCs/>
      <w:kern w:val="0"/>
      <w:sz w:val="20"/>
      <w:szCs w:val="21"/>
    </w:rPr>
  </w:style>
  <w:style w:type="character" w:customStyle="1" w:styleId="24">
    <w:name w:val="脚注文本 字符1"/>
    <w:semiHidden/>
    <w:qFormat/>
    <w:uiPriority w:val="99"/>
    <w:rPr>
      <w:rFonts w:ascii="Times New Roman" w:hAnsi="Times New Roman" w:eastAsia="宋体" w:cs="Times New Roman"/>
      <w:sz w:val="18"/>
      <w:szCs w:val="18"/>
    </w:rPr>
  </w:style>
  <w:style w:type="character" w:customStyle="1" w:styleId="25">
    <w:name w:val="标题 2 字符"/>
    <w:qFormat/>
    <w:uiPriority w:val="9"/>
    <w:rPr>
      <w:rFonts w:ascii="Cambria" w:hAnsi="Cambria" w:eastAsia="宋体" w:cs="Times New Roman"/>
      <w:b/>
      <w:bCs/>
      <w:kern w:val="0"/>
      <w:sz w:val="32"/>
      <w:szCs w:val="32"/>
    </w:rPr>
  </w:style>
  <w:style w:type="character" w:customStyle="1" w:styleId="26">
    <w:name w:val="正文文本 字符"/>
    <w:qFormat/>
    <w:uiPriority w:val="1"/>
    <w:rPr>
      <w:rFonts w:ascii="宋体" w:hAnsi="Times New Roman" w:eastAsia="宋体" w:cs="Times New Roman"/>
      <w:kern w:val="0"/>
      <w:sz w:val="20"/>
      <w:szCs w:val="21"/>
    </w:rPr>
  </w:style>
  <w:style w:type="character" w:customStyle="1" w:styleId="27">
    <w:name w:val="脚注文本 字符"/>
    <w:semiHidden/>
    <w:qFormat/>
    <w:uiPriority w:val="99"/>
    <w:rPr>
      <w:rFonts w:ascii="Times New Roman" w:hAnsi="Times New Roman" w:eastAsia="宋体" w:cs="Times New Roman"/>
      <w:kern w:val="2"/>
      <w:sz w:val="18"/>
      <w:szCs w:val="18"/>
    </w:rPr>
  </w:style>
  <w:style w:type="character" w:customStyle="1" w:styleId="28">
    <w:name w:val="批注主题 字符"/>
    <w:semiHidden/>
    <w:qFormat/>
    <w:uiPriority w:val="99"/>
    <w:rPr>
      <w:rFonts w:ascii="Times New Roman" w:hAnsi="Times New Roman" w:eastAsia="宋体" w:cs="Times New Roman"/>
      <w:b/>
      <w:bCs/>
    </w:rPr>
  </w:style>
  <w:style w:type="character" w:customStyle="1" w:styleId="29">
    <w:name w:val="日期 字符"/>
    <w:basedOn w:val="17"/>
    <w:semiHidden/>
    <w:qFormat/>
    <w:uiPriority w:val="99"/>
    <w:rPr>
      <w:rFonts w:ascii="Times New Roman" w:hAnsi="Times New Roman" w:eastAsia="宋体" w:cs="Times New Roman"/>
    </w:rPr>
  </w:style>
  <w:style w:type="character" w:customStyle="1" w:styleId="30">
    <w:name w:val="标题 1 字符"/>
    <w:qFormat/>
    <w:uiPriority w:val="1"/>
    <w:rPr>
      <w:rFonts w:ascii="黑体" w:hAnsi="Times New Roman" w:eastAsia="黑体" w:cs="Times New Roman"/>
      <w:b/>
      <w:bCs/>
      <w:kern w:val="0"/>
      <w:sz w:val="36"/>
      <w:szCs w:val="36"/>
    </w:rPr>
  </w:style>
  <w:style w:type="character" w:customStyle="1" w:styleId="31">
    <w:name w:val="页脚 字符"/>
    <w:qFormat/>
    <w:uiPriority w:val="99"/>
    <w:rPr>
      <w:rFonts w:ascii="Times New Roman" w:hAnsi="Times New Roman" w:eastAsia="宋体" w:cs="Times New Roman"/>
      <w:kern w:val="0"/>
      <w:sz w:val="18"/>
      <w:szCs w:val="18"/>
    </w:rPr>
  </w:style>
  <w:style w:type="character" w:customStyle="1" w:styleId="32">
    <w:name w:val="页眉 字符"/>
    <w:qFormat/>
    <w:uiPriority w:val="99"/>
    <w:rPr>
      <w:rFonts w:ascii="Times New Roman" w:hAnsi="Times New Roman" w:eastAsia="宋体" w:cs="Times New Roman"/>
      <w:kern w:val="0"/>
      <w:sz w:val="18"/>
      <w:szCs w:val="18"/>
    </w:rPr>
  </w:style>
  <w:style w:type="character" w:customStyle="1" w:styleId="33">
    <w:name w:val="批注框文本 字符"/>
    <w:semiHidden/>
    <w:qFormat/>
    <w:uiPriority w:val="99"/>
    <w:rPr>
      <w:rFonts w:ascii="Times New Roman" w:hAnsi="Times New Roman" w:eastAsia="宋体" w:cs="Times New Roman"/>
      <w:kern w:val="0"/>
      <w:sz w:val="18"/>
      <w:szCs w:val="18"/>
    </w:rPr>
  </w:style>
  <w:style w:type="paragraph" w:customStyle="1" w:styleId="34">
    <w:name w:val="Table Paragraph"/>
    <w:basedOn w:val="1"/>
    <w:qFormat/>
    <w:uiPriority w:val="1"/>
    <w:pPr>
      <w:autoSpaceDE w:val="0"/>
      <w:autoSpaceDN w:val="0"/>
      <w:adjustRightInd w:val="0"/>
      <w:jc w:val="left"/>
    </w:pPr>
    <w:rPr>
      <w:kern w:val="0"/>
      <w:sz w:val="24"/>
      <w:szCs w:val="24"/>
    </w:rPr>
  </w:style>
  <w:style w:type="paragraph" w:customStyle="1" w:styleId="3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styleId="36">
    <w:name w:val="List Paragraph"/>
    <w:basedOn w:val="1"/>
    <w:qFormat/>
    <w:uiPriority w:val="72"/>
    <w:pPr>
      <w:ind w:firstLine="420" w:firstLineChars="200"/>
    </w:pPr>
  </w:style>
  <w:style w:type="paragraph" w:customStyle="1" w:styleId="37">
    <w:name w:val="_Style 36"/>
    <w:semiHidden/>
    <w:qFormat/>
    <w:uiPriority w:val="99"/>
    <w:rPr>
      <w:rFonts w:ascii="Times New Roman" w:hAnsi="Times New Roman" w:eastAsia="宋体" w:cs="Times New Roman"/>
      <w:kern w:val="2"/>
      <w:sz w:val="21"/>
      <w:szCs w:val="22"/>
      <w:lang w:val="en-US" w:eastAsia="zh-CN" w:bidi="ar-SA"/>
    </w:rPr>
  </w:style>
  <w:style w:type="character" w:customStyle="1" w:styleId="38">
    <w:name w:val="标题 1 字符1"/>
    <w:link w:val="3"/>
    <w:qFormat/>
    <w:uiPriority w:val="1"/>
    <w:rPr>
      <w:rFonts w:ascii="黑体" w:hAnsi="Times New Roman" w:eastAsia="黑体" w:cs="Times New Roman"/>
      <w:b/>
      <w:bCs/>
      <w:kern w:val="0"/>
      <w:sz w:val="36"/>
      <w:szCs w:val="36"/>
    </w:rPr>
  </w:style>
  <w:style w:type="character" w:customStyle="1" w:styleId="39">
    <w:name w:val="标题 2 字符1"/>
    <w:link w:val="4"/>
    <w:qFormat/>
    <w:uiPriority w:val="9"/>
    <w:rPr>
      <w:rFonts w:ascii="Cambria" w:hAnsi="Cambria" w:eastAsia="宋体" w:cs="Times New Roman"/>
      <w:b/>
      <w:bCs/>
      <w:kern w:val="0"/>
      <w:sz w:val="32"/>
      <w:szCs w:val="32"/>
    </w:rPr>
  </w:style>
  <w:style w:type="character" w:customStyle="1" w:styleId="40">
    <w:name w:val="标题 3 字符1"/>
    <w:link w:val="5"/>
    <w:qFormat/>
    <w:uiPriority w:val="1"/>
    <w:rPr>
      <w:rFonts w:ascii="宋体" w:hAnsi="Times New Roman" w:eastAsia="宋体" w:cs="Times New Roman"/>
      <w:b/>
      <w:bCs/>
      <w:kern w:val="0"/>
      <w:sz w:val="20"/>
      <w:szCs w:val="21"/>
    </w:rPr>
  </w:style>
  <w:style w:type="character" w:customStyle="1" w:styleId="41">
    <w:name w:val="批注文字 字符1"/>
    <w:link w:val="6"/>
    <w:qFormat/>
    <w:uiPriority w:val="99"/>
    <w:rPr>
      <w:rFonts w:ascii="Times New Roman" w:hAnsi="Times New Roman" w:eastAsia="宋体" w:cs="Times New Roman"/>
    </w:rPr>
  </w:style>
  <w:style w:type="character" w:customStyle="1" w:styleId="42">
    <w:name w:val="正文文本 字符1"/>
    <w:link w:val="2"/>
    <w:qFormat/>
    <w:uiPriority w:val="1"/>
    <w:rPr>
      <w:rFonts w:ascii="宋体" w:hAnsi="Times New Roman" w:eastAsia="宋体" w:cs="Times New Roman"/>
      <w:kern w:val="0"/>
      <w:sz w:val="20"/>
      <w:szCs w:val="21"/>
    </w:rPr>
  </w:style>
  <w:style w:type="character" w:customStyle="1" w:styleId="43">
    <w:name w:val="日期 字符1"/>
    <w:basedOn w:val="17"/>
    <w:link w:val="7"/>
    <w:semiHidden/>
    <w:qFormat/>
    <w:uiPriority w:val="99"/>
    <w:rPr>
      <w:rFonts w:ascii="Times New Roman" w:hAnsi="Times New Roman" w:eastAsia="宋体" w:cs="Times New Roman"/>
    </w:rPr>
  </w:style>
  <w:style w:type="character" w:customStyle="1" w:styleId="44">
    <w:name w:val="批注框文本 字符1"/>
    <w:link w:val="8"/>
    <w:semiHidden/>
    <w:qFormat/>
    <w:uiPriority w:val="99"/>
    <w:rPr>
      <w:rFonts w:ascii="Times New Roman" w:hAnsi="Times New Roman" w:eastAsia="宋体" w:cs="Times New Roman"/>
      <w:kern w:val="0"/>
      <w:sz w:val="18"/>
      <w:szCs w:val="18"/>
    </w:rPr>
  </w:style>
  <w:style w:type="character" w:customStyle="1" w:styleId="45">
    <w:name w:val="页脚 字符1"/>
    <w:link w:val="9"/>
    <w:qFormat/>
    <w:uiPriority w:val="99"/>
    <w:rPr>
      <w:rFonts w:ascii="Times New Roman" w:hAnsi="Times New Roman" w:eastAsia="宋体" w:cs="Times New Roman"/>
      <w:kern w:val="0"/>
      <w:sz w:val="18"/>
      <w:szCs w:val="18"/>
    </w:rPr>
  </w:style>
  <w:style w:type="character" w:customStyle="1" w:styleId="46">
    <w:name w:val="页眉 字符1"/>
    <w:link w:val="10"/>
    <w:qFormat/>
    <w:uiPriority w:val="99"/>
    <w:rPr>
      <w:rFonts w:ascii="Times New Roman" w:hAnsi="Times New Roman" w:eastAsia="宋体" w:cs="Times New Roman"/>
      <w:kern w:val="0"/>
      <w:sz w:val="18"/>
      <w:szCs w:val="18"/>
    </w:rPr>
  </w:style>
  <w:style w:type="character" w:customStyle="1" w:styleId="47">
    <w:name w:val="脚注文本 字符2"/>
    <w:link w:val="11"/>
    <w:semiHidden/>
    <w:qFormat/>
    <w:uiPriority w:val="99"/>
    <w:rPr>
      <w:rFonts w:ascii="Times New Roman" w:hAnsi="Times New Roman" w:eastAsia="宋体" w:cs="Times New Roman"/>
      <w:sz w:val="18"/>
      <w:szCs w:val="18"/>
    </w:rPr>
  </w:style>
  <w:style w:type="character" w:customStyle="1" w:styleId="48">
    <w:name w:val="批注主题 字符1"/>
    <w:link w:val="14"/>
    <w:semiHidden/>
    <w:qFormat/>
    <w:uiPriority w:val="99"/>
    <w:rPr>
      <w:rFonts w:ascii="Times New Roman" w:hAnsi="Times New Roman" w:eastAsia="宋体" w:cs="Times New Roman"/>
      <w:b/>
      <w:bCs/>
    </w:rPr>
  </w:style>
  <w:style w:type="character" w:customStyle="1" w:styleId="49">
    <w:name w:val="正文文本 Char"/>
    <w:link w:val="2"/>
    <w:qFormat/>
    <w:uiPriority w:val="1"/>
    <w:rPr>
      <w:rFonts w:ascii="宋体" w:hAnsi="Times New Roman" w:eastAsia="宋体" w:cs="宋体"/>
      <w:kern w:val="0"/>
      <w:szCs w:val="21"/>
    </w:rPr>
  </w:style>
  <w:style w:type="character" w:customStyle="1" w:styleId="50">
    <w:name w:val="标题 1 Char"/>
    <w:link w:val="3"/>
    <w:qFormat/>
    <w:uiPriority w:val="1"/>
    <w:rPr>
      <w:rFonts w:ascii="黑体" w:hAnsi="Times New Roman" w:eastAsia="黑体" w:cs="黑体"/>
      <w:b/>
      <w:bCs/>
      <w:kern w:val="0"/>
      <w:sz w:val="36"/>
      <w:szCs w:val="36"/>
    </w:rPr>
  </w:style>
  <w:style w:type="character" w:customStyle="1" w:styleId="51">
    <w:name w:val="标题 2 Char"/>
    <w:link w:val="4"/>
    <w:qFormat/>
    <w:uiPriority w:val="9"/>
    <w:rPr>
      <w:rFonts w:ascii="Cambria" w:hAnsi="Cambria" w:eastAsia="宋体" w:cs="Times New Roman"/>
      <w:b/>
      <w:bCs/>
      <w:sz w:val="32"/>
      <w:szCs w:val="32"/>
    </w:rPr>
  </w:style>
  <w:style w:type="character" w:customStyle="1" w:styleId="52">
    <w:name w:val="标题 3 Char"/>
    <w:link w:val="5"/>
    <w:qFormat/>
    <w:uiPriority w:val="1"/>
    <w:rPr>
      <w:rFonts w:ascii="宋体" w:hAnsi="Times New Roman" w:eastAsia="宋体" w:cs="宋体"/>
      <w:b/>
      <w:bCs/>
      <w:kern w:val="0"/>
      <w:szCs w:val="21"/>
    </w:rPr>
  </w:style>
  <w:style w:type="character" w:customStyle="1" w:styleId="53">
    <w:name w:val="批注文字 Char"/>
    <w:link w:val="6"/>
    <w:qFormat/>
    <w:uiPriority w:val="99"/>
    <w:rPr>
      <w:rFonts w:ascii="Times New Roman" w:hAnsi="Times New Roman" w:eastAsia="宋体" w:cs="Times New Roman"/>
      <w:kern w:val="2"/>
      <w:sz w:val="21"/>
      <w:szCs w:val="22"/>
    </w:rPr>
  </w:style>
  <w:style w:type="character" w:customStyle="1" w:styleId="54">
    <w:name w:val="日期 Char"/>
    <w:basedOn w:val="17"/>
    <w:link w:val="7"/>
    <w:semiHidden/>
    <w:qFormat/>
    <w:uiPriority w:val="99"/>
    <w:rPr>
      <w:rFonts w:ascii="Times New Roman" w:hAnsi="Times New Roman" w:eastAsia="宋体" w:cs="Times New Roman"/>
    </w:rPr>
  </w:style>
  <w:style w:type="character" w:customStyle="1" w:styleId="55">
    <w:name w:val="批注框文本 Char"/>
    <w:link w:val="8"/>
    <w:semiHidden/>
    <w:qFormat/>
    <w:uiPriority w:val="99"/>
    <w:rPr>
      <w:rFonts w:ascii="Times New Roman" w:hAnsi="Times New Roman" w:eastAsia="宋体" w:cs="Times New Roman"/>
      <w:sz w:val="18"/>
      <w:szCs w:val="18"/>
    </w:rPr>
  </w:style>
  <w:style w:type="character" w:customStyle="1" w:styleId="56">
    <w:name w:val="页脚 Char"/>
    <w:link w:val="9"/>
    <w:qFormat/>
    <w:uiPriority w:val="99"/>
    <w:rPr>
      <w:rFonts w:ascii="Times New Roman" w:hAnsi="Times New Roman" w:eastAsia="宋体" w:cs="Times New Roman"/>
      <w:sz w:val="18"/>
      <w:szCs w:val="18"/>
    </w:rPr>
  </w:style>
  <w:style w:type="character" w:customStyle="1" w:styleId="57">
    <w:name w:val="页眉 Char"/>
    <w:link w:val="10"/>
    <w:qFormat/>
    <w:uiPriority w:val="99"/>
    <w:rPr>
      <w:rFonts w:ascii="Times New Roman" w:hAnsi="Times New Roman" w:eastAsia="宋体" w:cs="Times New Roman"/>
      <w:sz w:val="18"/>
      <w:szCs w:val="18"/>
    </w:rPr>
  </w:style>
  <w:style w:type="character" w:customStyle="1" w:styleId="58">
    <w:name w:val="脚注文本 Char"/>
    <w:link w:val="11"/>
    <w:qFormat/>
    <w:uiPriority w:val="99"/>
    <w:rPr>
      <w:rFonts w:ascii="Times New Roman" w:hAnsi="Times New Roman" w:eastAsia="宋体" w:cs="Times New Roman"/>
      <w:kern w:val="2"/>
      <w:sz w:val="18"/>
      <w:szCs w:val="18"/>
    </w:rPr>
  </w:style>
  <w:style w:type="character" w:customStyle="1" w:styleId="59">
    <w:name w:val="批注主题 Char"/>
    <w:link w:val="14"/>
    <w:semiHidden/>
    <w:qFormat/>
    <w:uiPriority w:val="99"/>
    <w:rPr>
      <w:rFonts w:ascii="Times New Roman" w:hAnsi="Times New Roman" w:eastAsia="宋体" w:cs="Times New Roman"/>
      <w:b/>
      <w:bCs/>
      <w:kern w:val="2"/>
      <w:sz w:val="21"/>
      <w:szCs w:val="22"/>
    </w:rPr>
  </w:style>
  <w:style w:type="paragraph" w:customStyle="1" w:styleId="60">
    <w:name w:val="_Style 34"/>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52"/>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21814</Words>
  <Characters>22616</Characters>
  <Lines>243</Lines>
  <Paragraphs>68</Paragraphs>
  <TotalTime>35</TotalTime>
  <ScaleCrop>false</ScaleCrop>
  <LinksUpToDate>false</LinksUpToDate>
  <CharactersWithSpaces>22805</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2024-05-11T09:26:00Z</dcterms:created>
  <dc:creator>孙伯略</dc:creator>
  <cp:lastModifiedBy>jsyh</cp:lastModifiedBy>
  <cp:lastPrinted>2024-07-15T08:58:00Z</cp:lastPrinted>
  <dcterms:modified xsi:type="dcterms:W3CDTF">2025-10-14T01:38:17Z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3D9DA4FEC1AC4898A5CD8A2776F83D6F</vt:lpwstr>
  </property>
</Properties>
</file>