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苏银理财恒源1年定开37期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苏银理财恒源1年定开37期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（2026年1月版）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苏银理财恒源1年定开37期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苏银理财恒源1年定开37期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Z700312200015</w:t>
            </w:r>
            <w:r>
              <w:rPr>
                <w:rFonts w:hint="eastAsia" w:ascii="楷体" w:hAnsi="楷体" w:eastAsia="楷体" w:cs="宋体"/>
                <w:spacing w:val="-2"/>
                <w:sz w:val="18"/>
                <w:szCs w:val="18"/>
                <w:lang w:val="en-US" w:eastAsia="zh-CN"/>
              </w:rPr>
              <w:t>8</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A份额:苏银理财恒源1年定开37期A/J02184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B份额:苏银理财恒源1年定开37期B/J02185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C份额:苏银理财恒源1年定开37期C/J13207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D份额:苏银理财恒源1年定开37期D/J03010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F份额:苏银理财恒源1年定开37期F/J03011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G份额:苏银理财恒源1年定开37期G/J02186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H份额:苏银理财恒源1年定开37期H/J02187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J份额:苏银理财恒源1年定开37期J/J03012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M份额:苏银理财恒源1年定开37期M/J13208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P份额:苏银理财恒源1年定开37期P/J13209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O份额:苏银理财恒源1年定开37期O（兰州银行开门红专属）/J13210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U份额:苏银理财恒源1年定开37期U/J13211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Z份额:苏银理财恒源1年定开37期Z/J13212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ZA份额:苏银理财恒源1年定开37期ZA鑫福款（自动赎回）/J03013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ZF份额:苏银理财恒源1年定开37期ZF（自动赎回）/J03014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ZN份额:苏银理财恒源1年定开37期ZN（自动赎回）/J03714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ZD份额:苏银理财恒源1年定开37期ZD（自动赎回）/J13214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ZC份额:苏银理财恒源1年定开37期ZC鑫福优享（自动赎回）/J13313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ZK份额:苏银理财恒源1年定开37期ZK鑫福尊享（自动赎回）/J13523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H份额: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M份额: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ZD</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12</w:t>
            </w:r>
            <w:r>
              <w:rPr>
                <w:rFonts w:hint="eastAsia" w:ascii="楷体" w:hAnsi="楷体" w:eastAsia="楷体" w:cs="宋体"/>
                <w:spacing w:val="-2"/>
                <w:sz w:val="18"/>
                <w:szCs w:val="18"/>
                <w:lang w:eastAsia="zh-CN"/>
              </w:rPr>
              <w:t>月2</w:t>
            </w:r>
            <w:r>
              <w:rPr>
                <w:rFonts w:hint="eastAsia" w:ascii="楷体" w:hAnsi="楷体" w:eastAsia="楷体" w:cs="宋体"/>
                <w:spacing w:val="-2"/>
                <w:sz w:val="18"/>
                <w:szCs w:val="18"/>
                <w:lang w:val="en-US" w:eastAsia="zh-CN"/>
              </w:rPr>
              <w:t>9</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4</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5</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3</w:t>
            </w:r>
            <w:r>
              <w:rPr>
                <w:rFonts w:hint="eastAsia" w:ascii="楷体" w:hAnsi="楷体" w:eastAsia="楷体" w:cs="宋体"/>
                <w:color w:val="auto"/>
                <w:spacing w:val="-2"/>
                <w:sz w:val="18"/>
                <w:szCs w:val="18"/>
                <w:lang w:eastAsia="zh-CN"/>
              </w:rPr>
              <w:t>年1月</w:t>
            </w:r>
            <w:r>
              <w:rPr>
                <w:rFonts w:hint="eastAsia" w:ascii="楷体" w:hAnsi="楷体" w:eastAsia="楷体" w:cs="宋体"/>
                <w:color w:val="auto"/>
                <w:spacing w:val="-2"/>
                <w:sz w:val="18"/>
                <w:szCs w:val="18"/>
                <w:lang w:val="en-US" w:eastAsia="zh-CN"/>
              </w:rPr>
              <w:t>27</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最新投资周期（2026年2月6日-2027年3月1日）开放申购与赎回时间为：</w:t>
            </w:r>
            <w:r>
              <w:rPr>
                <w:rFonts w:hint="eastAsia" w:ascii="楷体" w:hAnsi="楷体" w:eastAsia="楷体" w:cs="宋体"/>
                <w:b/>
                <w:bCs/>
                <w:spacing w:val="-2"/>
                <w:sz w:val="18"/>
                <w:szCs w:val="18"/>
                <w:highlight w:val="none"/>
                <w:lang w:val="en-US" w:eastAsia="zh-CN"/>
              </w:rPr>
              <w:t>2026年1月28日至2026年2月5日（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(其中ZA份额/ZF份额/ZN份额/ZD份额/ZC份额/ZK份额由系统主动发起赎回申请，投资者无须发起赎回申请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2026年2月6日-2027年3月1日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2023年1月5日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2024年1月11日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G份额 4.20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H份额 4.20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cs="宋体"/>
                      <w:spacing w:val="-2"/>
                      <w:sz w:val="18"/>
                      <w:szCs w:val="18"/>
                      <w:lang w:val="en-US" w:eastAsia="zh-CN"/>
                    </w:rPr>
                    <w:t>2024年1月12日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2025年1月13日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H</w:t>
                  </w:r>
                  <w:r>
                    <w:rPr>
                      <w:rFonts w:hint="default" w:ascii="楷体" w:hAnsi="楷体" w:eastAsia="楷体" w:cs="Times New Roman"/>
                      <w:sz w:val="18"/>
                      <w:szCs w:val="18"/>
                      <w:lang w:val="en-US" w:eastAsia="zh-CN"/>
                    </w:rPr>
                    <w:t>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sz w:val="18"/>
                      <w:szCs w:val="18"/>
                      <w:lang w:val="en-US" w:eastAsia="zh-CN"/>
                    </w:rPr>
                  </w:pPr>
                  <w:r>
                    <w:rPr>
                      <w:rFonts w:hint="eastAsia" w:ascii="楷体" w:hAnsi="楷体" w:eastAsia="楷体" w:cs="宋体"/>
                      <w:spacing w:val="-2"/>
                      <w:sz w:val="18"/>
                      <w:szCs w:val="18"/>
                      <w:lang w:val="en-US" w:eastAsia="zh-CN"/>
                    </w:rPr>
                    <w:t>2025年1月14日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2026年2月5日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2.73</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H</w:t>
                  </w:r>
                  <w:r>
                    <w:rPr>
                      <w:rFonts w:hint="default" w:ascii="楷体" w:hAnsi="楷体" w:eastAsia="楷体" w:cs="Times New Roman"/>
                      <w:sz w:val="18"/>
                      <w:szCs w:val="18"/>
                      <w:lang w:val="en-US" w:eastAsia="zh-CN"/>
                    </w:rPr>
                    <w:t>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cs="Times New Roman"/>
                      <w:sz w:val="18"/>
                      <w:szCs w:val="18"/>
                      <w:lang w:val="en-US" w:eastAsia="zh-CN"/>
                    </w:rPr>
                    <w:t>ZN份额 2.80%-3.40%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2026年2月6日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2027年3月1日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H份额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M份额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 xml:space="preserve">U份额 </w:t>
                  </w:r>
                  <w:r>
                    <w:rPr>
                      <w:rFonts w:hint="default" w:ascii="楷体" w:hAnsi="楷体" w:eastAsia="楷体" w:cs="Times New Roman"/>
                      <w:sz w:val="18"/>
                      <w:szCs w:val="18"/>
                      <w:lang w:val="en-US" w:eastAsia="zh-CN"/>
                    </w:rPr>
                    <w:t>2.45%-3.05%</w:t>
                  </w:r>
                  <w:r>
                    <w:rPr>
                      <w:rFonts w:hint="eastAsia" w:ascii="楷体" w:hAnsi="楷体" w:eastAsia="楷体" w:cs="Times New Roman"/>
                      <w:sz w:val="18"/>
                      <w:szCs w:val="18"/>
                      <w:lang w:val="en-US" w:eastAsia="zh-CN"/>
                    </w:rPr>
                    <w:t xml:space="preserve"> </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0.55%，H份额 0.60%，J份额 0.50%，M份额 0.55%，P份额 0.45%，O份额 0.55%，U份额 0.60%，Z份额 0.65%，ZA份额 0.65%，ZF份额 0.65%，ZN份额 0.55%，ZD份额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0.72%，H份额 0.65%，J份额 0.70%，M份额 0.65%，P份额 0.65%，O份额 0.65%，U份额 0.70%，Z份额 0.65%，ZA份额 0.65%，ZF份额 0.65%，ZN份额 0.65%，ZD份额 0.60%，</w:t>
            </w:r>
            <w:bookmarkStart w:id="0" w:name="_GoBack"/>
            <w:bookmarkEnd w:id="0"/>
            <w:r>
              <w:rPr>
                <w:rFonts w:hint="eastAsia" w:ascii="楷体" w:hAnsi="楷体" w:eastAsia="楷体" w:cs="宋体"/>
                <w:color w:val="auto"/>
                <w:spacing w:val="-2"/>
                <w:sz w:val="18"/>
                <w:szCs w:val="18"/>
                <w:highlight w:val="none"/>
                <w:lang w:val="en-US" w:eastAsia="zh-CN"/>
              </w:rPr>
              <w:t>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D份额：江苏江阴农村商业银行股份有限公司/江苏南通农村商业银行股份有限公司/江苏银行股份有限公司/上海银行股份有限公司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萧山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H份额：宁波东海银行股份有限公司/齐鲁银行股份有限公司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M份额：郑州银行股份有限公司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金湖农村商业银行股份有限公司/江苏靖江农村商业银行股份有限公司/江苏句容农村商业银行股份有限公司/江苏溧水农村商业银行股份有限公司/江苏南通农村商业银行股份有限公司/江苏邳州农村商业银行股份有限公司/江苏启东农村商业银行股份有限公司/江苏如东农村商业银行股份有限公司/江苏沭阳农村商业银行股份有限公司/江苏泗阳农村商业银行股份有限公司/江苏苏州农村商业银行股份有限公司/江苏睢宁农村商业银行股份有限公司/江苏泰兴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余姚农村商业银行股份有限公司/宁波镇海农村商业银行股份有限公司/厦门银行股份有限公司/石嘴山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兰溪农村商业银行股份有限公司/浙江临安农村商业银行股份有限公司/浙江临海农村商业银行股份有限公司/浙江民泰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温岭农村商业银行股份有限公司/浙江温州龙湾农村商业银行股份有限公司/浙江温州瓯海农村商业银行股份有限公司/浙江萧山农村商业银行股份有限公司/浙江新昌农村商业银行股份有限公司/浙江义乌农村商业银行股份有限公司/浙江永康农村商业银行股份有限公司/中山农村商业银行股份有限公司</w:t>
      </w:r>
    </w:p>
    <w:p>
      <w:pPr>
        <w:ind w:left="420" w:leftChars="200" w:firstLine="0" w:firstLineChars="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ZN份额：河北银行股份有限公司/宁波通商银行股份有限公司/浙江萧山农村商业银行股份有限公司</w:t>
      </w:r>
    </w:p>
    <w:p>
      <w:pPr>
        <w:ind w:firstLine="420" w:firstLineChars="200"/>
        <w:jc w:val="both"/>
        <w:rPr>
          <w:rFonts w:hint="eastAsia" w:ascii="楷体" w:hAnsi="楷体" w:eastAsia="楷体" w:cs="楷体"/>
          <w:sz w:val="21"/>
          <w:szCs w:val="21"/>
          <w:highlight w:val="none"/>
          <w:lang w:val="en-US" w:eastAsia="zh-CN"/>
        </w:rPr>
      </w:pPr>
      <w:r>
        <w:rPr>
          <w:rFonts w:hint="eastAsia" w:ascii="楷体" w:hAnsi="楷体" w:eastAsia="楷体" w:cs="楷体"/>
          <w:kern w:val="2"/>
          <w:sz w:val="21"/>
          <w:szCs w:val="21"/>
          <w:highlight w:val="none"/>
          <w:lang w:val="en-US" w:eastAsia="zh-CN" w:bidi="ar-SA"/>
        </w:rPr>
        <w:t>ZD份额：</w:t>
      </w:r>
      <w:r>
        <w:rPr>
          <w:rFonts w:hint="eastAsia" w:ascii="楷体" w:hAnsi="楷体" w:eastAsia="楷体" w:cs="楷体"/>
          <w:sz w:val="21"/>
          <w:szCs w:val="21"/>
          <w:highlight w:val="none"/>
          <w:lang w:val="en-US" w:eastAsia="zh-CN"/>
        </w:rPr>
        <w:t>兴业银行股份有限公司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江苏紫金农村商业银行股份有限公司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江苏紫金农村商业银行股份有限公司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left="0" w:leftChars="0" w:firstLine="420" w:firstLineChars="200"/>
        <w:jc w:val="left"/>
        <w:rPr>
          <w:rFonts w:hint="default"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通圆宏控股集团有限公司。融资人经营正常，是依法设立的国有公司，主要股东为南通市通州区人民政府，实际控制人为南通市通州区人民政府。（4）非标准化债权类资产：融资人为泰兴市中鑫投资集团有限公司。融资人经营正常，是依法设立的国有公司，主要股东为泰州化工新材料产业发展集团有限公司，实际控制人为泰兴市政府国有资产监督管理委员会。（5）非标准化债权类资产：融资人为泰兴市交通控股有限公司。融资人经营正常，是依法设立的国有公司，主要股东为泰兴市人民政府国有资产监督管理办公室，实际控制人为泰兴市人民政府国有资产监督管理办公室。（6）非标准化债权类资产：融资人为海安市城建开发投资集团有限公司。融资人经营正常，是依法设立的国有公司，主要股东为海安市政府国有资产监督管理办公室，实际控制人为海安市政府国有资产监督管理办公室。（7）非标准化债权类资产：融资人为扬州市邗江国有资产经营有限公司。融资人经营正常，是依法设立的国有公司，主要股东为扬州市邗江城市建设发展有限公司，扬州市正本溯源建设发展有限公司，实际控制人为扬州市人民政府。（8）非标准化债权类资产：融资人为镇江铁路投资发展有限公司。融资人经营正常，是依法设立的国有公司，主要股东为镇江市人民政府国有资产监督管理委员会，实际控制人为镇江市人民政府国有资产监督管理委员会。（9）非标准化债权类资产：融资人为江苏开晟产业发展集团有限公司。融资人经营正常，是依法设立的国有公司，主要股东为海安经济技术开发区管理委员会，实际控制人为海安经济技术开发区管理委员会。（10）非标准化债权类资产：融资人为溱湖文化旅游集团有限公司。融资人经营正常，是依法设立的国有公司，主要股东为泰州市康旅文化产业集团有限公司、江苏东润数字科技有限公司、江苏金姜城投资集团有限公司，实际控制人为泰州市姜堰区人民政府国有资产监督管理办公室。（11）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12）非标准化债权类资产：融资人为淮安高新控股有限公司。融资人经营正常，是依法设立的国有公司，主要股东为淮安市财政局、淮安市交通控股集团有限公司、淮安新城投资开发集团有限公司，淮安国发投资集团有限公司，淮安市宏信国有资产投资管理有限公司，淮安市国有联合投资发展集团有限公司和淮安市投资控股集团有限公司，实际控制人为淮安市人民政府。（13）非标准化债权类资产：融资人为江苏瑞海投资控股集团有限公司。融资人经营正常，是依法设立的国有公司，主要股东为海安市国有资产管理中心，实际控制人为海安市国有资产管理中心。（14）非标准化债权类资产：融资人为桐庐县城市建设投资集团有限公司。融资人经营正常，是依法设立的国有公司，主要股东为桐庐投资建设发展集团有限公司，实际控制人为桐庐县人民政府国有资产监督管理委员会。（15）非标准化债权类资产：融资人为绍兴市越城区城市发展建设集团有限公司。融资人经营正常，是依法设立的国有公司，主要股东为绍兴市越城区财政局，实际控制人为绍兴市越城区财政局。（16）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17）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18）非标准化债权类资产：融资人为兰溪市城市投资集团有限公司。融资人经营正常，是依法设立的国有公司，主要股东为兰溪市城市发展集团有限公司，实际控制人为兰溪市人民政府国有资产监督管理办公室。（19）非标准化债权类资产：融资人为苏皖合作示范区建设发展集团有限公司。融资人经营正常，是依法设立的国有公司，主要股东为溧阳市国有资产管理中心，实际控制人为溧阳市财政局。（20）非标准化债权类资产：融资人为江苏云港发展集团有限公司。融资人经营正常，是依法设立的国有公司，主要股东为江苏海州湾控股集团有限公司，实际控制人为连云港市连云区人民政府。（21）非标准化债权类资产：融资人为射阳建设投资集团有限公司。融资人经营正常，是依法设立的国有公司，主要股东为江苏省盐城市射阳县人民政府，实际控制人为江苏省盐城市射阳县人民政府。（22）非标准化债权类资产：融资人为盐城市大丰区谐城实业发展有限公司。融资人经营正常，是依法设立的国有公司，主要股东为盐城市大丰区城市建设集团有限公司，实际控制人为江苏省盐城市大丰区人民政府。</w:t>
      </w:r>
    </w:p>
    <w:p>
      <w:pPr>
        <w:numPr>
          <w:ilvl w:val="-1"/>
          <w:numId w:val="0"/>
        </w:numPr>
        <w:ind w:firstLine="558" w:firstLineChars="266"/>
        <w:rPr>
          <w:rFonts w:hint="eastAsia" w:ascii="楷体" w:hAnsi="楷体" w:eastAsia="楷体"/>
          <w:sz w:val="21"/>
          <w:szCs w:val="21"/>
        </w:rPr>
      </w:pPr>
      <w:r>
        <w:rPr>
          <w:rFonts w:hint="eastAsia" w:ascii="楷体" w:hAnsi="楷体" w:eastAsia="楷体"/>
          <w:sz w:val="21"/>
          <w:szCs w:val="21"/>
          <w:lang w:eastAsia="zh-CN"/>
        </w:rPr>
        <w:t>（</w:t>
      </w:r>
      <w:r>
        <w:rPr>
          <w:rFonts w:hint="eastAsia" w:ascii="楷体" w:hAnsi="楷体" w:eastAsia="楷体"/>
          <w:sz w:val="21"/>
          <w:szCs w:val="21"/>
          <w:lang w:val="en-US" w:eastAsia="zh-CN"/>
        </w:rPr>
        <w:t>1）-（2）各</w:t>
      </w:r>
      <w:r>
        <w:rPr>
          <w:rFonts w:hint="eastAsia" w:ascii="楷体" w:hAnsi="楷体" w:eastAsia="楷体" w:cs="楷体"/>
          <w:kern w:val="2"/>
          <w:sz w:val="21"/>
          <w:szCs w:val="21"/>
          <w:highlight w:val="none"/>
          <w:lang w:val="en-US" w:eastAsia="zh-CN" w:bidi="ar-SA"/>
        </w:rPr>
        <w:t>资产到期日不超过理财产品投资周期终止日，循环期不还本、摊还期过手摊还本息；</w:t>
      </w:r>
      <w:r>
        <w:rPr>
          <w:rFonts w:hint="eastAsia" w:ascii="楷体" w:hAnsi="楷体" w:eastAsia="楷体"/>
          <w:sz w:val="21"/>
          <w:szCs w:val="21"/>
          <w:lang w:eastAsia="zh-CN"/>
        </w:rPr>
        <w:t>（</w:t>
      </w:r>
      <w:r>
        <w:rPr>
          <w:rFonts w:hint="eastAsia" w:ascii="楷体" w:hAnsi="楷体" w:eastAsia="楷体"/>
          <w:sz w:val="21"/>
          <w:szCs w:val="21"/>
          <w:lang w:val="en-US" w:eastAsia="zh-CN"/>
        </w:rPr>
        <w:t>3）-（22）各</w:t>
      </w:r>
      <w:r>
        <w:rPr>
          <w:rFonts w:hint="eastAsia" w:ascii="楷体" w:hAnsi="楷体" w:eastAsia="楷体"/>
          <w:sz w:val="21"/>
          <w:szCs w:val="21"/>
          <w:lang w:eastAsia="zh-CN"/>
        </w:rPr>
        <w:t>资产到期日不超过理财产品投资周期终止日，定期付息、到期一次性还本。</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lang w:val="en-US" w:eastAsia="zh-CN"/>
        </w:rPr>
      </w:pPr>
      <w:r>
        <w:rPr>
          <w:rFonts w:hint="eastAsia" w:ascii="楷体" w:hAnsi="楷体" w:eastAsia="楷体"/>
          <w:sz w:val="21"/>
          <w:szCs w:val="21"/>
        </w:rPr>
        <w:t>产品存续期内合作机构如有</w:t>
      </w:r>
      <w:r>
        <w:rPr>
          <w:rFonts w:hint="eastAsia" w:ascii="楷体" w:hAnsi="楷体" w:eastAsia="楷体"/>
          <w:sz w:val="21"/>
          <w:szCs w:val="21"/>
          <w:highlight w:val="none"/>
        </w:rPr>
        <w:t>变化，管理人将按照监管规定和内部管理制度要求对合作机构进行准入，签署相关协议后，披露新增的投资合作机构。</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E17456"/>
    <w:rsid w:val="7E076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2026-01-22T02:53:50Z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