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楷体" w:hAnsi="楷体" w:eastAsia="楷体"/>
          <w:b/>
          <w:kern w:val="0"/>
          <w:sz w:val="36"/>
          <w:szCs w:val="36"/>
        </w:rPr>
      </w:pPr>
      <w:r>
        <w:rPr>
          <w:rFonts w:hint="eastAsia" w:ascii="楷体" w:hAnsi="楷体" w:eastAsia="楷体"/>
          <w:b/>
          <w:sz w:val="36"/>
          <w:szCs w:val="36"/>
        </w:rPr>
        <w:t>关于调整“苏银理财恒源</w:t>
      </w:r>
      <w:r>
        <w:rPr>
          <w:rFonts w:hint="eastAsia" w:ascii="楷体" w:hAnsi="楷体" w:eastAsia="楷体"/>
          <w:b/>
          <w:sz w:val="36"/>
          <w:szCs w:val="36"/>
          <w:lang w:val="en-US" w:eastAsia="zh-CN"/>
        </w:rPr>
        <w:t>日申季持1号</w:t>
      </w:r>
      <w:r>
        <w:rPr>
          <w:rFonts w:hint="eastAsia" w:ascii="楷体" w:hAnsi="楷体" w:eastAsia="楷体"/>
          <w:b/>
          <w:sz w:val="36"/>
          <w:szCs w:val="36"/>
        </w:rPr>
        <w:t>”理财产品要素的公告</w:t>
      </w:r>
    </w:p>
    <w:p>
      <w:pPr>
        <w:spacing w:line="520" w:lineRule="exact"/>
        <w:rPr>
          <w:rFonts w:hint="eastAsia" w:ascii="楷体" w:hAnsi="楷体" w:eastAsia="楷体"/>
          <w:kern w:val="0"/>
          <w:sz w:val="28"/>
          <w:szCs w:val="28"/>
        </w:rPr>
      </w:pPr>
      <w:r>
        <w:rPr>
          <w:rFonts w:hint="eastAsia" w:ascii="楷体" w:hAnsi="楷体" w:eastAsia="楷体"/>
          <w:kern w:val="0"/>
          <w:sz w:val="28"/>
          <w:szCs w:val="28"/>
        </w:rPr>
        <w:t>尊敬的客户：</w:t>
      </w:r>
    </w:p>
    <w:p>
      <w:pPr>
        <w:pStyle w:val="11"/>
        <w:spacing w:before="0" w:beforeAutospacing="0" w:after="0" w:afterAutospacing="0" w:line="480" w:lineRule="auto"/>
        <w:ind w:firstLine="560" w:firstLineChars="200"/>
        <w:rPr>
          <w:rFonts w:hint="eastAsia" w:ascii="楷体" w:hAnsi="楷体" w:eastAsia="楷体" w:cs="Times New Roman"/>
          <w:sz w:val="28"/>
          <w:szCs w:val="28"/>
          <w:lang w:val="en-US" w:eastAsia="zh-CN"/>
        </w:rPr>
      </w:pPr>
      <w:r>
        <w:rPr>
          <w:rFonts w:hint="eastAsia" w:ascii="楷体" w:hAnsi="楷体" w:eastAsia="楷体" w:cs="Times New Roman"/>
          <w:sz w:val="28"/>
          <w:szCs w:val="28"/>
          <w:lang w:val="en-US" w:eastAsia="zh-CN"/>
        </w:rPr>
        <w:t>管理人拟对苏银理财恒源日申季持1号理财产品部分要素进行调整，具体如下：</w:t>
      </w:r>
    </w:p>
    <w:p>
      <w:pPr>
        <w:pStyle w:val="11"/>
        <w:numPr>
          <w:ilvl w:val="0"/>
          <w:numId w:val="1"/>
        </w:numPr>
        <w:spacing w:before="0" w:beforeAutospacing="0" w:after="0" w:afterAutospacing="0" w:line="480" w:lineRule="auto"/>
        <w:ind w:firstLine="562" w:firstLineChars="200"/>
        <w:jc w:val="left"/>
        <w:rPr>
          <w:rFonts w:hint="eastAsia" w:ascii="楷体" w:hAnsi="楷体" w:eastAsia="楷体" w:cs="Times New Roman"/>
          <w:b/>
          <w:bCs/>
          <w:sz w:val="28"/>
          <w:szCs w:val="28"/>
          <w:lang w:val="en-US" w:eastAsia="zh-CN"/>
        </w:rPr>
      </w:pPr>
      <w:r>
        <w:rPr>
          <w:rFonts w:hint="eastAsia" w:ascii="楷体" w:hAnsi="楷体" w:eastAsia="楷体" w:cs="Times New Roman"/>
          <w:b/>
          <w:bCs/>
          <w:sz w:val="28"/>
          <w:szCs w:val="28"/>
          <w:lang w:val="en-US" w:eastAsia="zh-CN"/>
        </w:rPr>
        <w:t>说明书费用调整</w:t>
      </w:r>
    </w:p>
    <w:tbl>
      <w:tblPr>
        <w:tblStyle w:val="14"/>
        <w:tblW w:w="9765" w:type="dxa"/>
        <w:tblInd w:w="-38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10"/>
        <w:gridCol w:w="1215"/>
        <w:gridCol w:w="1605"/>
        <w:gridCol w:w="1620"/>
        <w:gridCol w:w="1635"/>
        <w:gridCol w:w="16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atLeast"/>
        </w:trPr>
        <w:tc>
          <w:tcPr>
            <w:tcW w:w="2010" w:type="dxa"/>
            <w:noWrap w:val="0"/>
            <w:vAlign w:val="center"/>
          </w:tcPr>
          <w:p>
            <w:pPr>
              <w:pStyle w:val="11"/>
              <w:spacing w:before="0" w:beforeAutospacing="0" w:after="0" w:afterAutospacing="0" w:line="480" w:lineRule="auto"/>
              <w:jc w:val="center"/>
              <w:rPr>
                <w:rFonts w:hint="default" w:ascii="楷体" w:hAnsi="楷体" w:eastAsia="楷体" w:cs="Times New Roman"/>
                <w:b/>
                <w:bCs/>
                <w:sz w:val="22"/>
                <w:szCs w:val="22"/>
                <w:vertAlign w:val="baseline"/>
                <w:lang w:val="en-US" w:eastAsia="zh-CN"/>
              </w:rPr>
            </w:pPr>
            <w:r>
              <w:rPr>
                <w:rFonts w:hint="eastAsia" w:ascii="楷体" w:hAnsi="楷体" w:eastAsia="楷体" w:cs="Times New Roman"/>
                <w:b/>
                <w:bCs/>
                <w:sz w:val="22"/>
                <w:szCs w:val="22"/>
                <w:lang w:val="en-US" w:eastAsia="zh-CN"/>
              </w:rPr>
              <w:t>销售简称</w:t>
            </w:r>
          </w:p>
        </w:tc>
        <w:tc>
          <w:tcPr>
            <w:tcW w:w="1215" w:type="dxa"/>
            <w:noWrap w:val="0"/>
            <w:vAlign w:val="center"/>
          </w:tcPr>
          <w:p>
            <w:pPr>
              <w:pStyle w:val="11"/>
              <w:spacing w:before="0" w:beforeAutospacing="0" w:after="0" w:afterAutospacing="0" w:line="480" w:lineRule="auto"/>
              <w:jc w:val="center"/>
              <w:rPr>
                <w:rFonts w:hint="default" w:ascii="楷体" w:hAnsi="楷体" w:eastAsia="楷体" w:cs="Times New Roman"/>
                <w:b/>
                <w:bCs/>
                <w:sz w:val="22"/>
                <w:szCs w:val="22"/>
                <w:vertAlign w:val="baseline"/>
                <w:lang w:val="en-US" w:eastAsia="zh-CN"/>
              </w:rPr>
            </w:pPr>
            <w:r>
              <w:rPr>
                <w:rFonts w:hint="eastAsia" w:ascii="楷体" w:hAnsi="楷体" w:eastAsia="楷体" w:cs="Times New Roman"/>
                <w:b/>
                <w:bCs/>
                <w:sz w:val="22"/>
                <w:szCs w:val="22"/>
              </w:rPr>
              <w:t>销售代码</w:t>
            </w:r>
          </w:p>
        </w:tc>
        <w:tc>
          <w:tcPr>
            <w:tcW w:w="1605" w:type="dxa"/>
            <w:noWrap w:val="0"/>
            <w:vAlign w:val="center"/>
          </w:tcPr>
          <w:p>
            <w:pPr>
              <w:pStyle w:val="11"/>
              <w:spacing w:before="0" w:beforeAutospacing="0" w:after="0" w:afterAutospacing="0" w:line="480" w:lineRule="auto"/>
              <w:jc w:val="center"/>
              <w:rPr>
                <w:rFonts w:hint="eastAsia" w:ascii="楷体" w:hAnsi="楷体" w:eastAsia="楷体" w:cs="Times New Roman"/>
                <w:b/>
                <w:bCs/>
                <w:sz w:val="22"/>
                <w:szCs w:val="22"/>
                <w:vertAlign w:val="baseline"/>
                <w:lang w:val="en-US" w:eastAsia="zh-CN"/>
              </w:rPr>
            </w:pPr>
            <w:r>
              <w:rPr>
                <w:rFonts w:hint="eastAsia" w:ascii="楷体" w:hAnsi="楷体" w:eastAsia="楷体" w:cs="Times New Roman"/>
                <w:b/>
                <w:bCs/>
                <w:sz w:val="22"/>
                <w:szCs w:val="22"/>
                <w:vertAlign w:val="baseline"/>
                <w:lang w:val="en-US" w:eastAsia="zh-CN"/>
              </w:rPr>
              <w:t>销售服务费</w:t>
            </w:r>
          </w:p>
          <w:p>
            <w:pPr>
              <w:pStyle w:val="11"/>
              <w:spacing w:before="0" w:beforeAutospacing="0" w:after="0" w:afterAutospacing="0" w:line="480" w:lineRule="auto"/>
              <w:jc w:val="center"/>
              <w:rPr>
                <w:rFonts w:hint="default" w:ascii="楷体" w:hAnsi="楷体" w:eastAsia="楷体" w:cs="Times New Roman"/>
                <w:b/>
                <w:bCs/>
                <w:sz w:val="22"/>
                <w:szCs w:val="22"/>
                <w:vertAlign w:val="baseline"/>
                <w:lang w:val="en-US" w:eastAsia="zh-CN"/>
              </w:rPr>
            </w:pPr>
            <w:r>
              <w:rPr>
                <w:rFonts w:hint="eastAsia" w:ascii="楷体" w:hAnsi="楷体" w:eastAsia="楷体" w:cs="Times New Roman"/>
                <w:b/>
                <w:bCs/>
                <w:sz w:val="22"/>
                <w:szCs w:val="22"/>
                <w:lang w:val="en-US" w:eastAsia="zh-CN"/>
              </w:rPr>
              <w:t>（调整前）</w:t>
            </w:r>
          </w:p>
        </w:tc>
        <w:tc>
          <w:tcPr>
            <w:tcW w:w="1620" w:type="dxa"/>
            <w:noWrap w:val="0"/>
            <w:vAlign w:val="center"/>
          </w:tcPr>
          <w:p>
            <w:pPr>
              <w:pStyle w:val="11"/>
              <w:spacing w:before="0" w:beforeAutospacing="0" w:after="0" w:afterAutospacing="0" w:line="480" w:lineRule="auto"/>
              <w:jc w:val="center"/>
              <w:rPr>
                <w:rFonts w:hint="eastAsia" w:ascii="楷体" w:hAnsi="楷体" w:eastAsia="楷体" w:cs="Times New Roman"/>
                <w:b/>
                <w:bCs/>
                <w:sz w:val="22"/>
                <w:szCs w:val="22"/>
                <w:vertAlign w:val="baseline"/>
                <w:lang w:val="en-US" w:eastAsia="zh-CN"/>
              </w:rPr>
            </w:pPr>
            <w:r>
              <w:rPr>
                <w:rFonts w:hint="eastAsia" w:ascii="楷体" w:hAnsi="楷体" w:eastAsia="楷体" w:cs="Times New Roman"/>
                <w:b/>
                <w:bCs/>
                <w:sz w:val="22"/>
                <w:szCs w:val="22"/>
                <w:vertAlign w:val="baseline"/>
                <w:lang w:val="en-US" w:eastAsia="zh-CN"/>
              </w:rPr>
              <w:t>销售服务费</w:t>
            </w:r>
          </w:p>
          <w:p>
            <w:pPr>
              <w:pStyle w:val="11"/>
              <w:spacing w:before="0" w:beforeAutospacing="0" w:after="0" w:afterAutospacing="0" w:line="480" w:lineRule="auto"/>
              <w:jc w:val="center"/>
              <w:rPr>
                <w:rFonts w:hint="eastAsia" w:ascii="楷体" w:hAnsi="楷体" w:eastAsia="楷体" w:cs="Times New Roman"/>
                <w:b/>
                <w:bCs/>
                <w:sz w:val="22"/>
                <w:szCs w:val="22"/>
                <w:lang w:val="en-US" w:eastAsia="zh-CN"/>
              </w:rPr>
            </w:pPr>
            <w:r>
              <w:rPr>
                <w:rFonts w:hint="eastAsia" w:ascii="楷体" w:hAnsi="楷体" w:eastAsia="楷体" w:cs="Times New Roman"/>
                <w:b/>
                <w:bCs/>
                <w:sz w:val="22"/>
                <w:szCs w:val="22"/>
                <w:lang w:val="en-US" w:eastAsia="zh-CN"/>
              </w:rPr>
              <w:t>（调整后）</w:t>
            </w:r>
          </w:p>
        </w:tc>
        <w:tc>
          <w:tcPr>
            <w:tcW w:w="1635" w:type="dxa"/>
            <w:noWrap w:val="0"/>
            <w:vAlign w:val="center"/>
          </w:tcPr>
          <w:p>
            <w:pPr>
              <w:pStyle w:val="11"/>
              <w:spacing w:before="0" w:beforeAutospacing="0" w:after="0" w:afterAutospacing="0" w:line="480" w:lineRule="auto"/>
              <w:jc w:val="center"/>
              <w:rPr>
                <w:rFonts w:hint="default" w:ascii="楷体" w:hAnsi="楷体" w:eastAsia="楷体" w:cs="Times New Roman"/>
                <w:b/>
                <w:bCs/>
                <w:sz w:val="22"/>
                <w:szCs w:val="22"/>
                <w:lang w:val="en-US" w:eastAsia="zh-CN"/>
              </w:rPr>
            </w:pPr>
            <w:r>
              <w:rPr>
                <w:rFonts w:hint="eastAsia" w:ascii="楷体" w:hAnsi="楷体" w:eastAsia="楷体" w:cs="Times New Roman"/>
                <w:b/>
                <w:bCs/>
                <w:sz w:val="22"/>
                <w:szCs w:val="22"/>
                <w:lang w:val="en-US" w:eastAsia="zh-CN"/>
              </w:rPr>
              <w:t>投资管理费</w:t>
            </w:r>
          </w:p>
          <w:p>
            <w:pPr>
              <w:pStyle w:val="11"/>
              <w:spacing w:before="0" w:beforeAutospacing="0" w:after="0" w:afterAutospacing="0" w:line="480" w:lineRule="auto"/>
              <w:jc w:val="center"/>
              <w:rPr>
                <w:rFonts w:hint="eastAsia" w:ascii="楷体" w:hAnsi="楷体" w:eastAsia="楷体" w:cs="Times New Roman"/>
                <w:b/>
                <w:bCs/>
                <w:sz w:val="22"/>
                <w:szCs w:val="22"/>
                <w:lang w:val="en-US" w:eastAsia="zh-CN"/>
              </w:rPr>
            </w:pPr>
            <w:r>
              <w:rPr>
                <w:rFonts w:hint="eastAsia" w:ascii="楷体" w:hAnsi="楷体" w:eastAsia="楷体" w:cs="Times New Roman"/>
                <w:b/>
                <w:bCs/>
                <w:sz w:val="22"/>
                <w:szCs w:val="22"/>
                <w:lang w:val="en-US" w:eastAsia="zh-CN"/>
              </w:rPr>
              <w:t>（调整前）</w:t>
            </w:r>
          </w:p>
        </w:tc>
        <w:tc>
          <w:tcPr>
            <w:tcW w:w="1680" w:type="dxa"/>
            <w:noWrap w:val="0"/>
            <w:vAlign w:val="center"/>
          </w:tcPr>
          <w:p>
            <w:pPr>
              <w:pStyle w:val="11"/>
              <w:spacing w:before="0" w:beforeAutospacing="0" w:after="0" w:afterAutospacing="0" w:line="480" w:lineRule="auto"/>
              <w:jc w:val="center"/>
              <w:rPr>
                <w:rFonts w:hint="eastAsia" w:ascii="楷体" w:hAnsi="楷体" w:eastAsia="楷体" w:cs="Times New Roman"/>
                <w:b/>
                <w:bCs/>
                <w:sz w:val="22"/>
                <w:szCs w:val="22"/>
                <w:vertAlign w:val="baseline"/>
                <w:lang w:val="en-US" w:eastAsia="zh-CN"/>
              </w:rPr>
            </w:pPr>
            <w:r>
              <w:rPr>
                <w:rFonts w:hint="eastAsia" w:ascii="楷体" w:hAnsi="楷体" w:eastAsia="楷体" w:cs="Times New Roman"/>
                <w:b/>
                <w:bCs/>
                <w:sz w:val="22"/>
                <w:szCs w:val="22"/>
                <w:lang w:val="en-US" w:eastAsia="zh-CN"/>
              </w:rPr>
              <w:t>投资管理费</w:t>
            </w:r>
          </w:p>
          <w:p>
            <w:pPr>
              <w:pStyle w:val="11"/>
              <w:spacing w:before="0" w:beforeAutospacing="0" w:after="0" w:afterAutospacing="0" w:line="480" w:lineRule="auto"/>
              <w:jc w:val="center"/>
              <w:rPr>
                <w:rFonts w:hint="eastAsia" w:ascii="楷体" w:hAnsi="楷体" w:eastAsia="楷体" w:cs="Times New Roman"/>
                <w:b/>
                <w:bCs/>
                <w:sz w:val="22"/>
                <w:szCs w:val="22"/>
                <w:lang w:val="en-US" w:eastAsia="zh-CN"/>
              </w:rPr>
            </w:pPr>
            <w:r>
              <w:rPr>
                <w:rFonts w:hint="eastAsia" w:ascii="楷体" w:hAnsi="楷体" w:eastAsia="楷体" w:cs="Times New Roman"/>
                <w:b/>
                <w:bCs/>
                <w:sz w:val="22"/>
                <w:szCs w:val="22"/>
                <w:lang w:val="en-US" w:eastAsia="zh-CN"/>
              </w:rPr>
              <w:t>（调整后）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2010" w:type="dxa"/>
            <w:noWrap w:val="0"/>
            <w:vAlign w:val="center"/>
          </w:tcPr>
          <w:p>
            <w:pPr>
              <w:keepNext w:val="0"/>
              <w:keepLines w:val="0"/>
              <w:widowControl/>
              <w:suppressLineNumbers w:val="0"/>
              <w:jc w:val="center"/>
              <w:textAlignment w:val="center"/>
              <w:rPr>
                <w:rFonts w:hint="default"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苏银理财恒源日申季持1号G</w:t>
            </w:r>
          </w:p>
        </w:tc>
        <w:tc>
          <w:tcPr>
            <w:tcW w:w="1215" w:type="dxa"/>
            <w:noWrap w:val="0"/>
            <w:vAlign w:val="center"/>
          </w:tcPr>
          <w:p>
            <w:pPr>
              <w:keepNext w:val="0"/>
              <w:keepLines w:val="0"/>
              <w:widowControl/>
              <w:suppressLineNumbers w:val="0"/>
              <w:jc w:val="center"/>
              <w:textAlignment w:val="center"/>
              <w:rPr>
                <w:rFonts w:hint="eastAsia" w:ascii="楷体" w:hAnsi="楷体" w:eastAsia="楷体" w:cs="楷体"/>
                <w:i w:val="0"/>
                <w:color w:val="000000"/>
                <w:kern w:val="0"/>
                <w:sz w:val="32"/>
                <w:szCs w:val="32"/>
                <w:u w:val="none"/>
                <w:lang w:val="en-US" w:eastAsia="zh-CN" w:bidi="ar"/>
              </w:rPr>
            </w:pPr>
            <w:r>
              <w:rPr>
                <w:rFonts w:hint="eastAsia" w:ascii="楷体" w:hAnsi="楷体" w:eastAsia="楷体" w:cs="楷体"/>
                <w:i w:val="0"/>
                <w:iCs w:val="0"/>
                <w:color w:val="000000"/>
                <w:kern w:val="0"/>
                <w:sz w:val="24"/>
                <w:szCs w:val="24"/>
                <w:u w:val="none"/>
                <w:lang w:val="en-US" w:eastAsia="zh-CN" w:bidi="ar"/>
              </w:rPr>
              <w:t>J02228</w:t>
            </w:r>
          </w:p>
        </w:tc>
        <w:tc>
          <w:tcPr>
            <w:tcW w:w="1605" w:type="dxa"/>
            <w:noWrap w:val="0"/>
            <w:vAlign w:val="center"/>
          </w:tcPr>
          <w:p>
            <w:pPr>
              <w:keepNext w:val="0"/>
              <w:keepLines w:val="0"/>
              <w:widowControl/>
              <w:suppressLineNumbers w:val="0"/>
              <w:jc w:val="center"/>
              <w:textAlignment w:val="center"/>
              <w:rPr>
                <w:rFonts w:hint="default" w:ascii="楷体" w:hAnsi="楷体" w:eastAsia="楷体" w:cs="楷体"/>
                <w:i w:val="0"/>
                <w:color w:val="000000"/>
                <w:kern w:val="0"/>
                <w:sz w:val="24"/>
                <w:szCs w:val="24"/>
                <w:u w:val="none"/>
                <w:lang w:val="en-US" w:eastAsia="zh-CN" w:bidi="ar"/>
              </w:rPr>
            </w:pPr>
            <w:r>
              <w:rPr>
                <w:rFonts w:hint="eastAsia" w:ascii="楷体" w:hAnsi="楷体" w:eastAsia="楷体" w:cs="楷体"/>
                <w:i w:val="0"/>
                <w:color w:val="000000"/>
                <w:kern w:val="0"/>
                <w:sz w:val="24"/>
                <w:szCs w:val="24"/>
                <w:u w:val="none"/>
                <w:lang w:val="en-US" w:eastAsia="zh-CN" w:bidi="ar"/>
              </w:rPr>
              <w:t>0.10%/年</w:t>
            </w:r>
          </w:p>
        </w:tc>
        <w:tc>
          <w:tcPr>
            <w:tcW w:w="1620" w:type="dxa"/>
            <w:noWrap w:val="0"/>
            <w:vAlign w:val="center"/>
          </w:tcPr>
          <w:p>
            <w:pPr>
              <w:keepNext w:val="0"/>
              <w:keepLines w:val="0"/>
              <w:widowControl/>
              <w:suppressLineNumbers w:val="0"/>
              <w:jc w:val="center"/>
              <w:textAlignment w:val="center"/>
              <w:rPr>
                <w:rFonts w:hint="default" w:ascii="楷体" w:hAnsi="楷体" w:eastAsia="楷体" w:cs="楷体"/>
                <w:i w:val="0"/>
                <w:color w:val="000000"/>
                <w:kern w:val="0"/>
                <w:sz w:val="24"/>
                <w:szCs w:val="24"/>
                <w:u w:val="none"/>
                <w:lang w:val="en-US" w:eastAsia="zh-CN" w:bidi="ar"/>
              </w:rPr>
            </w:pPr>
            <w:r>
              <w:rPr>
                <w:rFonts w:hint="eastAsia" w:ascii="楷体" w:hAnsi="楷体" w:eastAsia="楷体" w:cs="楷体"/>
                <w:i w:val="0"/>
                <w:color w:val="000000"/>
                <w:kern w:val="0"/>
                <w:sz w:val="24"/>
                <w:szCs w:val="24"/>
                <w:u w:val="none"/>
                <w:lang w:val="en-US" w:eastAsia="zh-CN" w:bidi="ar"/>
              </w:rPr>
              <w:t>0.20%/年</w:t>
            </w:r>
          </w:p>
        </w:tc>
        <w:tc>
          <w:tcPr>
            <w:tcW w:w="1635" w:type="dxa"/>
            <w:noWrap w:val="0"/>
            <w:vAlign w:val="center"/>
          </w:tcPr>
          <w:p>
            <w:pPr>
              <w:keepNext w:val="0"/>
              <w:keepLines w:val="0"/>
              <w:widowControl/>
              <w:suppressLineNumbers w:val="0"/>
              <w:jc w:val="center"/>
              <w:textAlignment w:val="center"/>
              <w:rPr>
                <w:rFonts w:hint="eastAsia" w:ascii="楷体" w:hAnsi="楷体" w:eastAsia="楷体" w:cs="楷体"/>
                <w:i w:val="0"/>
                <w:color w:val="000000"/>
                <w:kern w:val="0"/>
                <w:sz w:val="24"/>
                <w:szCs w:val="24"/>
                <w:u w:val="none"/>
                <w:lang w:val="en-US" w:eastAsia="zh-CN" w:bidi="ar"/>
              </w:rPr>
            </w:pPr>
            <w:r>
              <w:rPr>
                <w:rFonts w:hint="eastAsia" w:ascii="楷体" w:hAnsi="楷体" w:eastAsia="楷体" w:cs="楷体"/>
                <w:i w:val="0"/>
                <w:color w:val="000000"/>
                <w:kern w:val="0"/>
                <w:sz w:val="24"/>
                <w:szCs w:val="24"/>
                <w:u w:val="none"/>
                <w:lang w:val="en-US" w:eastAsia="zh-CN" w:bidi="ar"/>
              </w:rPr>
              <w:t>0.75%/年</w:t>
            </w:r>
          </w:p>
        </w:tc>
        <w:tc>
          <w:tcPr>
            <w:tcW w:w="1680" w:type="dxa"/>
            <w:noWrap w:val="0"/>
            <w:vAlign w:val="center"/>
          </w:tcPr>
          <w:p>
            <w:pPr>
              <w:keepNext w:val="0"/>
              <w:keepLines w:val="0"/>
              <w:widowControl/>
              <w:suppressLineNumbers w:val="0"/>
              <w:jc w:val="center"/>
              <w:textAlignment w:val="center"/>
              <w:rPr>
                <w:rFonts w:hint="eastAsia" w:ascii="楷体" w:hAnsi="楷体" w:eastAsia="楷体" w:cs="楷体"/>
                <w:i w:val="0"/>
                <w:color w:val="000000"/>
                <w:kern w:val="0"/>
                <w:sz w:val="24"/>
                <w:szCs w:val="24"/>
                <w:u w:val="none"/>
                <w:lang w:val="en-US" w:eastAsia="zh-CN" w:bidi="ar"/>
              </w:rPr>
            </w:pPr>
            <w:r>
              <w:rPr>
                <w:rFonts w:hint="eastAsia" w:ascii="楷体" w:hAnsi="楷体" w:eastAsia="楷体" w:cs="楷体"/>
                <w:i w:val="0"/>
                <w:color w:val="000000"/>
                <w:kern w:val="0"/>
                <w:sz w:val="24"/>
                <w:szCs w:val="24"/>
                <w:u w:val="none"/>
                <w:lang w:val="en-US" w:eastAsia="zh-CN" w:bidi="ar"/>
              </w:rPr>
              <w:t>0.65%/年</w:t>
            </w:r>
          </w:p>
        </w:tc>
      </w:tr>
    </w:tbl>
    <w:p>
      <w:pPr>
        <w:pStyle w:val="11"/>
        <w:numPr>
          <w:ilvl w:val="0"/>
          <w:numId w:val="1"/>
        </w:numPr>
        <w:spacing w:before="0" w:beforeAutospacing="0" w:after="0" w:afterAutospacing="0" w:line="480" w:lineRule="auto"/>
        <w:ind w:firstLine="562" w:firstLineChars="200"/>
        <w:jc w:val="left"/>
        <w:rPr>
          <w:rFonts w:hint="eastAsia" w:ascii="楷体" w:hAnsi="楷体" w:eastAsia="楷体" w:cs="Times New Roman"/>
          <w:b/>
          <w:bCs/>
          <w:sz w:val="28"/>
          <w:szCs w:val="28"/>
          <w:lang w:val="en-US" w:eastAsia="zh-CN"/>
        </w:rPr>
      </w:pPr>
      <w:r>
        <w:rPr>
          <w:rFonts w:hint="eastAsia" w:ascii="楷体" w:hAnsi="楷体" w:eastAsia="楷体" w:cs="Times New Roman"/>
          <w:b/>
          <w:bCs/>
          <w:sz w:val="28"/>
          <w:szCs w:val="28"/>
          <w:lang w:val="en-US" w:eastAsia="zh-CN"/>
        </w:rPr>
        <w:t>业绩比较基准/超额计提基准调整</w:t>
      </w:r>
    </w:p>
    <w:tbl>
      <w:tblPr>
        <w:tblStyle w:val="13"/>
        <w:tblW w:w="575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11"/>
        <w:gridCol w:w="1322"/>
        <w:gridCol w:w="1650"/>
        <w:gridCol w:w="1617"/>
        <w:gridCol w:w="1533"/>
        <w:gridCol w:w="15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1114" w:type="pct"/>
            <w:vMerge w:val="restart"/>
            <w:noWrap w:val="0"/>
            <w:vAlign w:val="center"/>
          </w:tcPr>
          <w:p>
            <w:pPr>
              <w:pStyle w:val="11"/>
              <w:spacing w:before="0" w:beforeAutospacing="0" w:after="0" w:afterAutospacing="0" w:line="400" w:lineRule="exact"/>
              <w:jc w:val="center"/>
              <w:rPr>
                <w:rFonts w:hint="eastAsia" w:ascii="楷体" w:hAnsi="楷体" w:eastAsia="楷体" w:cs="Times New Roman"/>
                <w:sz w:val="24"/>
                <w:szCs w:val="24"/>
              </w:rPr>
            </w:pPr>
            <w:r>
              <w:rPr>
                <w:rFonts w:hint="eastAsia" w:ascii="楷体" w:hAnsi="楷体" w:eastAsia="楷体" w:cs="Times New Roman"/>
                <w:sz w:val="24"/>
                <w:szCs w:val="24"/>
              </w:rPr>
              <w:t>销售简称</w:t>
            </w:r>
          </w:p>
        </w:tc>
        <w:tc>
          <w:tcPr>
            <w:tcW w:w="666" w:type="pct"/>
            <w:vMerge w:val="restart"/>
            <w:noWrap w:val="0"/>
            <w:vAlign w:val="center"/>
          </w:tcPr>
          <w:p>
            <w:pPr>
              <w:pStyle w:val="11"/>
              <w:spacing w:before="0" w:beforeAutospacing="0" w:after="0" w:afterAutospacing="0" w:line="400" w:lineRule="exact"/>
              <w:jc w:val="center"/>
              <w:rPr>
                <w:rFonts w:hint="eastAsia" w:ascii="楷体" w:hAnsi="楷体" w:eastAsia="楷体" w:cs="Times New Roman"/>
                <w:sz w:val="24"/>
                <w:szCs w:val="24"/>
              </w:rPr>
            </w:pPr>
            <w:r>
              <w:rPr>
                <w:rFonts w:hint="eastAsia" w:ascii="楷体" w:hAnsi="楷体" w:eastAsia="楷体" w:cs="Times New Roman"/>
                <w:sz w:val="24"/>
                <w:szCs w:val="24"/>
              </w:rPr>
              <w:t>销售代码</w:t>
            </w:r>
          </w:p>
        </w:tc>
        <w:tc>
          <w:tcPr>
            <w:tcW w:w="1647" w:type="pct"/>
            <w:gridSpan w:val="2"/>
            <w:noWrap w:val="0"/>
            <w:vAlign w:val="center"/>
          </w:tcPr>
          <w:p>
            <w:pPr>
              <w:pStyle w:val="11"/>
              <w:spacing w:before="0" w:beforeAutospacing="0" w:after="0" w:afterAutospacing="0" w:line="400" w:lineRule="exact"/>
              <w:jc w:val="center"/>
              <w:rPr>
                <w:rFonts w:hint="default" w:ascii="楷体" w:hAnsi="楷体" w:eastAsia="楷体" w:cs="Times New Roman"/>
                <w:sz w:val="24"/>
                <w:szCs w:val="24"/>
                <w:lang w:val="en-US" w:eastAsia="zh-CN"/>
              </w:rPr>
            </w:pPr>
            <w:r>
              <w:rPr>
                <w:rFonts w:hint="eastAsia" w:ascii="楷体" w:hAnsi="楷体" w:eastAsia="楷体" w:cs="Times New Roman"/>
                <w:sz w:val="24"/>
                <w:szCs w:val="24"/>
                <w:lang w:val="en-US" w:eastAsia="zh-CN"/>
              </w:rPr>
              <w:t>业绩比较基准（年化）</w:t>
            </w:r>
          </w:p>
        </w:tc>
        <w:tc>
          <w:tcPr>
            <w:tcW w:w="1571" w:type="pct"/>
            <w:gridSpan w:val="2"/>
            <w:noWrap w:val="0"/>
            <w:vAlign w:val="center"/>
          </w:tcPr>
          <w:p>
            <w:pPr>
              <w:pStyle w:val="11"/>
              <w:spacing w:before="0" w:beforeAutospacing="0" w:after="0" w:afterAutospacing="0" w:line="400" w:lineRule="exact"/>
              <w:jc w:val="center"/>
              <w:rPr>
                <w:rFonts w:hint="default" w:ascii="楷体" w:hAnsi="楷体" w:eastAsia="楷体" w:cs="Times New Roman"/>
                <w:sz w:val="24"/>
                <w:szCs w:val="24"/>
                <w:lang w:val="en-US"/>
              </w:rPr>
            </w:pPr>
            <w:r>
              <w:rPr>
                <w:rFonts w:hint="eastAsia" w:ascii="楷体" w:hAnsi="楷体" w:eastAsia="楷体" w:cs="Times New Roman"/>
                <w:sz w:val="24"/>
                <w:szCs w:val="24"/>
                <w:lang w:val="en-US" w:eastAsia="zh-CN"/>
              </w:rPr>
              <w:t xml:space="preserve">超额报酬计提基准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1114" w:type="pct"/>
            <w:vMerge w:val="continue"/>
            <w:noWrap w:val="0"/>
            <w:vAlign w:val="center"/>
          </w:tcPr>
          <w:p>
            <w:pPr>
              <w:pStyle w:val="11"/>
              <w:spacing w:before="0" w:beforeAutospacing="0" w:after="0" w:afterAutospacing="0" w:line="400" w:lineRule="exact"/>
              <w:jc w:val="center"/>
              <w:rPr>
                <w:sz w:val="22"/>
                <w:szCs w:val="22"/>
              </w:rPr>
            </w:pPr>
          </w:p>
        </w:tc>
        <w:tc>
          <w:tcPr>
            <w:tcW w:w="666" w:type="pct"/>
            <w:vMerge w:val="continue"/>
            <w:noWrap w:val="0"/>
            <w:vAlign w:val="center"/>
          </w:tcPr>
          <w:p>
            <w:pPr>
              <w:pStyle w:val="11"/>
              <w:spacing w:before="0" w:beforeAutospacing="0" w:after="0" w:afterAutospacing="0" w:line="400" w:lineRule="exact"/>
              <w:jc w:val="center"/>
              <w:rPr>
                <w:sz w:val="22"/>
                <w:szCs w:val="22"/>
              </w:rPr>
            </w:pPr>
          </w:p>
        </w:tc>
        <w:tc>
          <w:tcPr>
            <w:tcW w:w="831" w:type="pct"/>
            <w:noWrap w:val="0"/>
            <w:vAlign w:val="center"/>
          </w:tcPr>
          <w:p>
            <w:pPr>
              <w:pStyle w:val="11"/>
              <w:spacing w:before="0" w:beforeAutospacing="0" w:after="0" w:afterAutospacing="0" w:line="400" w:lineRule="exact"/>
              <w:jc w:val="center"/>
              <w:rPr>
                <w:rFonts w:hint="eastAsia" w:ascii="楷体" w:hAnsi="楷体" w:eastAsia="楷体" w:cs="Times New Roman"/>
                <w:sz w:val="24"/>
                <w:szCs w:val="24"/>
              </w:rPr>
            </w:pPr>
            <w:r>
              <w:rPr>
                <w:rFonts w:hint="eastAsia" w:ascii="楷体" w:hAnsi="楷体" w:eastAsia="楷体" w:cs="Times New Roman"/>
                <w:sz w:val="24"/>
                <w:szCs w:val="24"/>
                <w:lang w:val="en-US" w:eastAsia="zh-CN"/>
              </w:rPr>
              <w:t>调整前</w:t>
            </w:r>
          </w:p>
        </w:tc>
        <w:tc>
          <w:tcPr>
            <w:tcW w:w="815" w:type="pct"/>
            <w:noWrap w:val="0"/>
            <w:vAlign w:val="center"/>
          </w:tcPr>
          <w:p>
            <w:pPr>
              <w:pStyle w:val="11"/>
              <w:spacing w:before="0" w:beforeAutospacing="0" w:after="0" w:afterAutospacing="0" w:line="400" w:lineRule="exact"/>
              <w:jc w:val="center"/>
              <w:rPr>
                <w:rFonts w:hint="eastAsia" w:ascii="楷体" w:hAnsi="楷体" w:eastAsia="楷体" w:cs="Times New Roman"/>
                <w:sz w:val="24"/>
                <w:szCs w:val="24"/>
              </w:rPr>
            </w:pPr>
            <w:r>
              <w:rPr>
                <w:rFonts w:hint="eastAsia" w:ascii="楷体" w:hAnsi="楷体" w:eastAsia="楷体" w:cs="Times New Roman"/>
                <w:sz w:val="24"/>
                <w:szCs w:val="24"/>
                <w:lang w:val="en-US" w:eastAsia="zh-CN"/>
              </w:rPr>
              <w:t>调整后</w:t>
            </w:r>
          </w:p>
        </w:tc>
        <w:tc>
          <w:tcPr>
            <w:tcW w:w="772" w:type="pct"/>
            <w:noWrap w:val="0"/>
            <w:vAlign w:val="center"/>
          </w:tcPr>
          <w:p>
            <w:pPr>
              <w:pStyle w:val="11"/>
              <w:spacing w:before="0" w:beforeAutospacing="0" w:after="0" w:afterAutospacing="0" w:line="400" w:lineRule="exact"/>
              <w:jc w:val="center"/>
              <w:rPr>
                <w:rFonts w:hint="eastAsia" w:ascii="楷体" w:hAnsi="楷体" w:eastAsia="楷体" w:cs="Times New Roman"/>
                <w:sz w:val="24"/>
                <w:szCs w:val="24"/>
              </w:rPr>
            </w:pPr>
            <w:r>
              <w:rPr>
                <w:rFonts w:hint="eastAsia" w:ascii="楷体" w:hAnsi="楷体" w:eastAsia="楷体" w:cs="Times New Roman"/>
                <w:sz w:val="24"/>
                <w:szCs w:val="24"/>
                <w:lang w:val="en-US" w:eastAsia="zh-CN"/>
              </w:rPr>
              <w:t>调整前</w:t>
            </w:r>
          </w:p>
        </w:tc>
        <w:tc>
          <w:tcPr>
            <w:tcW w:w="798" w:type="pct"/>
            <w:noWrap w:val="0"/>
            <w:vAlign w:val="center"/>
          </w:tcPr>
          <w:p>
            <w:pPr>
              <w:pStyle w:val="11"/>
              <w:spacing w:before="0" w:beforeAutospacing="0" w:after="0" w:afterAutospacing="0" w:line="400" w:lineRule="exact"/>
              <w:jc w:val="center"/>
              <w:rPr>
                <w:rFonts w:hint="eastAsia" w:ascii="楷体" w:hAnsi="楷体" w:eastAsia="楷体" w:cs="Times New Roman"/>
                <w:sz w:val="24"/>
                <w:szCs w:val="24"/>
              </w:rPr>
            </w:pPr>
            <w:r>
              <w:rPr>
                <w:rFonts w:hint="eastAsia" w:ascii="楷体" w:hAnsi="楷体" w:eastAsia="楷体" w:cs="Times New Roman"/>
                <w:sz w:val="24"/>
                <w:szCs w:val="24"/>
                <w:lang w:val="en-US" w:eastAsia="zh-CN"/>
              </w:rPr>
              <w:t>调整后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114" w:type="pct"/>
            <w:noWrap w:val="0"/>
            <w:vAlign w:val="center"/>
          </w:tcPr>
          <w:p>
            <w:pPr>
              <w:pStyle w:val="11"/>
              <w:spacing w:before="0" w:beforeAutospacing="0" w:after="0" w:afterAutospacing="0" w:line="400" w:lineRule="exact"/>
              <w:jc w:val="center"/>
              <w:rPr>
                <w:rFonts w:hint="eastAsia" w:ascii="楷体" w:hAnsi="楷体" w:eastAsia="楷体" w:cs="Times New Roman"/>
                <w:sz w:val="24"/>
                <w:szCs w:val="24"/>
              </w:rPr>
            </w:pPr>
            <w:r>
              <w:rPr>
                <w:rFonts w:hint="eastAsia" w:ascii="楷体" w:hAnsi="楷体" w:eastAsia="楷体" w:cs="Times New Roman"/>
                <w:sz w:val="24"/>
                <w:szCs w:val="24"/>
                <w:lang w:val="en-US" w:eastAsia="zh-CN"/>
              </w:rPr>
              <w:t>苏银理财恒源日申季持1号A</w:t>
            </w:r>
          </w:p>
        </w:tc>
        <w:tc>
          <w:tcPr>
            <w:tcW w:w="666" w:type="pct"/>
            <w:noWrap w:val="0"/>
            <w:vAlign w:val="center"/>
          </w:tcPr>
          <w:p>
            <w:pPr>
              <w:pStyle w:val="11"/>
              <w:spacing w:before="0" w:beforeAutospacing="0" w:after="0" w:afterAutospacing="0" w:line="400" w:lineRule="exact"/>
              <w:jc w:val="center"/>
              <w:rPr>
                <w:rFonts w:hint="eastAsia" w:ascii="楷体" w:hAnsi="楷体" w:eastAsia="楷体" w:cs="Times New Roman"/>
                <w:sz w:val="24"/>
                <w:szCs w:val="24"/>
              </w:rPr>
            </w:pPr>
            <w:r>
              <w:rPr>
                <w:rFonts w:hint="eastAsia" w:ascii="楷体" w:hAnsi="楷体" w:eastAsia="楷体" w:cs="Times New Roman"/>
                <w:sz w:val="24"/>
                <w:szCs w:val="24"/>
                <w:lang w:val="en-US" w:eastAsia="zh-CN"/>
              </w:rPr>
              <w:t>J00314</w:t>
            </w:r>
          </w:p>
        </w:tc>
        <w:tc>
          <w:tcPr>
            <w:tcW w:w="831" w:type="pct"/>
            <w:noWrap w:val="0"/>
            <w:vAlign w:val="center"/>
          </w:tcPr>
          <w:p>
            <w:pPr>
              <w:keepNext w:val="0"/>
              <w:keepLines w:val="0"/>
              <w:widowControl/>
              <w:suppressLineNumbers w:val="0"/>
              <w:jc w:val="center"/>
              <w:textAlignment w:val="center"/>
              <w:rPr>
                <w:rFonts w:hint="eastAsia" w:ascii="楷体" w:hAnsi="楷体" w:eastAsia="楷体" w:cs="Times New Roman"/>
                <w:kern w:val="0"/>
                <w:sz w:val="24"/>
                <w:szCs w:val="24"/>
                <w:lang w:val="en-US" w:eastAsia="zh-CN" w:bidi="ar-SA"/>
              </w:rPr>
            </w:pPr>
            <w:r>
              <w:rPr>
                <w:rFonts w:hint="eastAsia" w:ascii="楷体" w:hAnsi="楷体" w:eastAsia="楷体" w:cs="Times New Roman"/>
                <w:kern w:val="0"/>
                <w:sz w:val="24"/>
                <w:szCs w:val="24"/>
                <w:lang w:val="en-US" w:eastAsia="zh-CN" w:bidi="ar-SA"/>
              </w:rPr>
              <w:t>2.10%-2.90%</w:t>
            </w:r>
          </w:p>
        </w:tc>
        <w:tc>
          <w:tcPr>
            <w:tcW w:w="815" w:type="pct"/>
            <w:vMerge w:val="restart"/>
            <w:noWrap w:val="0"/>
            <w:vAlign w:val="center"/>
          </w:tcPr>
          <w:p>
            <w:pPr>
              <w:pStyle w:val="11"/>
              <w:spacing w:before="0" w:beforeAutospacing="0" w:after="0" w:afterAutospacing="0" w:line="400" w:lineRule="exact"/>
              <w:jc w:val="center"/>
              <w:rPr>
                <w:rFonts w:hint="eastAsia" w:ascii="楷体" w:hAnsi="楷体" w:eastAsia="楷体" w:cs="Times New Roman"/>
                <w:sz w:val="24"/>
                <w:szCs w:val="24"/>
                <w:lang w:val="en-US" w:eastAsia="zh-CN"/>
              </w:rPr>
            </w:pPr>
            <w:r>
              <w:rPr>
                <w:rFonts w:hint="eastAsia" w:ascii="楷体" w:hAnsi="楷体" w:eastAsia="楷体" w:cs="Times New Roman"/>
                <w:kern w:val="0"/>
                <w:sz w:val="24"/>
                <w:szCs w:val="24"/>
                <w:lang w:val="en-US" w:eastAsia="zh-CN" w:bidi="ar-SA"/>
              </w:rPr>
              <w:t>中债-高信用等级中期票据全价(1年以下)指数收益率+0.20%</w:t>
            </w:r>
          </w:p>
        </w:tc>
        <w:tc>
          <w:tcPr>
            <w:tcW w:w="772" w:type="pct"/>
            <w:noWrap w:val="0"/>
            <w:vAlign w:val="center"/>
          </w:tcPr>
          <w:p>
            <w:pPr>
              <w:spacing w:before="0" w:beforeAutospacing="0" w:after="0" w:afterAutospacing="0" w:line="400" w:lineRule="exact"/>
              <w:jc w:val="center"/>
              <w:rPr>
                <w:rFonts w:hint="default" w:ascii="楷体" w:hAnsi="楷体" w:eastAsia="楷体" w:cs="Times New Roman"/>
                <w:sz w:val="24"/>
                <w:szCs w:val="24"/>
                <w:lang w:val="en-US" w:eastAsia="zh-CN"/>
              </w:rPr>
            </w:pPr>
            <w:r>
              <w:rPr>
                <w:rFonts w:hint="eastAsia" w:ascii="楷体" w:hAnsi="楷体" w:eastAsia="楷体" w:cs="Times New Roman"/>
                <w:sz w:val="24"/>
                <w:szCs w:val="24"/>
                <w:lang w:val="en-US" w:eastAsia="zh-CN"/>
              </w:rPr>
              <w:t>2.90%</w:t>
            </w:r>
          </w:p>
        </w:tc>
        <w:tc>
          <w:tcPr>
            <w:tcW w:w="798" w:type="pct"/>
            <w:vMerge w:val="restart"/>
            <w:noWrap w:val="0"/>
            <w:vAlign w:val="center"/>
          </w:tcPr>
          <w:p>
            <w:pPr>
              <w:pStyle w:val="11"/>
              <w:spacing w:before="0" w:beforeAutospacing="0" w:after="0" w:afterAutospacing="0" w:line="400" w:lineRule="exact"/>
              <w:jc w:val="center"/>
              <w:rPr>
                <w:rFonts w:hint="eastAsia" w:ascii="楷体" w:hAnsi="楷体" w:eastAsia="楷体" w:cs="Times New Roman"/>
                <w:sz w:val="24"/>
                <w:szCs w:val="24"/>
                <w:lang w:val="en-US" w:eastAsia="zh-CN"/>
              </w:rPr>
            </w:pPr>
            <w:r>
              <w:rPr>
                <w:rFonts w:hint="eastAsia" w:ascii="楷体" w:hAnsi="楷体" w:eastAsia="楷体" w:cs="Times New Roman"/>
                <w:sz w:val="24"/>
                <w:szCs w:val="24"/>
                <w:lang w:val="en-US" w:eastAsia="zh-CN"/>
              </w:rPr>
              <w:t>2.80%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1114" w:type="pct"/>
            <w:noWrap w:val="0"/>
            <w:vAlign w:val="center"/>
          </w:tcPr>
          <w:p>
            <w:pPr>
              <w:pStyle w:val="11"/>
              <w:spacing w:before="0" w:beforeAutospacing="0" w:after="0" w:afterAutospacing="0" w:line="400" w:lineRule="exact"/>
              <w:jc w:val="center"/>
              <w:rPr>
                <w:rFonts w:hint="eastAsia" w:ascii="楷体" w:hAnsi="楷体" w:eastAsia="楷体" w:cs="Times New Roman"/>
                <w:sz w:val="24"/>
                <w:szCs w:val="24"/>
              </w:rPr>
            </w:pPr>
            <w:r>
              <w:rPr>
                <w:rFonts w:hint="eastAsia" w:ascii="楷体" w:hAnsi="楷体" w:eastAsia="楷体" w:cs="Times New Roman"/>
                <w:sz w:val="24"/>
                <w:szCs w:val="24"/>
                <w:lang w:val="en-US" w:eastAsia="zh-CN"/>
              </w:rPr>
              <w:t>苏银理财恒源日申季持1号B</w:t>
            </w:r>
          </w:p>
        </w:tc>
        <w:tc>
          <w:tcPr>
            <w:tcW w:w="666" w:type="pct"/>
            <w:noWrap w:val="0"/>
            <w:vAlign w:val="center"/>
          </w:tcPr>
          <w:p>
            <w:pPr>
              <w:pStyle w:val="11"/>
              <w:spacing w:before="0" w:beforeAutospacing="0" w:after="0" w:afterAutospacing="0" w:line="400" w:lineRule="exact"/>
              <w:jc w:val="center"/>
              <w:rPr>
                <w:rFonts w:hint="eastAsia" w:ascii="楷体" w:hAnsi="楷体" w:eastAsia="楷体" w:cs="Times New Roman"/>
                <w:sz w:val="24"/>
                <w:szCs w:val="24"/>
              </w:rPr>
            </w:pPr>
            <w:r>
              <w:rPr>
                <w:rFonts w:hint="eastAsia" w:ascii="楷体" w:hAnsi="楷体" w:eastAsia="楷体" w:cs="Times New Roman"/>
                <w:sz w:val="24"/>
                <w:szCs w:val="24"/>
                <w:lang w:val="en-US" w:eastAsia="zh-CN"/>
              </w:rPr>
              <w:t>J00315</w:t>
            </w:r>
          </w:p>
        </w:tc>
        <w:tc>
          <w:tcPr>
            <w:tcW w:w="831" w:type="pct"/>
            <w:noWrap w:val="0"/>
            <w:vAlign w:val="center"/>
          </w:tcPr>
          <w:p>
            <w:pPr>
              <w:keepNext w:val="0"/>
              <w:keepLines w:val="0"/>
              <w:widowControl/>
              <w:suppressLineNumbers w:val="0"/>
              <w:jc w:val="center"/>
              <w:textAlignment w:val="center"/>
              <w:rPr>
                <w:rFonts w:hint="eastAsia" w:ascii="楷体" w:hAnsi="楷体" w:eastAsia="楷体" w:cs="Times New Roman"/>
                <w:kern w:val="0"/>
                <w:sz w:val="24"/>
                <w:szCs w:val="24"/>
                <w:lang w:val="en-US" w:eastAsia="zh-CN" w:bidi="ar-SA"/>
              </w:rPr>
            </w:pPr>
            <w:r>
              <w:rPr>
                <w:rFonts w:hint="eastAsia" w:ascii="楷体" w:hAnsi="楷体" w:eastAsia="楷体" w:cs="Times New Roman"/>
                <w:kern w:val="0"/>
                <w:sz w:val="24"/>
                <w:szCs w:val="24"/>
                <w:lang w:val="en-US" w:eastAsia="zh-CN" w:bidi="ar-SA"/>
              </w:rPr>
              <w:t>2.15%-2.95%</w:t>
            </w:r>
          </w:p>
        </w:tc>
        <w:tc>
          <w:tcPr>
            <w:tcW w:w="815" w:type="pct"/>
            <w:vMerge w:val="continue"/>
            <w:noWrap w:val="0"/>
            <w:vAlign w:val="center"/>
          </w:tcPr>
          <w:p>
            <w:pPr>
              <w:pStyle w:val="11"/>
              <w:spacing w:before="0" w:beforeAutospacing="0" w:after="0" w:afterAutospacing="0" w:line="400" w:lineRule="exact"/>
              <w:jc w:val="center"/>
              <w:rPr>
                <w:rFonts w:hint="eastAsia" w:ascii="楷体" w:hAnsi="楷体" w:eastAsia="楷体" w:cs="Times New Roman"/>
                <w:sz w:val="24"/>
                <w:szCs w:val="24"/>
                <w:lang w:val="en-US" w:eastAsia="zh-CN"/>
              </w:rPr>
            </w:pPr>
          </w:p>
        </w:tc>
        <w:tc>
          <w:tcPr>
            <w:tcW w:w="772" w:type="pct"/>
            <w:noWrap w:val="0"/>
            <w:vAlign w:val="center"/>
          </w:tcPr>
          <w:p>
            <w:pPr>
              <w:spacing w:before="0" w:beforeAutospacing="0" w:after="0" w:afterAutospacing="0" w:line="400" w:lineRule="exact"/>
              <w:jc w:val="center"/>
              <w:rPr>
                <w:rFonts w:hint="eastAsia" w:ascii="楷体" w:hAnsi="楷体" w:eastAsia="楷体" w:cs="Times New Roman"/>
                <w:sz w:val="24"/>
                <w:szCs w:val="24"/>
                <w:lang w:val="en-US" w:eastAsia="zh-CN"/>
              </w:rPr>
            </w:pPr>
            <w:r>
              <w:rPr>
                <w:rFonts w:hint="eastAsia" w:ascii="楷体" w:hAnsi="楷体" w:eastAsia="楷体" w:cs="Times New Roman"/>
                <w:sz w:val="24"/>
                <w:szCs w:val="24"/>
                <w:lang w:val="en-US" w:eastAsia="zh-CN"/>
              </w:rPr>
              <w:t>2.95%</w:t>
            </w:r>
          </w:p>
        </w:tc>
        <w:tc>
          <w:tcPr>
            <w:tcW w:w="798" w:type="pct"/>
            <w:vMerge w:val="continue"/>
            <w:noWrap w:val="0"/>
            <w:vAlign w:val="center"/>
          </w:tcPr>
          <w:p>
            <w:pPr>
              <w:spacing w:before="0" w:beforeAutospacing="0" w:after="0" w:afterAutospacing="0" w:line="400" w:lineRule="exact"/>
              <w:jc w:val="center"/>
              <w:rPr>
                <w:rFonts w:hint="eastAsia" w:ascii="楷体" w:hAnsi="楷体" w:eastAsia="楷体" w:cs="Times New Roman"/>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114" w:type="pct"/>
            <w:noWrap w:val="0"/>
            <w:vAlign w:val="center"/>
          </w:tcPr>
          <w:p>
            <w:pPr>
              <w:pStyle w:val="11"/>
              <w:spacing w:before="0" w:beforeAutospacing="0" w:after="0" w:afterAutospacing="0" w:line="400" w:lineRule="exact"/>
              <w:jc w:val="center"/>
              <w:rPr>
                <w:rFonts w:hint="eastAsia" w:ascii="楷体" w:hAnsi="楷体" w:eastAsia="楷体" w:cs="Times New Roman"/>
                <w:sz w:val="24"/>
                <w:szCs w:val="24"/>
              </w:rPr>
            </w:pPr>
            <w:r>
              <w:rPr>
                <w:rFonts w:hint="eastAsia" w:ascii="楷体" w:hAnsi="楷体" w:eastAsia="楷体" w:cs="Times New Roman"/>
                <w:sz w:val="24"/>
                <w:szCs w:val="24"/>
                <w:lang w:val="en-US" w:eastAsia="zh-CN"/>
              </w:rPr>
              <w:t>苏银理财恒源日申季持1号C</w:t>
            </w:r>
          </w:p>
        </w:tc>
        <w:tc>
          <w:tcPr>
            <w:tcW w:w="666" w:type="pct"/>
            <w:noWrap w:val="0"/>
            <w:vAlign w:val="center"/>
          </w:tcPr>
          <w:p>
            <w:pPr>
              <w:pStyle w:val="11"/>
              <w:spacing w:before="0" w:beforeAutospacing="0" w:after="0" w:afterAutospacing="0" w:line="400" w:lineRule="exact"/>
              <w:jc w:val="center"/>
              <w:rPr>
                <w:rFonts w:hint="eastAsia" w:ascii="楷体" w:hAnsi="楷体" w:eastAsia="楷体" w:cs="Times New Roman"/>
                <w:sz w:val="24"/>
                <w:szCs w:val="24"/>
              </w:rPr>
            </w:pPr>
            <w:r>
              <w:rPr>
                <w:rFonts w:hint="eastAsia" w:ascii="楷体" w:hAnsi="楷体" w:eastAsia="楷体" w:cs="Times New Roman"/>
                <w:sz w:val="24"/>
                <w:szCs w:val="24"/>
                <w:lang w:val="en-US" w:eastAsia="zh-CN"/>
              </w:rPr>
              <w:t>J00316</w:t>
            </w:r>
          </w:p>
        </w:tc>
        <w:tc>
          <w:tcPr>
            <w:tcW w:w="831" w:type="pct"/>
            <w:noWrap w:val="0"/>
            <w:vAlign w:val="center"/>
          </w:tcPr>
          <w:p>
            <w:pPr>
              <w:keepNext w:val="0"/>
              <w:keepLines w:val="0"/>
              <w:widowControl/>
              <w:suppressLineNumbers w:val="0"/>
              <w:jc w:val="center"/>
              <w:textAlignment w:val="center"/>
              <w:rPr>
                <w:rFonts w:hint="eastAsia" w:ascii="楷体" w:hAnsi="楷体" w:eastAsia="楷体" w:cs="Times New Roman"/>
                <w:kern w:val="0"/>
                <w:sz w:val="24"/>
                <w:szCs w:val="24"/>
                <w:lang w:val="en-US" w:eastAsia="zh-CN" w:bidi="ar-SA"/>
              </w:rPr>
            </w:pPr>
            <w:r>
              <w:rPr>
                <w:rFonts w:hint="eastAsia" w:ascii="楷体" w:hAnsi="楷体" w:eastAsia="楷体" w:cs="Times New Roman"/>
                <w:kern w:val="0"/>
                <w:sz w:val="24"/>
                <w:szCs w:val="24"/>
                <w:lang w:val="en-US" w:eastAsia="zh-CN" w:bidi="ar-SA"/>
              </w:rPr>
              <w:t>2.25%-3.05%</w:t>
            </w:r>
          </w:p>
        </w:tc>
        <w:tc>
          <w:tcPr>
            <w:tcW w:w="815" w:type="pct"/>
            <w:vMerge w:val="continue"/>
            <w:noWrap w:val="0"/>
            <w:vAlign w:val="center"/>
          </w:tcPr>
          <w:p>
            <w:pPr>
              <w:pStyle w:val="11"/>
              <w:spacing w:before="0" w:beforeAutospacing="0" w:after="0" w:afterAutospacing="0" w:line="400" w:lineRule="exact"/>
              <w:jc w:val="center"/>
              <w:rPr>
                <w:rFonts w:hint="eastAsia" w:ascii="楷体" w:hAnsi="楷体" w:eastAsia="楷体" w:cs="Times New Roman"/>
                <w:sz w:val="24"/>
                <w:szCs w:val="24"/>
                <w:lang w:val="en-US" w:eastAsia="zh-CN"/>
              </w:rPr>
            </w:pPr>
          </w:p>
        </w:tc>
        <w:tc>
          <w:tcPr>
            <w:tcW w:w="772" w:type="pct"/>
            <w:noWrap w:val="0"/>
            <w:vAlign w:val="center"/>
          </w:tcPr>
          <w:p>
            <w:pPr>
              <w:spacing w:before="0" w:beforeAutospacing="0" w:after="0" w:afterAutospacing="0" w:line="400" w:lineRule="exact"/>
              <w:jc w:val="center"/>
              <w:rPr>
                <w:rFonts w:hint="eastAsia" w:ascii="楷体" w:hAnsi="楷体" w:eastAsia="楷体" w:cs="Times New Roman"/>
                <w:sz w:val="24"/>
                <w:szCs w:val="24"/>
                <w:lang w:val="en-US" w:eastAsia="zh-CN"/>
              </w:rPr>
            </w:pPr>
            <w:r>
              <w:rPr>
                <w:rFonts w:hint="eastAsia" w:ascii="楷体" w:hAnsi="楷体" w:eastAsia="楷体" w:cs="Times New Roman"/>
                <w:sz w:val="24"/>
                <w:szCs w:val="24"/>
                <w:lang w:val="en-US" w:eastAsia="zh-CN"/>
              </w:rPr>
              <w:t>3.05%</w:t>
            </w:r>
          </w:p>
        </w:tc>
        <w:tc>
          <w:tcPr>
            <w:tcW w:w="798" w:type="pct"/>
            <w:vMerge w:val="continue"/>
            <w:noWrap w:val="0"/>
            <w:vAlign w:val="center"/>
          </w:tcPr>
          <w:p>
            <w:pPr>
              <w:spacing w:before="0" w:beforeAutospacing="0" w:after="0" w:afterAutospacing="0" w:line="400" w:lineRule="exact"/>
              <w:jc w:val="center"/>
              <w:rPr>
                <w:rFonts w:hint="eastAsia" w:ascii="楷体" w:hAnsi="楷体" w:eastAsia="楷体" w:cs="Times New Roman"/>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114" w:type="pct"/>
            <w:noWrap w:val="0"/>
            <w:vAlign w:val="center"/>
          </w:tcPr>
          <w:p>
            <w:pPr>
              <w:pStyle w:val="11"/>
              <w:spacing w:before="0" w:beforeAutospacing="0" w:after="0" w:afterAutospacing="0" w:line="400" w:lineRule="exact"/>
              <w:jc w:val="center"/>
              <w:rPr>
                <w:rFonts w:hint="eastAsia" w:ascii="楷体" w:hAnsi="楷体" w:eastAsia="楷体" w:cs="Times New Roman"/>
                <w:sz w:val="24"/>
                <w:szCs w:val="24"/>
                <w:lang w:val="en-US" w:eastAsia="zh-CN"/>
              </w:rPr>
            </w:pPr>
            <w:r>
              <w:rPr>
                <w:rFonts w:hint="eastAsia" w:ascii="楷体" w:hAnsi="楷体" w:eastAsia="楷体" w:cs="Times New Roman"/>
                <w:sz w:val="24"/>
                <w:szCs w:val="24"/>
                <w:lang w:val="en-US" w:eastAsia="zh-CN"/>
              </w:rPr>
              <w:t>苏银理财恒源日申季持1号D</w:t>
            </w:r>
          </w:p>
        </w:tc>
        <w:tc>
          <w:tcPr>
            <w:tcW w:w="666" w:type="pct"/>
            <w:noWrap w:val="0"/>
            <w:vAlign w:val="center"/>
          </w:tcPr>
          <w:p>
            <w:pPr>
              <w:pStyle w:val="11"/>
              <w:spacing w:before="0" w:beforeAutospacing="0" w:after="0" w:afterAutospacing="0" w:line="400" w:lineRule="exact"/>
              <w:jc w:val="center"/>
              <w:rPr>
                <w:rFonts w:hint="default" w:ascii="楷体" w:hAnsi="楷体" w:eastAsia="楷体" w:cs="Times New Roman"/>
                <w:sz w:val="24"/>
                <w:szCs w:val="24"/>
                <w:lang w:val="en-US" w:eastAsia="zh-CN"/>
              </w:rPr>
            </w:pPr>
            <w:r>
              <w:rPr>
                <w:rFonts w:hint="eastAsia" w:ascii="楷体" w:hAnsi="楷体" w:eastAsia="楷体" w:cs="Times New Roman"/>
                <w:sz w:val="24"/>
                <w:szCs w:val="24"/>
                <w:lang w:val="en-US" w:eastAsia="zh-CN"/>
              </w:rPr>
              <w:t>J00338</w:t>
            </w:r>
          </w:p>
        </w:tc>
        <w:tc>
          <w:tcPr>
            <w:tcW w:w="831" w:type="pct"/>
            <w:noWrap w:val="0"/>
            <w:vAlign w:val="center"/>
          </w:tcPr>
          <w:p>
            <w:pPr>
              <w:keepNext w:val="0"/>
              <w:keepLines w:val="0"/>
              <w:widowControl/>
              <w:suppressLineNumbers w:val="0"/>
              <w:jc w:val="center"/>
              <w:textAlignment w:val="center"/>
              <w:rPr>
                <w:rFonts w:hint="eastAsia" w:ascii="楷体" w:hAnsi="楷体" w:eastAsia="楷体" w:cs="Times New Roman"/>
                <w:kern w:val="0"/>
                <w:sz w:val="24"/>
                <w:szCs w:val="24"/>
                <w:lang w:val="en-US" w:eastAsia="zh-CN" w:bidi="ar-SA"/>
              </w:rPr>
            </w:pPr>
            <w:r>
              <w:rPr>
                <w:rFonts w:hint="eastAsia" w:ascii="楷体" w:hAnsi="楷体" w:eastAsia="楷体" w:cs="Times New Roman"/>
                <w:kern w:val="0"/>
                <w:sz w:val="24"/>
                <w:szCs w:val="24"/>
                <w:lang w:val="en-US" w:eastAsia="zh-CN" w:bidi="ar-SA"/>
              </w:rPr>
              <w:t>2.30%-3.10%</w:t>
            </w:r>
          </w:p>
        </w:tc>
        <w:tc>
          <w:tcPr>
            <w:tcW w:w="815" w:type="pct"/>
            <w:vMerge w:val="continue"/>
            <w:noWrap w:val="0"/>
            <w:vAlign w:val="center"/>
          </w:tcPr>
          <w:p>
            <w:pPr>
              <w:pStyle w:val="11"/>
              <w:spacing w:before="0" w:beforeAutospacing="0" w:after="0" w:afterAutospacing="0" w:line="400" w:lineRule="exact"/>
              <w:jc w:val="center"/>
              <w:rPr>
                <w:rFonts w:hint="eastAsia" w:ascii="楷体" w:hAnsi="楷体" w:eastAsia="楷体" w:cs="Times New Roman"/>
                <w:sz w:val="24"/>
                <w:szCs w:val="24"/>
                <w:lang w:val="en-US" w:eastAsia="zh-CN"/>
              </w:rPr>
            </w:pPr>
          </w:p>
        </w:tc>
        <w:tc>
          <w:tcPr>
            <w:tcW w:w="772" w:type="pct"/>
            <w:noWrap w:val="0"/>
            <w:vAlign w:val="center"/>
          </w:tcPr>
          <w:p>
            <w:pPr>
              <w:spacing w:before="0" w:beforeAutospacing="0" w:after="0" w:afterAutospacing="0" w:line="400" w:lineRule="exact"/>
              <w:jc w:val="center"/>
              <w:rPr>
                <w:rFonts w:hint="default" w:ascii="楷体" w:hAnsi="楷体" w:eastAsia="楷体" w:cs="Times New Roman"/>
                <w:sz w:val="24"/>
                <w:szCs w:val="24"/>
                <w:lang w:val="en-US" w:eastAsia="zh-CN"/>
              </w:rPr>
            </w:pPr>
            <w:r>
              <w:rPr>
                <w:rFonts w:hint="eastAsia" w:ascii="楷体" w:hAnsi="楷体" w:eastAsia="楷体" w:cs="Times New Roman"/>
                <w:sz w:val="24"/>
                <w:szCs w:val="24"/>
                <w:lang w:val="en-US" w:eastAsia="zh-CN"/>
              </w:rPr>
              <w:t>3.10%</w:t>
            </w:r>
          </w:p>
        </w:tc>
        <w:tc>
          <w:tcPr>
            <w:tcW w:w="798" w:type="pct"/>
            <w:vMerge w:val="continue"/>
            <w:noWrap w:val="0"/>
            <w:vAlign w:val="center"/>
          </w:tcPr>
          <w:p>
            <w:pPr>
              <w:spacing w:before="0" w:beforeAutospacing="0" w:after="0" w:afterAutospacing="0" w:line="400" w:lineRule="exact"/>
              <w:jc w:val="center"/>
              <w:rPr>
                <w:rFonts w:hint="default" w:ascii="楷体" w:hAnsi="楷体" w:eastAsia="楷体" w:cs="Times New Roman"/>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1114" w:type="pct"/>
            <w:noWrap w:val="0"/>
            <w:vAlign w:val="center"/>
          </w:tcPr>
          <w:p>
            <w:pPr>
              <w:pStyle w:val="11"/>
              <w:spacing w:before="0" w:beforeAutospacing="0" w:after="0" w:afterAutospacing="0" w:line="400" w:lineRule="exact"/>
              <w:jc w:val="center"/>
              <w:rPr>
                <w:rFonts w:hint="eastAsia" w:ascii="楷体" w:hAnsi="楷体" w:eastAsia="楷体" w:cs="Times New Roman"/>
                <w:sz w:val="24"/>
                <w:szCs w:val="24"/>
                <w:lang w:eastAsia="zh-CN"/>
              </w:rPr>
            </w:pPr>
            <w:r>
              <w:rPr>
                <w:rFonts w:hint="eastAsia" w:ascii="楷体" w:hAnsi="楷体" w:eastAsia="楷体" w:cs="Times New Roman"/>
                <w:sz w:val="24"/>
                <w:szCs w:val="24"/>
                <w:lang w:val="en-US" w:eastAsia="zh-CN"/>
              </w:rPr>
              <w:t>苏银理财恒源日申季持1号E</w:t>
            </w:r>
          </w:p>
        </w:tc>
        <w:tc>
          <w:tcPr>
            <w:tcW w:w="666" w:type="pct"/>
            <w:noWrap w:val="0"/>
            <w:vAlign w:val="center"/>
          </w:tcPr>
          <w:p>
            <w:pPr>
              <w:pStyle w:val="11"/>
              <w:spacing w:before="0" w:beforeAutospacing="0" w:after="0" w:afterAutospacing="0" w:line="400" w:lineRule="exact"/>
              <w:jc w:val="center"/>
              <w:rPr>
                <w:rFonts w:hint="eastAsia" w:ascii="楷体" w:hAnsi="楷体" w:eastAsia="楷体" w:cs="Times New Roman"/>
                <w:sz w:val="24"/>
                <w:szCs w:val="24"/>
              </w:rPr>
            </w:pPr>
            <w:r>
              <w:rPr>
                <w:rFonts w:hint="eastAsia" w:ascii="楷体" w:hAnsi="楷体" w:eastAsia="楷体" w:cs="Times New Roman"/>
                <w:sz w:val="24"/>
                <w:szCs w:val="24"/>
                <w:lang w:val="en-US" w:eastAsia="zh-CN"/>
              </w:rPr>
              <w:t>J00339</w:t>
            </w:r>
          </w:p>
        </w:tc>
        <w:tc>
          <w:tcPr>
            <w:tcW w:w="831" w:type="pct"/>
            <w:noWrap w:val="0"/>
            <w:vAlign w:val="center"/>
          </w:tcPr>
          <w:p>
            <w:pPr>
              <w:keepNext w:val="0"/>
              <w:keepLines w:val="0"/>
              <w:widowControl/>
              <w:suppressLineNumbers w:val="0"/>
              <w:jc w:val="center"/>
              <w:textAlignment w:val="center"/>
              <w:rPr>
                <w:rFonts w:hint="eastAsia" w:ascii="楷体" w:hAnsi="楷体" w:eastAsia="楷体" w:cs="Times New Roman"/>
                <w:kern w:val="0"/>
                <w:sz w:val="24"/>
                <w:szCs w:val="24"/>
                <w:lang w:val="en-US" w:eastAsia="zh-CN" w:bidi="ar-SA"/>
              </w:rPr>
            </w:pPr>
            <w:r>
              <w:rPr>
                <w:rFonts w:hint="eastAsia" w:ascii="楷体" w:hAnsi="楷体" w:eastAsia="楷体" w:cs="Times New Roman"/>
                <w:kern w:val="0"/>
                <w:sz w:val="24"/>
                <w:szCs w:val="24"/>
                <w:lang w:val="en-US" w:eastAsia="zh-CN" w:bidi="ar-SA"/>
              </w:rPr>
              <w:t>2.35%-3.15%</w:t>
            </w:r>
          </w:p>
        </w:tc>
        <w:tc>
          <w:tcPr>
            <w:tcW w:w="815" w:type="pct"/>
            <w:vMerge w:val="continue"/>
            <w:noWrap w:val="0"/>
            <w:vAlign w:val="center"/>
          </w:tcPr>
          <w:p>
            <w:pPr>
              <w:pStyle w:val="11"/>
              <w:spacing w:before="0" w:beforeAutospacing="0" w:after="0" w:afterAutospacing="0" w:line="400" w:lineRule="exact"/>
              <w:jc w:val="center"/>
              <w:rPr>
                <w:rFonts w:hint="eastAsia" w:ascii="楷体" w:hAnsi="楷体" w:eastAsia="楷体" w:cs="Times New Roman"/>
                <w:sz w:val="24"/>
                <w:szCs w:val="24"/>
                <w:lang w:val="en-US" w:eastAsia="zh-CN"/>
              </w:rPr>
            </w:pPr>
          </w:p>
        </w:tc>
        <w:tc>
          <w:tcPr>
            <w:tcW w:w="772" w:type="pct"/>
            <w:noWrap w:val="0"/>
            <w:vAlign w:val="center"/>
          </w:tcPr>
          <w:p>
            <w:pPr>
              <w:spacing w:before="0" w:beforeAutospacing="0" w:after="0" w:afterAutospacing="0" w:line="400" w:lineRule="exact"/>
              <w:jc w:val="center"/>
              <w:rPr>
                <w:rFonts w:hint="eastAsia" w:ascii="楷体" w:hAnsi="楷体" w:eastAsia="楷体" w:cs="Times New Roman"/>
                <w:sz w:val="24"/>
                <w:szCs w:val="24"/>
                <w:lang w:val="en-US" w:eastAsia="zh-CN"/>
              </w:rPr>
            </w:pPr>
            <w:r>
              <w:rPr>
                <w:rFonts w:hint="eastAsia" w:ascii="楷体" w:hAnsi="楷体" w:eastAsia="楷体" w:cs="Times New Roman"/>
                <w:sz w:val="24"/>
                <w:szCs w:val="24"/>
                <w:lang w:val="en-US" w:eastAsia="zh-CN"/>
              </w:rPr>
              <w:t>3.15%</w:t>
            </w:r>
          </w:p>
        </w:tc>
        <w:tc>
          <w:tcPr>
            <w:tcW w:w="798" w:type="pct"/>
            <w:vMerge w:val="continue"/>
            <w:noWrap w:val="0"/>
            <w:vAlign w:val="center"/>
          </w:tcPr>
          <w:p>
            <w:pPr>
              <w:spacing w:before="0" w:beforeAutospacing="0" w:after="0" w:afterAutospacing="0" w:line="400" w:lineRule="exact"/>
              <w:jc w:val="center"/>
              <w:rPr>
                <w:rFonts w:hint="eastAsia" w:ascii="楷体" w:hAnsi="楷体" w:eastAsia="楷体" w:cs="Times New Roman"/>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114" w:type="pct"/>
            <w:noWrap w:val="0"/>
            <w:vAlign w:val="center"/>
          </w:tcPr>
          <w:p>
            <w:pPr>
              <w:pStyle w:val="11"/>
              <w:spacing w:before="0" w:beforeAutospacing="0" w:after="0" w:afterAutospacing="0" w:line="400" w:lineRule="exact"/>
              <w:jc w:val="center"/>
              <w:rPr>
                <w:rFonts w:hint="eastAsia" w:ascii="楷体" w:hAnsi="楷体" w:eastAsia="楷体" w:cs="Times New Roman"/>
                <w:kern w:val="0"/>
                <w:sz w:val="24"/>
                <w:szCs w:val="24"/>
                <w:lang w:val="en-US" w:eastAsia="zh-CN" w:bidi="ar-SA"/>
              </w:rPr>
            </w:pPr>
            <w:r>
              <w:rPr>
                <w:rFonts w:hint="eastAsia" w:ascii="楷体" w:hAnsi="楷体" w:eastAsia="楷体" w:cs="Times New Roman"/>
                <w:sz w:val="24"/>
                <w:szCs w:val="24"/>
                <w:lang w:val="en-US" w:eastAsia="zh-CN"/>
              </w:rPr>
              <w:t>苏银理财恒源日申季持1号F</w:t>
            </w:r>
          </w:p>
        </w:tc>
        <w:tc>
          <w:tcPr>
            <w:tcW w:w="666" w:type="pct"/>
            <w:noWrap w:val="0"/>
            <w:vAlign w:val="center"/>
          </w:tcPr>
          <w:p>
            <w:pPr>
              <w:pStyle w:val="11"/>
              <w:spacing w:before="0" w:beforeAutospacing="0" w:after="0" w:afterAutospacing="0" w:line="400" w:lineRule="exact"/>
              <w:jc w:val="center"/>
              <w:rPr>
                <w:rFonts w:hint="eastAsia" w:ascii="楷体" w:hAnsi="楷体" w:eastAsia="楷体" w:cs="Times New Roman"/>
                <w:kern w:val="0"/>
                <w:sz w:val="24"/>
                <w:szCs w:val="24"/>
                <w:lang w:val="en-US" w:eastAsia="zh-CN" w:bidi="ar-SA"/>
              </w:rPr>
            </w:pPr>
            <w:r>
              <w:rPr>
                <w:rFonts w:hint="eastAsia" w:ascii="楷体" w:hAnsi="楷体" w:eastAsia="楷体" w:cs="Times New Roman"/>
                <w:sz w:val="24"/>
                <w:szCs w:val="24"/>
                <w:lang w:val="en-US" w:eastAsia="zh-CN"/>
              </w:rPr>
              <w:t>J01977</w:t>
            </w:r>
          </w:p>
        </w:tc>
        <w:tc>
          <w:tcPr>
            <w:tcW w:w="831" w:type="pct"/>
            <w:noWrap w:val="0"/>
            <w:vAlign w:val="center"/>
          </w:tcPr>
          <w:p>
            <w:pPr>
              <w:keepNext w:val="0"/>
              <w:keepLines w:val="0"/>
              <w:widowControl/>
              <w:suppressLineNumbers w:val="0"/>
              <w:jc w:val="center"/>
              <w:textAlignment w:val="center"/>
              <w:rPr>
                <w:rFonts w:hint="eastAsia" w:ascii="楷体" w:hAnsi="楷体" w:eastAsia="楷体" w:cs="Times New Roman"/>
                <w:kern w:val="0"/>
                <w:sz w:val="24"/>
                <w:szCs w:val="24"/>
                <w:lang w:val="en-US" w:eastAsia="zh-CN" w:bidi="ar-SA"/>
              </w:rPr>
            </w:pPr>
            <w:r>
              <w:rPr>
                <w:rFonts w:hint="eastAsia" w:ascii="楷体" w:hAnsi="楷体" w:eastAsia="楷体" w:cs="Times New Roman"/>
                <w:kern w:val="0"/>
                <w:sz w:val="24"/>
                <w:szCs w:val="24"/>
                <w:lang w:val="en-US" w:eastAsia="zh-CN" w:bidi="ar-SA"/>
              </w:rPr>
              <w:t>1.90%-2.80%</w:t>
            </w:r>
          </w:p>
        </w:tc>
        <w:tc>
          <w:tcPr>
            <w:tcW w:w="815" w:type="pct"/>
            <w:vMerge w:val="continue"/>
            <w:noWrap w:val="0"/>
            <w:vAlign w:val="center"/>
          </w:tcPr>
          <w:p>
            <w:pPr>
              <w:pStyle w:val="11"/>
              <w:spacing w:before="0" w:beforeAutospacing="0" w:after="0" w:afterAutospacing="0" w:line="400" w:lineRule="exact"/>
              <w:jc w:val="center"/>
              <w:rPr>
                <w:rFonts w:hint="eastAsia" w:ascii="楷体" w:hAnsi="楷体" w:eastAsia="楷体" w:cs="Times New Roman"/>
                <w:sz w:val="24"/>
                <w:szCs w:val="24"/>
                <w:lang w:val="en-US" w:eastAsia="zh-CN"/>
              </w:rPr>
            </w:pPr>
          </w:p>
        </w:tc>
        <w:tc>
          <w:tcPr>
            <w:tcW w:w="772" w:type="pct"/>
            <w:noWrap w:val="0"/>
            <w:vAlign w:val="center"/>
          </w:tcPr>
          <w:p>
            <w:pPr>
              <w:spacing w:before="0" w:beforeAutospacing="0" w:after="0" w:afterAutospacing="0" w:line="400" w:lineRule="exact"/>
              <w:jc w:val="center"/>
              <w:rPr>
                <w:rFonts w:hint="default" w:ascii="楷体" w:hAnsi="楷体" w:eastAsia="楷体" w:cs="Times New Roman"/>
                <w:sz w:val="24"/>
                <w:szCs w:val="24"/>
                <w:lang w:val="en-US" w:eastAsia="zh-CN"/>
              </w:rPr>
            </w:pPr>
            <w:r>
              <w:rPr>
                <w:rFonts w:hint="eastAsia" w:ascii="楷体" w:hAnsi="楷体" w:eastAsia="楷体" w:cs="Times New Roman"/>
                <w:sz w:val="24"/>
                <w:szCs w:val="24"/>
                <w:lang w:val="en-US" w:eastAsia="zh-CN"/>
              </w:rPr>
              <w:t>2.80%</w:t>
            </w:r>
          </w:p>
        </w:tc>
        <w:tc>
          <w:tcPr>
            <w:tcW w:w="798" w:type="pct"/>
            <w:vMerge w:val="continue"/>
            <w:noWrap w:val="0"/>
            <w:vAlign w:val="center"/>
          </w:tcPr>
          <w:p>
            <w:pPr>
              <w:spacing w:before="0" w:beforeAutospacing="0" w:after="0" w:afterAutospacing="0" w:line="400" w:lineRule="exact"/>
              <w:jc w:val="center"/>
              <w:rPr>
                <w:rFonts w:hint="eastAsia" w:ascii="楷体" w:hAnsi="楷体" w:eastAsia="楷体" w:cs="Times New Roman"/>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jc w:val="center"/>
        </w:trPr>
        <w:tc>
          <w:tcPr>
            <w:tcW w:w="1114" w:type="pct"/>
            <w:noWrap w:val="0"/>
            <w:vAlign w:val="center"/>
          </w:tcPr>
          <w:p>
            <w:pPr>
              <w:pStyle w:val="11"/>
              <w:spacing w:before="0" w:beforeAutospacing="0" w:after="0" w:afterAutospacing="0" w:line="400" w:lineRule="exact"/>
              <w:jc w:val="center"/>
              <w:rPr>
                <w:rFonts w:hint="eastAsia" w:ascii="楷体" w:hAnsi="楷体" w:eastAsia="楷体" w:cs="Times New Roman"/>
                <w:sz w:val="24"/>
                <w:szCs w:val="24"/>
                <w:lang w:val="en-US" w:eastAsia="zh-CN"/>
              </w:rPr>
            </w:pPr>
            <w:r>
              <w:rPr>
                <w:rFonts w:hint="eastAsia" w:ascii="楷体" w:hAnsi="楷体" w:eastAsia="楷体" w:cs="Times New Roman"/>
                <w:sz w:val="24"/>
                <w:szCs w:val="24"/>
                <w:lang w:val="en-US" w:eastAsia="zh-CN"/>
              </w:rPr>
              <w:t>苏银理财恒源日申季持1号G</w:t>
            </w:r>
          </w:p>
        </w:tc>
        <w:tc>
          <w:tcPr>
            <w:tcW w:w="666" w:type="pct"/>
            <w:noWrap w:val="0"/>
            <w:vAlign w:val="center"/>
          </w:tcPr>
          <w:p>
            <w:pPr>
              <w:pStyle w:val="11"/>
              <w:spacing w:before="0" w:beforeAutospacing="0" w:after="0" w:afterAutospacing="0" w:line="400" w:lineRule="exact"/>
              <w:jc w:val="center"/>
              <w:rPr>
                <w:rFonts w:ascii="楷体" w:hAnsi="楷体" w:eastAsia="楷体" w:cs="Times New Roman"/>
                <w:sz w:val="24"/>
                <w:szCs w:val="24"/>
              </w:rPr>
            </w:pPr>
            <w:r>
              <w:rPr>
                <w:rFonts w:hint="eastAsia" w:ascii="楷体" w:hAnsi="楷体" w:eastAsia="楷体" w:cs="Times New Roman"/>
                <w:sz w:val="24"/>
                <w:szCs w:val="24"/>
                <w:lang w:val="en-US" w:eastAsia="zh-CN"/>
              </w:rPr>
              <w:t>J02228</w:t>
            </w:r>
          </w:p>
        </w:tc>
        <w:tc>
          <w:tcPr>
            <w:tcW w:w="831" w:type="pct"/>
            <w:noWrap w:val="0"/>
            <w:vAlign w:val="center"/>
          </w:tcPr>
          <w:p>
            <w:pPr>
              <w:keepNext w:val="0"/>
              <w:keepLines w:val="0"/>
              <w:widowControl/>
              <w:suppressLineNumbers w:val="0"/>
              <w:jc w:val="center"/>
              <w:textAlignment w:val="center"/>
              <w:rPr>
                <w:rFonts w:hint="eastAsia" w:ascii="楷体" w:hAnsi="楷体" w:eastAsia="楷体" w:cs="Times New Roman"/>
                <w:kern w:val="0"/>
                <w:sz w:val="24"/>
                <w:szCs w:val="24"/>
                <w:lang w:val="en-US" w:eastAsia="zh-CN" w:bidi="ar-SA"/>
              </w:rPr>
            </w:pPr>
            <w:r>
              <w:rPr>
                <w:rFonts w:hint="eastAsia" w:ascii="楷体" w:hAnsi="楷体" w:eastAsia="楷体" w:cs="Times New Roman"/>
                <w:kern w:val="0"/>
                <w:sz w:val="24"/>
                <w:szCs w:val="24"/>
                <w:lang w:val="en-US" w:eastAsia="zh-CN" w:bidi="ar-SA"/>
              </w:rPr>
              <w:t>2.05%-2.95%</w:t>
            </w:r>
          </w:p>
        </w:tc>
        <w:tc>
          <w:tcPr>
            <w:tcW w:w="815" w:type="pct"/>
            <w:vMerge w:val="continue"/>
            <w:noWrap w:val="0"/>
            <w:vAlign w:val="center"/>
          </w:tcPr>
          <w:p>
            <w:pPr>
              <w:pStyle w:val="11"/>
              <w:spacing w:before="0" w:beforeAutospacing="0" w:after="0" w:afterAutospacing="0" w:line="400" w:lineRule="exact"/>
              <w:jc w:val="center"/>
              <w:rPr>
                <w:rFonts w:hint="eastAsia" w:ascii="楷体" w:hAnsi="楷体" w:eastAsia="楷体" w:cs="Times New Roman"/>
                <w:sz w:val="24"/>
                <w:szCs w:val="24"/>
                <w:lang w:val="en-US" w:eastAsia="zh-CN"/>
              </w:rPr>
            </w:pPr>
          </w:p>
        </w:tc>
        <w:tc>
          <w:tcPr>
            <w:tcW w:w="772" w:type="pct"/>
            <w:noWrap w:val="0"/>
            <w:vAlign w:val="center"/>
          </w:tcPr>
          <w:p>
            <w:pPr>
              <w:spacing w:before="0" w:beforeAutospacing="0" w:after="0" w:afterAutospacing="0" w:line="400" w:lineRule="exact"/>
              <w:jc w:val="center"/>
              <w:rPr>
                <w:rFonts w:hint="default" w:ascii="楷体" w:hAnsi="楷体" w:eastAsia="楷体" w:cs="Times New Roman"/>
                <w:sz w:val="24"/>
                <w:szCs w:val="24"/>
                <w:lang w:val="en-US" w:eastAsia="zh-CN"/>
              </w:rPr>
            </w:pPr>
            <w:r>
              <w:rPr>
                <w:rFonts w:hint="eastAsia" w:ascii="楷体" w:hAnsi="楷体" w:eastAsia="楷体" w:cs="Times New Roman"/>
                <w:sz w:val="24"/>
                <w:szCs w:val="24"/>
                <w:lang w:val="en-US" w:eastAsia="zh-CN"/>
              </w:rPr>
              <w:t>2.95%</w:t>
            </w:r>
          </w:p>
        </w:tc>
        <w:tc>
          <w:tcPr>
            <w:tcW w:w="798" w:type="pct"/>
            <w:vMerge w:val="continue"/>
            <w:noWrap w:val="0"/>
            <w:vAlign w:val="center"/>
          </w:tcPr>
          <w:p>
            <w:pPr>
              <w:spacing w:before="0" w:beforeAutospacing="0" w:after="0" w:afterAutospacing="0" w:line="400" w:lineRule="exact"/>
              <w:jc w:val="center"/>
              <w:rPr>
                <w:rFonts w:hint="eastAsia" w:ascii="楷体" w:hAnsi="楷体" w:eastAsia="楷体" w:cs="Times New Roman"/>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jc w:val="center"/>
        </w:trPr>
        <w:tc>
          <w:tcPr>
            <w:tcW w:w="1114" w:type="pct"/>
            <w:noWrap w:val="0"/>
            <w:vAlign w:val="center"/>
          </w:tcPr>
          <w:p>
            <w:pPr>
              <w:pStyle w:val="11"/>
              <w:spacing w:before="0" w:beforeAutospacing="0" w:after="0" w:afterAutospacing="0" w:line="400" w:lineRule="exact"/>
              <w:jc w:val="center"/>
              <w:rPr>
                <w:rFonts w:hint="eastAsia" w:ascii="楷体" w:hAnsi="楷体" w:eastAsia="楷体" w:cs="Times New Roman"/>
                <w:sz w:val="24"/>
                <w:szCs w:val="24"/>
                <w:lang w:val="en-US" w:eastAsia="zh-CN"/>
              </w:rPr>
            </w:pPr>
            <w:r>
              <w:rPr>
                <w:rFonts w:hint="eastAsia" w:ascii="楷体" w:hAnsi="楷体" w:eastAsia="楷体" w:cs="Times New Roman"/>
                <w:sz w:val="24"/>
                <w:szCs w:val="24"/>
                <w:lang w:val="en-US" w:eastAsia="zh-CN"/>
              </w:rPr>
              <w:t>苏银理财恒源日申季持1号（芙蓉锦程·优选）</w:t>
            </w:r>
          </w:p>
        </w:tc>
        <w:tc>
          <w:tcPr>
            <w:tcW w:w="666" w:type="pct"/>
            <w:noWrap w:val="0"/>
            <w:vAlign w:val="center"/>
          </w:tcPr>
          <w:p>
            <w:pPr>
              <w:pStyle w:val="11"/>
              <w:spacing w:before="0" w:beforeAutospacing="0" w:after="0" w:afterAutospacing="0" w:line="400" w:lineRule="exact"/>
              <w:jc w:val="center"/>
              <w:rPr>
                <w:rFonts w:hint="eastAsia" w:ascii="楷体" w:hAnsi="楷体" w:eastAsia="楷体" w:cs="Times New Roman"/>
                <w:sz w:val="24"/>
                <w:szCs w:val="24"/>
                <w:lang w:val="en-US" w:eastAsia="zh-CN"/>
              </w:rPr>
            </w:pPr>
            <w:r>
              <w:rPr>
                <w:rFonts w:hint="eastAsia" w:ascii="楷体" w:hAnsi="楷体" w:eastAsia="楷体" w:cs="Times New Roman"/>
                <w:sz w:val="24"/>
                <w:szCs w:val="24"/>
                <w:lang w:val="en-US" w:eastAsia="zh-CN"/>
              </w:rPr>
              <w:t>J03611</w:t>
            </w:r>
          </w:p>
        </w:tc>
        <w:tc>
          <w:tcPr>
            <w:tcW w:w="831" w:type="pct"/>
            <w:noWrap w:val="0"/>
            <w:vAlign w:val="center"/>
          </w:tcPr>
          <w:p>
            <w:pPr>
              <w:keepNext w:val="0"/>
              <w:keepLines w:val="0"/>
              <w:widowControl/>
              <w:suppressLineNumbers w:val="0"/>
              <w:jc w:val="center"/>
              <w:textAlignment w:val="center"/>
              <w:rPr>
                <w:rFonts w:hint="eastAsia" w:ascii="楷体" w:hAnsi="楷体" w:eastAsia="楷体" w:cs="Times New Roman"/>
                <w:kern w:val="0"/>
                <w:sz w:val="24"/>
                <w:szCs w:val="24"/>
                <w:lang w:val="en-US" w:eastAsia="zh-CN" w:bidi="ar-SA"/>
              </w:rPr>
            </w:pPr>
            <w:r>
              <w:rPr>
                <w:rFonts w:hint="eastAsia" w:ascii="楷体" w:hAnsi="楷体" w:eastAsia="楷体" w:cs="Times New Roman"/>
                <w:kern w:val="0"/>
                <w:sz w:val="24"/>
                <w:szCs w:val="24"/>
                <w:lang w:val="en-US" w:eastAsia="zh-CN" w:bidi="ar-SA"/>
              </w:rPr>
              <w:t>1.90%-2.80%</w:t>
            </w:r>
          </w:p>
        </w:tc>
        <w:tc>
          <w:tcPr>
            <w:tcW w:w="815" w:type="pct"/>
            <w:vMerge w:val="continue"/>
            <w:noWrap w:val="0"/>
            <w:vAlign w:val="center"/>
          </w:tcPr>
          <w:p>
            <w:pPr>
              <w:pStyle w:val="11"/>
              <w:spacing w:before="0" w:beforeAutospacing="0" w:after="0" w:afterAutospacing="0" w:line="400" w:lineRule="exact"/>
              <w:jc w:val="center"/>
              <w:rPr>
                <w:rFonts w:hint="eastAsia" w:ascii="楷体" w:hAnsi="楷体" w:eastAsia="楷体" w:cs="Times New Roman"/>
                <w:sz w:val="24"/>
                <w:szCs w:val="24"/>
                <w:lang w:val="en-US" w:eastAsia="zh-CN"/>
              </w:rPr>
            </w:pPr>
          </w:p>
        </w:tc>
        <w:tc>
          <w:tcPr>
            <w:tcW w:w="772" w:type="pct"/>
            <w:noWrap w:val="0"/>
            <w:vAlign w:val="center"/>
          </w:tcPr>
          <w:p>
            <w:pPr>
              <w:spacing w:before="0" w:beforeAutospacing="0" w:after="0" w:afterAutospacing="0" w:line="400" w:lineRule="exact"/>
              <w:jc w:val="center"/>
              <w:rPr>
                <w:rFonts w:hint="default" w:ascii="楷体" w:hAnsi="楷体" w:eastAsia="楷体" w:cs="Times New Roman"/>
                <w:sz w:val="24"/>
                <w:szCs w:val="24"/>
                <w:lang w:val="en-US" w:eastAsia="zh-CN"/>
              </w:rPr>
            </w:pPr>
            <w:r>
              <w:rPr>
                <w:rFonts w:hint="eastAsia" w:ascii="楷体" w:hAnsi="楷体" w:eastAsia="楷体" w:cs="Times New Roman"/>
                <w:sz w:val="24"/>
                <w:szCs w:val="24"/>
                <w:lang w:val="en-US" w:eastAsia="zh-CN"/>
              </w:rPr>
              <w:t>2.80%</w:t>
            </w:r>
          </w:p>
        </w:tc>
        <w:tc>
          <w:tcPr>
            <w:tcW w:w="798" w:type="pct"/>
            <w:vMerge w:val="continue"/>
            <w:noWrap w:val="0"/>
            <w:vAlign w:val="center"/>
          </w:tcPr>
          <w:p>
            <w:pPr>
              <w:spacing w:before="0" w:beforeAutospacing="0" w:after="0" w:afterAutospacing="0" w:line="400" w:lineRule="exact"/>
              <w:jc w:val="center"/>
              <w:rPr>
                <w:rFonts w:hint="default" w:ascii="楷体" w:hAnsi="楷体" w:eastAsia="楷体" w:cs="Times New Roman"/>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jc w:val="center"/>
        </w:trPr>
        <w:tc>
          <w:tcPr>
            <w:tcW w:w="1114" w:type="pct"/>
            <w:noWrap w:val="0"/>
            <w:vAlign w:val="center"/>
          </w:tcPr>
          <w:p>
            <w:pPr>
              <w:pStyle w:val="11"/>
              <w:spacing w:before="0" w:beforeAutospacing="0" w:after="0" w:afterAutospacing="0" w:line="400" w:lineRule="exact"/>
              <w:jc w:val="center"/>
              <w:rPr>
                <w:rFonts w:hint="eastAsia" w:ascii="楷体" w:hAnsi="楷体" w:eastAsia="楷体" w:cs="Times New Roman"/>
                <w:sz w:val="24"/>
                <w:szCs w:val="24"/>
                <w:lang w:val="en-US" w:eastAsia="zh-CN"/>
              </w:rPr>
            </w:pPr>
            <w:r>
              <w:rPr>
                <w:rFonts w:hint="eastAsia" w:ascii="楷体" w:hAnsi="楷体" w:eastAsia="楷体" w:cs="Times New Roman"/>
                <w:sz w:val="24"/>
                <w:szCs w:val="24"/>
                <w:lang w:val="en-US" w:eastAsia="zh-CN"/>
              </w:rPr>
              <w:t>苏银理财恒源日申季持1号（北部湾银行专属）</w:t>
            </w:r>
          </w:p>
        </w:tc>
        <w:tc>
          <w:tcPr>
            <w:tcW w:w="666" w:type="pct"/>
            <w:noWrap w:val="0"/>
            <w:vAlign w:val="center"/>
          </w:tcPr>
          <w:p>
            <w:pPr>
              <w:pStyle w:val="11"/>
              <w:spacing w:before="0" w:beforeAutospacing="0" w:after="0" w:afterAutospacing="0" w:line="400" w:lineRule="exact"/>
              <w:jc w:val="center"/>
              <w:rPr>
                <w:rFonts w:hint="eastAsia" w:ascii="楷体" w:hAnsi="楷体" w:eastAsia="楷体" w:cs="Times New Roman"/>
                <w:sz w:val="24"/>
                <w:szCs w:val="24"/>
                <w:lang w:val="en-US" w:eastAsia="zh-CN"/>
              </w:rPr>
            </w:pPr>
            <w:r>
              <w:rPr>
                <w:rFonts w:hint="eastAsia" w:ascii="楷体" w:hAnsi="楷体" w:eastAsia="楷体" w:cs="Times New Roman"/>
                <w:sz w:val="24"/>
                <w:szCs w:val="24"/>
                <w:lang w:val="en-US" w:eastAsia="zh-CN"/>
              </w:rPr>
              <w:t>J03830</w:t>
            </w:r>
          </w:p>
        </w:tc>
        <w:tc>
          <w:tcPr>
            <w:tcW w:w="831" w:type="pct"/>
            <w:noWrap w:val="0"/>
            <w:vAlign w:val="center"/>
          </w:tcPr>
          <w:p>
            <w:pPr>
              <w:keepNext w:val="0"/>
              <w:keepLines w:val="0"/>
              <w:widowControl/>
              <w:suppressLineNumbers w:val="0"/>
              <w:jc w:val="center"/>
              <w:textAlignment w:val="center"/>
              <w:rPr>
                <w:rFonts w:hint="eastAsia" w:ascii="楷体" w:hAnsi="楷体" w:eastAsia="楷体" w:cs="Times New Roman"/>
                <w:kern w:val="0"/>
                <w:sz w:val="24"/>
                <w:szCs w:val="24"/>
                <w:lang w:val="en-US" w:eastAsia="zh-CN" w:bidi="ar-SA"/>
              </w:rPr>
            </w:pPr>
            <w:r>
              <w:rPr>
                <w:rFonts w:hint="eastAsia" w:ascii="楷体" w:hAnsi="楷体" w:eastAsia="楷体" w:cs="Times New Roman"/>
                <w:kern w:val="0"/>
                <w:sz w:val="24"/>
                <w:szCs w:val="24"/>
                <w:lang w:val="en-US" w:eastAsia="zh-CN" w:bidi="ar-SA"/>
              </w:rPr>
              <w:t>1.90%-2.80%</w:t>
            </w:r>
          </w:p>
        </w:tc>
        <w:tc>
          <w:tcPr>
            <w:tcW w:w="815" w:type="pct"/>
            <w:vMerge w:val="continue"/>
            <w:noWrap w:val="0"/>
            <w:vAlign w:val="center"/>
          </w:tcPr>
          <w:p>
            <w:pPr>
              <w:pStyle w:val="11"/>
              <w:spacing w:before="0" w:beforeAutospacing="0" w:after="0" w:afterAutospacing="0" w:line="400" w:lineRule="exact"/>
              <w:jc w:val="center"/>
              <w:rPr>
                <w:rFonts w:hint="eastAsia" w:ascii="楷体" w:hAnsi="楷体" w:eastAsia="楷体" w:cs="Times New Roman"/>
                <w:sz w:val="24"/>
                <w:szCs w:val="24"/>
                <w:lang w:val="en-US" w:eastAsia="zh-CN"/>
              </w:rPr>
            </w:pPr>
          </w:p>
        </w:tc>
        <w:tc>
          <w:tcPr>
            <w:tcW w:w="772" w:type="pct"/>
            <w:noWrap w:val="0"/>
            <w:vAlign w:val="center"/>
          </w:tcPr>
          <w:p>
            <w:pPr>
              <w:spacing w:before="0" w:beforeAutospacing="0" w:after="0" w:afterAutospacing="0" w:line="400" w:lineRule="exact"/>
              <w:jc w:val="center"/>
              <w:rPr>
                <w:rFonts w:hint="default" w:ascii="楷体" w:hAnsi="楷体" w:eastAsia="楷体" w:cs="Times New Roman"/>
                <w:sz w:val="24"/>
                <w:szCs w:val="24"/>
                <w:lang w:val="en-US" w:eastAsia="zh-CN"/>
              </w:rPr>
            </w:pPr>
            <w:r>
              <w:rPr>
                <w:rFonts w:hint="eastAsia" w:ascii="楷体" w:hAnsi="楷体" w:eastAsia="楷体" w:cs="Times New Roman"/>
                <w:sz w:val="24"/>
                <w:szCs w:val="24"/>
                <w:lang w:val="en-US" w:eastAsia="zh-CN"/>
              </w:rPr>
              <w:t>2.80%</w:t>
            </w:r>
          </w:p>
        </w:tc>
        <w:tc>
          <w:tcPr>
            <w:tcW w:w="798" w:type="pct"/>
            <w:vMerge w:val="continue"/>
            <w:noWrap w:val="0"/>
            <w:vAlign w:val="center"/>
          </w:tcPr>
          <w:p>
            <w:pPr>
              <w:spacing w:before="0" w:beforeAutospacing="0" w:after="0" w:afterAutospacing="0" w:line="400" w:lineRule="exact"/>
              <w:jc w:val="center"/>
              <w:rPr>
                <w:rFonts w:hint="default" w:ascii="楷体" w:hAnsi="楷体" w:eastAsia="楷体" w:cs="Times New Roman"/>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jc w:val="center"/>
        </w:trPr>
        <w:tc>
          <w:tcPr>
            <w:tcW w:w="1114" w:type="pct"/>
            <w:noWrap w:val="0"/>
            <w:vAlign w:val="center"/>
          </w:tcPr>
          <w:p>
            <w:pPr>
              <w:pStyle w:val="11"/>
              <w:spacing w:before="0" w:beforeAutospacing="0" w:after="0" w:afterAutospacing="0" w:line="400" w:lineRule="exact"/>
              <w:jc w:val="center"/>
              <w:rPr>
                <w:rFonts w:hint="eastAsia" w:ascii="楷体" w:hAnsi="楷体" w:eastAsia="楷体" w:cs="Times New Roman"/>
                <w:sz w:val="24"/>
                <w:szCs w:val="24"/>
                <w:lang w:val="en-US" w:eastAsia="zh-CN"/>
              </w:rPr>
            </w:pPr>
            <w:r>
              <w:rPr>
                <w:rFonts w:hint="eastAsia" w:ascii="楷体" w:hAnsi="楷体" w:eastAsia="楷体" w:cs="Times New Roman"/>
                <w:sz w:val="24"/>
                <w:szCs w:val="24"/>
                <w:lang w:val="en-US" w:eastAsia="zh-CN"/>
              </w:rPr>
              <w:t>苏银理财恒源日申季持1号ZJ</w:t>
            </w:r>
          </w:p>
        </w:tc>
        <w:tc>
          <w:tcPr>
            <w:tcW w:w="666" w:type="pct"/>
            <w:noWrap w:val="0"/>
            <w:vAlign w:val="center"/>
          </w:tcPr>
          <w:p>
            <w:pPr>
              <w:pStyle w:val="11"/>
              <w:spacing w:before="0" w:beforeAutospacing="0" w:after="0" w:afterAutospacing="0" w:line="400" w:lineRule="exact"/>
              <w:jc w:val="center"/>
              <w:rPr>
                <w:rFonts w:hint="eastAsia" w:ascii="楷体" w:hAnsi="楷体" w:eastAsia="楷体" w:cs="Times New Roman"/>
                <w:sz w:val="24"/>
                <w:szCs w:val="24"/>
                <w:lang w:val="en-US" w:eastAsia="zh-CN"/>
              </w:rPr>
            </w:pPr>
            <w:r>
              <w:rPr>
                <w:rFonts w:hint="eastAsia" w:ascii="楷体" w:hAnsi="楷体" w:eastAsia="楷体" w:cs="Times New Roman"/>
                <w:sz w:val="24"/>
                <w:szCs w:val="24"/>
                <w:lang w:val="en-US" w:eastAsia="zh-CN"/>
              </w:rPr>
              <w:t>J07599</w:t>
            </w:r>
          </w:p>
        </w:tc>
        <w:tc>
          <w:tcPr>
            <w:tcW w:w="831" w:type="pct"/>
            <w:noWrap w:val="0"/>
            <w:vAlign w:val="center"/>
          </w:tcPr>
          <w:p>
            <w:pPr>
              <w:keepNext w:val="0"/>
              <w:keepLines w:val="0"/>
              <w:widowControl/>
              <w:suppressLineNumbers w:val="0"/>
              <w:jc w:val="center"/>
              <w:textAlignment w:val="center"/>
              <w:rPr>
                <w:rFonts w:hint="eastAsia" w:ascii="楷体" w:hAnsi="楷体" w:eastAsia="楷体" w:cs="Times New Roman"/>
                <w:kern w:val="0"/>
                <w:sz w:val="24"/>
                <w:szCs w:val="24"/>
                <w:lang w:val="en-US" w:eastAsia="zh-CN" w:bidi="ar-SA"/>
              </w:rPr>
            </w:pPr>
            <w:r>
              <w:rPr>
                <w:rFonts w:hint="eastAsia" w:ascii="楷体" w:hAnsi="楷体" w:eastAsia="楷体" w:cs="Times New Roman"/>
                <w:kern w:val="0"/>
                <w:sz w:val="24"/>
                <w:szCs w:val="24"/>
                <w:lang w:val="en-US" w:eastAsia="zh-CN" w:bidi="ar-SA"/>
              </w:rPr>
              <w:t>2.10%-3.00%</w:t>
            </w:r>
          </w:p>
        </w:tc>
        <w:tc>
          <w:tcPr>
            <w:tcW w:w="815" w:type="pct"/>
            <w:vMerge w:val="continue"/>
            <w:noWrap w:val="0"/>
            <w:vAlign w:val="center"/>
          </w:tcPr>
          <w:p>
            <w:pPr>
              <w:pStyle w:val="11"/>
              <w:spacing w:before="0" w:beforeAutospacing="0" w:after="0" w:afterAutospacing="0" w:line="400" w:lineRule="exact"/>
              <w:jc w:val="center"/>
              <w:rPr>
                <w:rFonts w:hint="eastAsia" w:ascii="楷体" w:hAnsi="楷体" w:eastAsia="楷体" w:cs="Times New Roman"/>
                <w:sz w:val="24"/>
                <w:szCs w:val="24"/>
                <w:lang w:val="en-US" w:eastAsia="zh-CN"/>
              </w:rPr>
            </w:pPr>
          </w:p>
        </w:tc>
        <w:tc>
          <w:tcPr>
            <w:tcW w:w="772" w:type="pct"/>
            <w:noWrap w:val="0"/>
            <w:vAlign w:val="center"/>
          </w:tcPr>
          <w:p>
            <w:pPr>
              <w:spacing w:before="0" w:beforeAutospacing="0" w:after="0" w:afterAutospacing="0" w:line="400" w:lineRule="exact"/>
              <w:jc w:val="center"/>
              <w:rPr>
                <w:rFonts w:hint="eastAsia" w:ascii="楷体" w:hAnsi="楷体" w:eastAsia="楷体" w:cs="Times New Roman"/>
                <w:sz w:val="24"/>
                <w:szCs w:val="24"/>
                <w:lang w:val="en-US" w:eastAsia="zh-CN"/>
              </w:rPr>
            </w:pPr>
            <w:r>
              <w:rPr>
                <w:rFonts w:hint="eastAsia" w:ascii="楷体" w:hAnsi="楷体" w:eastAsia="楷体" w:cs="Times New Roman"/>
                <w:sz w:val="24"/>
                <w:szCs w:val="24"/>
                <w:lang w:val="en-US" w:eastAsia="zh-CN"/>
              </w:rPr>
              <w:t>3.00%</w:t>
            </w:r>
          </w:p>
        </w:tc>
        <w:tc>
          <w:tcPr>
            <w:tcW w:w="798" w:type="pct"/>
            <w:vMerge w:val="continue"/>
            <w:noWrap w:val="0"/>
            <w:vAlign w:val="center"/>
          </w:tcPr>
          <w:p>
            <w:pPr>
              <w:spacing w:before="0" w:beforeAutospacing="0" w:after="0" w:afterAutospacing="0" w:line="400" w:lineRule="exact"/>
              <w:jc w:val="center"/>
              <w:rPr>
                <w:rFonts w:hint="eastAsia" w:ascii="楷体" w:hAnsi="楷体" w:eastAsia="楷体" w:cs="Times New Roman"/>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14" w:type="pct"/>
            <w:noWrap w:val="0"/>
            <w:vAlign w:val="center"/>
          </w:tcPr>
          <w:p>
            <w:pPr>
              <w:widowControl/>
              <w:spacing w:line="0" w:lineRule="atLeast"/>
              <w:jc w:val="center"/>
              <w:textAlignment w:val="center"/>
              <w:rPr>
                <w:rFonts w:hint="eastAsia" w:ascii="楷体" w:hAnsi="楷体" w:eastAsia="楷体" w:cs="Times New Roman"/>
                <w:kern w:val="0"/>
                <w:sz w:val="24"/>
                <w:szCs w:val="24"/>
                <w:lang w:val="en-US" w:eastAsia="zh-CN" w:bidi="ar-SA"/>
              </w:rPr>
            </w:pPr>
            <w:r>
              <w:rPr>
                <w:rFonts w:hint="eastAsia" w:ascii="楷体" w:hAnsi="楷体" w:eastAsia="楷体" w:cs="Times New Roman"/>
                <w:sz w:val="24"/>
                <w:szCs w:val="24"/>
                <w:lang w:val="en-US" w:eastAsia="zh-CN"/>
              </w:rPr>
              <w:t>苏银理财</w:t>
            </w:r>
            <w:r>
              <w:rPr>
                <w:rFonts w:hint="default" w:ascii="楷体" w:hAnsi="楷体" w:eastAsia="楷体" w:cs="Times New Roman"/>
                <w:kern w:val="0"/>
                <w:sz w:val="24"/>
                <w:szCs w:val="24"/>
                <w:lang w:val="en-US" w:eastAsia="zh-CN" w:bidi="ar-SA"/>
              </w:rPr>
              <w:t>恒源日申季持1号A滚续</w:t>
            </w:r>
          </w:p>
        </w:tc>
        <w:tc>
          <w:tcPr>
            <w:tcW w:w="666" w:type="pct"/>
            <w:noWrap w:val="0"/>
            <w:vAlign w:val="center"/>
          </w:tcPr>
          <w:p>
            <w:pPr>
              <w:pStyle w:val="11"/>
              <w:spacing w:before="0" w:beforeAutospacing="0" w:after="0" w:afterAutospacing="0" w:line="400" w:lineRule="exact"/>
              <w:jc w:val="center"/>
              <w:rPr>
                <w:rFonts w:hint="eastAsia" w:ascii="楷体" w:hAnsi="楷体" w:eastAsia="楷体" w:cs="Times New Roman"/>
                <w:sz w:val="24"/>
                <w:szCs w:val="24"/>
                <w:lang w:val="en-US" w:eastAsia="zh-CN"/>
              </w:rPr>
            </w:pPr>
            <w:r>
              <w:rPr>
                <w:rFonts w:hint="eastAsia" w:ascii="楷体" w:hAnsi="楷体" w:eastAsia="楷体" w:cs="Times New Roman"/>
                <w:sz w:val="24"/>
                <w:szCs w:val="24"/>
                <w:lang w:val="en-US" w:eastAsia="zh-CN"/>
              </w:rPr>
              <w:t>J02646</w:t>
            </w:r>
          </w:p>
        </w:tc>
        <w:tc>
          <w:tcPr>
            <w:tcW w:w="831" w:type="pct"/>
            <w:noWrap w:val="0"/>
            <w:vAlign w:val="center"/>
          </w:tcPr>
          <w:p>
            <w:pPr>
              <w:keepNext w:val="0"/>
              <w:keepLines w:val="0"/>
              <w:widowControl/>
              <w:suppressLineNumbers w:val="0"/>
              <w:jc w:val="center"/>
              <w:textAlignment w:val="center"/>
              <w:rPr>
                <w:rFonts w:hint="eastAsia" w:ascii="楷体" w:hAnsi="楷体" w:eastAsia="楷体" w:cs="Times New Roman"/>
                <w:kern w:val="0"/>
                <w:sz w:val="24"/>
                <w:szCs w:val="24"/>
                <w:lang w:val="en-US" w:eastAsia="zh-CN" w:bidi="ar-SA"/>
              </w:rPr>
            </w:pPr>
            <w:r>
              <w:rPr>
                <w:rFonts w:hint="eastAsia" w:ascii="楷体" w:hAnsi="楷体" w:eastAsia="楷体" w:cs="Times New Roman"/>
                <w:kern w:val="0"/>
                <w:sz w:val="24"/>
                <w:szCs w:val="24"/>
                <w:lang w:val="en-US" w:eastAsia="zh-CN" w:bidi="ar-SA"/>
              </w:rPr>
              <w:t>2.10%-2.90%</w:t>
            </w:r>
          </w:p>
        </w:tc>
        <w:tc>
          <w:tcPr>
            <w:tcW w:w="815" w:type="pct"/>
            <w:vMerge w:val="continue"/>
            <w:noWrap w:val="0"/>
            <w:vAlign w:val="center"/>
          </w:tcPr>
          <w:p>
            <w:pPr>
              <w:pStyle w:val="11"/>
              <w:spacing w:before="0" w:beforeAutospacing="0" w:after="0" w:afterAutospacing="0" w:line="400" w:lineRule="exact"/>
              <w:jc w:val="center"/>
              <w:rPr>
                <w:rFonts w:hint="eastAsia" w:ascii="楷体" w:hAnsi="楷体" w:eastAsia="楷体" w:cs="Times New Roman"/>
                <w:sz w:val="24"/>
                <w:szCs w:val="24"/>
                <w:lang w:val="en-US" w:eastAsia="zh-CN"/>
              </w:rPr>
            </w:pPr>
          </w:p>
        </w:tc>
        <w:tc>
          <w:tcPr>
            <w:tcW w:w="772" w:type="pct"/>
            <w:noWrap w:val="0"/>
            <w:vAlign w:val="center"/>
          </w:tcPr>
          <w:p>
            <w:pPr>
              <w:spacing w:before="0" w:beforeAutospacing="0" w:after="0" w:afterAutospacing="0" w:line="400" w:lineRule="exact"/>
              <w:jc w:val="center"/>
              <w:rPr>
                <w:rFonts w:hint="default" w:ascii="楷体" w:hAnsi="楷体" w:eastAsia="楷体" w:cs="Times New Roman"/>
                <w:sz w:val="24"/>
                <w:szCs w:val="24"/>
                <w:lang w:val="en-US" w:eastAsia="zh-CN"/>
              </w:rPr>
            </w:pPr>
            <w:r>
              <w:rPr>
                <w:rFonts w:hint="eastAsia" w:ascii="楷体" w:hAnsi="楷体" w:eastAsia="楷体" w:cs="Times New Roman"/>
                <w:sz w:val="24"/>
                <w:szCs w:val="24"/>
                <w:lang w:val="en-US" w:eastAsia="zh-CN"/>
              </w:rPr>
              <w:t>2.90%</w:t>
            </w:r>
          </w:p>
        </w:tc>
        <w:tc>
          <w:tcPr>
            <w:tcW w:w="798" w:type="pct"/>
            <w:vMerge w:val="continue"/>
            <w:noWrap w:val="0"/>
            <w:vAlign w:val="center"/>
          </w:tcPr>
          <w:p>
            <w:pPr>
              <w:spacing w:before="0" w:beforeAutospacing="0" w:after="0" w:afterAutospacing="0" w:line="400" w:lineRule="exact"/>
              <w:jc w:val="center"/>
              <w:rPr>
                <w:rFonts w:hint="eastAsia" w:ascii="楷体" w:hAnsi="楷体" w:eastAsia="楷体" w:cs="Times New Roman"/>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jc w:val="center"/>
        </w:trPr>
        <w:tc>
          <w:tcPr>
            <w:tcW w:w="1114" w:type="pct"/>
            <w:noWrap w:val="0"/>
            <w:vAlign w:val="center"/>
          </w:tcPr>
          <w:p>
            <w:pPr>
              <w:widowControl/>
              <w:spacing w:line="0" w:lineRule="atLeast"/>
              <w:jc w:val="center"/>
              <w:textAlignment w:val="center"/>
              <w:rPr>
                <w:rFonts w:hint="eastAsia" w:ascii="楷体" w:hAnsi="楷体" w:eastAsia="楷体" w:cs="Times New Roman"/>
                <w:kern w:val="0"/>
                <w:sz w:val="24"/>
                <w:szCs w:val="24"/>
                <w:lang w:val="en-US" w:eastAsia="zh-CN" w:bidi="ar-SA"/>
              </w:rPr>
            </w:pPr>
            <w:r>
              <w:rPr>
                <w:rFonts w:hint="eastAsia" w:ascii="楷体" w:hAnsi="楷体" w:eastAsia="楷体" w:cs="Times New Roman"/>
                <w:sz w:val="24"/>
                <w:szCs w:val="24"/>
                <w:lang w:val="en-US" w:eastAsia="zh-CN"/>
              </w:rPr>
              <w:t>苏银理财</w:t>
            </w:r>
            <w:r>
              <w:rPr>
                <w:rFonts w:hint="default" w:ascii="楷体" w:hAnsi="楷体" w:eastAsia="楷体" w:cs="Times New Roman"/>
                <w:kern w:val="0"/>
                <w:sz w:val="24"/>
                <w:szCs w:val="24"/>
                <w:lang w:val="en-US" w:eastAsia="zh-CN" w:bidi="ar-SA"/>
              </w:rPr>
              <w:t>恒源日申季持1号B滚续</w:t>
            </w:r>
          </w:p>
        </w:tc>
        <w:tc>
          <w:tcPr>
            <w:tcW w:w="666" w:type="pct"/>
            <w:noWrap w:val="0"/>
            <w:vAlign w:val="center"/>
          </w:tcPr>
          <w:p>
            <w:pPr>
              <w:pStyle w:val="11"/>
              <w:spacing w:before="0" w:beforeAutospacing="0" w:after="0" w:afterAutospacing="0" w:line="400" w:lineRule="exact"/>
              <w:jc w:val="center"/>
              <w:rPr>
                <w:rFonts w:hint="eastAsia" w:ascii="楷体" w:hAnsi="楷体" w:eastAsia="楷体" w:cs="Times New Roman"/>
                <w:sz w:val="24"/>
                <w:szCs w:val="24"/>
                <w:lang w:val="en-US" w:eastAsia="zh-CN"/>
              </w:rPr>
            </w:pPr>
            <w:r>
              <w:rPr>
                <w:rFonts w:hint="eastAsia" w:ascii="楷体" w:hAnsi="楷体" w:eastAsia="楷体" w:cs="Times New Roman"/>
                <w:sz w:val="24"/>
                <w:szCs w:val="24"/>
                <w:lang w:val="en-US" w:eastAsia="zh-CN"/>
              </w:rPr>
              <w:t>J02658</w:t>
            </w:r>
          </w:p>
        </w:tc>
        <w:tc>
          <w:tcPr>
            <w:tcW w:w="831" w:type="pct"/>
            <w:noWrap w:val="0"/>
            <w:vAlign w:val="center"/>
          </w:tcPr>
          <w:p>
            <w:pPr>
              <w:keepNext w:val="0"/>
              <w:keepLines w:val="0"/>
              <w:widowControl/>
              <w:suppressLineNumbers w:val="0"/>
              <w:jc w:val="center"/>
              <w:textAlignment w:val="center"/>
              <w:rPr>
                <w:rFonts w:hint="eastAsia" w:ascii="楷体" w:hAnsi="楷体" w:eastAsia="楷体" w:cs="Times New Roman"/>
                <w:kern w:val="0"/>
                <w:sz w:val="24"/>
                <w:szCs w:val="24"/>
                <w:lang w:val="en-US" w:eastAsia="zh-CN" w:bidi="ar-SA"/>
              </w:rPr>
            </w:pPr>
            <w:r>
              <w:rPr>
                <w:rFonts w:hint="eastAsia" w:ascii="楷体" w:hAnsi="楷体" w:eastAsia="楷体" w:cs="Times New Roman"/>
                <w:kern w:val="0"/>
                <w:sz w:val="24"/>
                <w:szCs w:val="24"/>
                <w:lang w:val="en-US" w:eastAsia="zh-CN" w:bidi="ar-SA"/>
              </w:rPr>
              <w:t>2.15%-2.95%</w:t>
            </w:r>
          </w:p>
        </w:tc>
        <w:tc>
          <w:tcPr>
            <w:tcW w:w="815" w:type="pct"/>
            <w:vMerge w:val="continue"/>
            <w:noWrap w:val="0"/>
            <w:vAlign w:val="center"/>
          </w:tcPr>
          <w:p>
            <w:pPr>
              <w:pStyle w:val="11"/>
              <w:spacing w:before="0" w:beforeAutospacing="0" w:after="0" w:afterAutospacing="0" w:line="400" w:lineRule="exact"/>
              <w:jc w:val="center"/>
              <w:rPr>
                <w:rFonts w:hint="eastAsia" w:ascii="楷体" w:hAnsi="楷体" w:eastAsia="楷体" w:cs="Times New Roman"/>
                <w:sz w:val="24"/>
                <w:szCs w:val="24"/>
                <w:lang w:val="en-US" w:eastAsia="zh-CN"/>
              </w:rPr>
            </w:pPr>
          </w:p>
        </w:tc>
        <w:tc>
          <w:tcPr>
            <w:tcW w:w="772" w:type="pct"/>
            <w:noWrap w:val="0"/>
            <w:vAlign w:val="center"/>
          </w:tcPr>
          <w:p>
            <w:pPr>
              <w:spacing w:before="0" w:beforeAutospacing="0" w:after="0" w:afterAutospacing="0" w:line="400" w:lineRule="exact"/>
              <w:jc w:val="center"/>
              <w:rPr>
                <w:rFonts w:hint="default" w:ascii="楷体" w:hAnsi="楷体" w:eastAsia="楷体" w:cs="Times New Roman"/>
                <w:sz w:val="24"/>
                <w:szCs w:val="24"/>
                <w:lang w:val="en-US" w:eastAsia="zh-CN"/>
              </w:rPr>
            </w:pPr>
            <w:r>
              <w:rPr>
                <w:rFonts w:hint="eastAsia" w:ascii="楷体" w:hAnsi="楷体" w:eastAsia="楷体" w:cs="Times New Roman"/>
                <w:sz w:val="24"/>
                <w:szCs w:val="24"/>
                <w:lang w:val="en-US" w:eastAsia="zh-CN"/>
              </w:rPr>
              <w:t>2.95%</w:t>
            </w:r>
          </w:p>
        </w:tc>
        <w:tc>
          <w:tcPr>
            <w:tcW w:w="798" w:type="pct"/>
            <w:vMerge w:val="continue"/>
            <w:noWrap w:val="0"/>
            <w:vAlign w:val="center"/>
          </w:tcPr>
          <w:p>
            <w:pPr>
              <w:spacing w:before="0" w:beforeAutospacing="0" w:after="0" w:afterAutospacing="0" w:line="400" w:lineRule="exact"/>
              <w:jc w:val="center"/>
              <w:rPr>
                <w:rFonts w:hint="eastAsia" w:ascii="楷体" w:hAnsi="楷体" w:eastAsia="楷体" w:cs="Times New Roman"/>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jc w:val="center"/>
        </w:trPr>
        <w:tc>
          <w:tcPr>
            <w:tcW w:w="1114" w:type="pct"/>
            <w:noWrap w:val="0"/>
            <w:vAlign w:val="center"/>
          </w:tcPr>
          <w:p>
            <w:pPr>
              <w:widowControl/>
              <w:spacing w:line="0" w:lineRule="atLeast"/>
              <w:jc w:val="center"/>
              <w:textAlignment w:val="center"/>
              <w:rPr>
                <w:rFonts w:hint="eastAsia" w:ascii="楷体" w:hAnsi="楷体" w:eastAsia="楷体" w:cs="Times New Roman"/>
                <w:kern w:val="0"/>
                <w:sz w:val="24"/>
                <w:szCs w:val="24"/>
                <w:lang w:val="en-US" w:eastAsia="zh-CN" w:bidi="ar-SA"/>
              </w:rPr>
            </w:pPr>
            <w:r>
              <w:rPr>
                <w:rFonts w:hint="eastAsia" w:ascii="楷体" w:hAnsi="楷体" w:eastAsia="楷体" w:cs="Times New Roman"/>
                <w:sz w:val="24"/>
                <w:szCs w:val="24"/>
                <w:lang w:val="en-US" w:eastAsia="zh-CN"/>
              </w:rPr>
              <w:t>苏银理财</w:t>
            </w:r>
            <w:r>
              <w:rPr>
                <w:rFonts w:hint="default" w:ascii="楷体" w:hAnsi="楷体" w:eastAsia="楷体" w:cs="Times New Roman"/>
                <w:kern w:val="0"/>
                <w:sz w:val="24"/>
                <w:szCs w:val="24"/>
                <w:lang w:val="en-US" w:eastAsia="zh-CN" w:bidi="ar-SA"/>
              </w:rPr>
              <w:t>恒源日申季持1号C滚续</w:t>
            </w:r>
          </w:p>
        </w:tc>
        <w:tc>
          <w:tcPr>
            <w:tcW w:w="666" w:type="pct"/>
            <w:noWrap w:val="0"/>
            <w:vAlign w:val="center"/>
          </w:tcPr>
          <w:p>
            <w:pPr>
              <w:pStyle w:val="11"/>
              <w:spacing w:before="0" w:beforeAutospacing="0" w:after="0" w:afterAutospacing="0" w:line="400" w:lineRule="exact"/>
              <w:jc w:val="center"/>
              <w:rPr>
                <w:rFonts w:hint="eastAsia" w:ascii="楷体" w:hAnsi="楷体" w:eastAsia="楷体" w:cs="Times New Roman"/>
                <w:sz w:val="24"/>
                <w:szCs w:val="24"/>
                <w:lang w:val="en-US" w:eastAsia="zh-CN"/>
              </w:rPr>
            </w:pPr>
            <w:r>
              <w:rPr>
                <w:rFonts w:hint="eastAsia" w:ascii="楷体" w:hAnsi="楷体" w:eastAsia="楷体" w:cs="Times New Roman"/>
                <w:sz w:val="24"/>
                <w:szCs w:val="24"/>
                <w:lang w:val="en-US" w:eastAsia="zh-CN"/>
              </w:rPr>
              <w:t>J02659</w:t>
            </w:r>
          </w:p>
        </w:tc>
        <w:tc>
          <w:tcPr>
            <w:tcW w:w="831" w:type="pct"/>
            <w:noWrap w:val="0"/>
            <w:vAlign w:val="center"/>
          </w:tcPr>
          <w:p>
            <w:pPr>
              <w:keepNext w:val="0"/>
              <w:keepLines w:val="0"/>
              <w:widowControl/>
              <w:suppressLineNumbers w:val="0"/>
              <w:jc w:val="center"/>
              <w:textAlignment w:val="center"/>
              <w:rPr>
                <w:rFonts w:hint="eastAsia" w:ascii="楷体" w:hAnsi="楷体" w:eastAsia="楷体" w:cs="Times New Roman"/>
                <w:kern w:val="0"/>
                <w:sz w:val="24"/>
                <w:szCs w:val="24"/>
                <w:lang w:val="en-US" w:eastAsia="zh-CN" w:bidi="ar-SA"/>
              </w:rPr>
            </w:pPr>
            <w:r>
              <w:rPr>
                <w:rFonts w:hint="eastAsia" w:ascii="楷体" w:hAnsi="楷体" w:eastAsia="楷体" w:cs="Times New Roman"/>
                <w:kern w:val="0"/>
                <w:sz w:val="24"/>
                <w:szCs w:val="24"/>
                <w:lang w:val="en-US" w:eastAsia="zh-CN" w:bidi="ar-SA"/>
              </w:rPr>
              <w:t>2.25%-3.05%</w:t>
            </w:r>
          </w:p>
        </w:tc>
        <w:tc>
          <w:tcPr>
            <w:tcW w:w="815" w:type="pct"/>
            <w:vMerge w:val="continue"/>
            <w:noWrap w:val="0"/>
            <w:vAlign w:val="center"/>
          </w:tcPr>
          <w:p>
            <w:pPr>
              <w:pStyle w:val="11"/>
              <w:spacing w:before="0" w:beforeAutospacing="0" w:after="0" w:afterAutospacing="0" w:line="400" w:lineRule="exact"/>
              <w:jc w:val="center"/>
              <w:rPr>
                <w:rFonts w:hint="eastAsia" w:ascii="楷体" w:hAnsi="楷体" w:eastAsia="楷体" w:cs="Times New Roman"/>
                <w:sz w:val="24"/>
                <w:szCs w:val="24"/>
                <w:lang w:val="en-US" w:eastAsia="zh-CN"/>
              </w:rPr>
            </w:pPr>
          </w:p>
        </w:tc>
        <w:tc>
          <w:tcPr>
            <w:tcW w:w="772" w:type="pct"/>
            <w:noWrap w:val="0"/>
            <w:vAlign w:val="center"/>
          </w:tcPr>
          <w:p>
            <w:pPr>
              <w:spacing w:before="0" w:beforeAutospacing="0" w:after="0" w:afterAutospacing="0" w:line="400" w:lineRule="exact"/>
              <w:jc w:val="center"/>
              <w:rPr>
                <w:rFonts w:hint="default" w:ascii="楷体" w:hAnsi="楷体" w:eastAsia="楷体" w:cs="Times New Roman"/>
                <w:sz w:val="24"/>
                <w:szCs w:val="24"/>
                <w:lang w:val="en-US" w:eastAsia="zh-CN"/>
              </w:rPr>
            </w:pPr>
            <w:r>
              <w:rPr>
                <w:rFonts w:hint="eastAsia" w:ascii="楷体" w:hAnsi="楷体" w:eastAsia="楷体" w:cs="Times New Roman"/>
                <w:sz w:val="24"/>
                <w:szCs w:val="24"/>
                <w:lang w:val="en-US" w:eastAsia="zh-CN"/>
              </w:rPr>
              <w:t>3.05%</w:t>
            </w:r>
          </w:p>
        </w:tc>
        <w:tc>
          <w:tcPr>
            <w:tcW w:w="798" w:type="pct"/>
            <w:vMerge w:val="continue"/>
            <w:noWrap w:val="0"/>
            <w:vAlign w:val="center"/>
          </w:tcPr>
          <w:p>
            <w:pPr>
              <w:spacing w:before="0" w:beforeAutospacing="0" w:after="0" w:afterAutospacing="0" w:line="400" w:lineRule="exact"/>
              <w:jc w:val="center"/>
              <w:rPr>
                <w:rFonts w:hint="eastAsia" w:ascii="楷体" w:hAnsi="楷体" w:eastAsia="楷体" w:cs="Times New Roman"/>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jc w:val="center"/>
        </w:trPr>
        <w:tc>
          <w:tcPr>
            <w:tcW w:w="1114" w:type="pct"/>
            <w:noWrap w:val="0"/>
            <w:vAlign w:val="center"/>
          </w:tcPr>
          <w:p>
            <w:pPr>
              <w:widowControl/>
              <w:spacing w:line="0" w:lineRule="atLeast"/>
              <w:jc w:val="center"/>
              <w:textAlignment w:val="center"/>
              <w:rPr>
                <w:rFonts w:hint="eastAsia" w:ascii="楷体" w:hAnsi="楷体" w:eastAsia="楷体" w:cs="Times New Roman"/>
                <w:kern w:val="0"/>
                <w:sz w:val="24"/>
                <w:szCs w:val="24"/>
                <w:lang w:val="en-US" w:eastAsia="zh-CN" w:bidi="ar-SA"/>
              </w:rPr>
            </w:pPr>
            <w:r>
              <w:rPr>
                <w:rFonts w:hint="eastAsia" w:ascii="楷体" w:hAnsi="楷体" w:eastAsia="楷体" w:cs="Times New Roman"/>
                <w:sz w:val="24"/>
                <w:szCs w:val="24"/>
                <w:lang w:val="en-US" w:eastAsia="zh-CN"/>
              </w:rPr>
              <w:t>苏银理财</w:t>
            </w:r>
            <w:r>
              <w:rPr>
                <w:rFonts w:hint="default" w:ascii="楷体" w:hAnsi="楷体" w:eastAsia="楷体" w:cs="Times New Roman"/>
                <w:kern w:val="0"/>
                <w:sz w:val="24"/>
                <w:szCs w:val="24"/>
                <w:lang w:val="en-US" w:eastAsia="zh-CN" w:bidi="ar-SA"/>
              </w:rPr>
              <w:t>恒源日申季持1号D滚续</w:t>
            </w:r>
          </w:p>
        </w:tc>
        <w:tc>
          <w:tcPr>
            <w:tcW w:w="666" w:type="pct"/>
            <w:noWrap w:val="0"/>
            <w:vAlign w:val="center"/>
          </w:tcPr>
          <w:p>
            <w:pPr>
              <w:pStyle w:val="11"/>
              <w:spacing w:before="0" w:beforeAutospacing="0" w:after="0" w:afterAutospacing="0" w:line="400" w:lineRule="exact"/>
              <w:jc w:val="center"/>
              <w:rPr>
                <w:rFonts w:hint="eastAsia" w:ascii="楷体" w:hAnsi="楷体" w:eastAsia="楷体" w:cs="Times New Roman"/>
                <w:sz w:val="24"/>
                <w:szCs w:val="24"/>
                <w:lang w:val="en-US" w:eastAsia="zh-CN"/>
              </w:rPr>
            </w:pPr>
            <w:r>
              <w:rPr>
                <w:rFonts w:hint="eastAsia" w:ascii="楷体" w:hAnsi="楷体" w:eastAsia="楷体" w:cs="Times New Roman"/>
                <w:sz w:val="24"/>
                <w:szCs w:val="24"/>
                <w:lang w:val="en-US" w:eastAsia="zh-CN"/>
              </w:rPr>
              <w:t>J02660</w:t>
            </w:r>
          </w:p>
        </w:tc>
        <w:tc>
          <w:tcPr>
            <w:tcW w:w="831" w:type="pct"/>
            <w:noWrap w:val="0"/>
            <w:vAlign w:val="center"/>
          </w:tcPr>
          <w:p>
            <w:pPr>
              <w:keepNext w:val="0"/>
              <w:keepLines w:val="0"/>
              <w:widowControl/>
              <w:suppressLineNumbers w:val="0"/>
              <w:jc w:val="center"/>
              <w:textAlignment w:val="center"/>
              <w:rPr>
                <w:rFonts w:hint="eastAsia" w:ascii="楷体" w:hAnsi="楷体" w:eastAsia="楷体" w:cs="Times New Roman"/>
                <w:kern w:val="0"/>
                <w:sz w:val="24"/>
                <w:szCs w:val="24"/>
                <w:lang w:val="en-US" w:eastAsia="zh-CN" w:bidi="ar-SA"/>
              </w:rPr>
            </w:pPr>
            <w:r>
              <w:rPr>
                <w:rFonts w:hint="eastAsia" w:ascii="楷体" w:hAnsi="楷体" w:eastAsia="楷体" w:cs="Times New Roman"/>
                <w:kern w:val="0"/>
                <w:sz w:val="24"/>
                <w:szCs w:val="24"/>
                <w:lang w:val="en-US" w:eastAsia="zh-CN" w:bidi="ar-SA"/>
              </w:rPr>
              <w:t>2.30%-3.10%</w:t>
            </w:r>
          </w:p>
        </w:tc>
        <w:tc>
          <w:tcPr>
            <w:tcW w:w="815" w:type="pct"/>
            <w:vMerge w:val="continue"/>
            <w:noWrap w:val="0"/>
            <w:vAlign w:val="center"/>
          </w:tcPr>
          <w:p>
            <w:pPr>
              <w:pStyle w:val="11"/>
              <w:spacing w:before="0" w:beforeAutospacing="0" w:after="0" w:afterAutospacing="0" w:line="400" w:lineRule="exact"/>
              <w:jc w:val="center"/>
              <w:rPr>
                <w:rFonts w:hint="eastAsia" w:ascii="楷体" w:hAnsi="楷体" w:eastAsia="楷体" w:cs="Times New Roman"/>
                <w:sz w:val="24"/>
                <w:szCs w:val="24"/>
                <w:lang w:val="en-US" w:eastAsia="zh-CN"/>
              </w:rPr>
            </w:pPr>
          </w:p>
        </w:tc>
        <w:tc>
          <w:tcPr>
            <w:tcW w:w="772" w:type="pct"/>
            <w:noWrap w:val="0"/>
            <w:vAlign w:val="center"/>
          </w:tcPr>
          <w:p>
            <w:pPr>
              <w:spacing w:before="0" w:beforeAutospacing="0" w:after="0" w:afterAutospacing="0" w:line="400" w:lineRule="exact"/>
              <w:jc w:val="center"/>
              <w:rPr>
                <w:rFonts w:hint="default" w:ascii="楷体" w:hAnsi="楷体" w:eastAsia="楷体" w:cs="Times New Roman"/>
                <w:sz w:val="24"/>
                <w:szCs w:val="24"/>
                <w:lang w:val="en-US" w:eastAsia="zh-CN"/>
              </w:rPr>
            </w:pPr>
            <w:r>
              <w:rPr>
                <w:rFonts w:hint="eastAsia" w:ascii="楷体" w:hAnsi="楷体" w:eastAsia="楷体" w:cs="Times New Roman"/>
                <w:sz w:val="24"/>
                <w:szCs w:val="24"/>
                <w:lang w:val="en-US" w:eastAsia="zh-CN"/>
              </w:rPr>
              <w:t>3.10%</w:t>
            </w:r>
          </w:p>
        </w:tc>
        <w:tc>
          <w:tcPr>
            <w:tcW w:w="798" w:type="pct"/>
            <w:vMerge w:val="continue"/>
            <w:noWrap w:val="0"/>
            <w:vAlign w:val="center"/>
          </w:tcPr>
          <w:p>
            <w:pPr>
              <w:spacing w:before="0" w:beforeAutospacing="0" w:after="0" w:afterAutospacing="0" w:line="400" w:lineRule="exact"/>
              <w:jc w:val="center"/>
              <w:rPr>
                <w:rFonts w:hint="eastAsia" w:ascii="楷体" w:hAnsi="楷体" w:eastAsia="楷体" w:cs="Times New Roman"/>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jc w:val="center"/>
        </w:trPr>
        <w:tc>
          <w:tcPr>
            <w:tcW w:w="1114" w:type="pct"/>
            <w:noWrap w:val="0"/>
            <w:vAlign w:val="center"/>
          </w:tcPr>
          <w:p>
            <w:pPr>
              <w:widowControl/>
              <w:spacing w:line="0" w:lineRule="atLeast"/>
              <w:jc w:val="center"/>
              <w:textAlignment w:val="center"/>
              <w:rPr>
                <w:rFonts w:hint="eastAsia" w:ascii="楷体" w:hAnsi="楷体" w:eastAsia="楷体" w:cs="Times New Roman"/>
                <w:kern w:val="0"/>
                <w:sz w:val="24"/>
                <w:szCs w:val="24"/>
                <w:lang w:val="en-US" w:eastAsia="zh-CN" w:bidi="ar-SA"/>
              </w:rPr>
            </w:pPr>
            <w:r>
              <w:rPr>
                <w:rFonts w:hint="eastAsia" w:ascii="楷体" w:hAnsi="楷体" w:eastAsia="楷体" w:cs="Times New Roman"/>
                <w:sz w:val="24"/>
                <w:szCs w:val="24"/>
                <w:lang w:val="en-US" w:eastAsia="zh-CN"/>
              </w:rPr>
              <w:t>苏银理财</w:t>
            </w:r>
            <w:r>
              <w:rPr>
                <w:rFonts w:hint="default" w:ascii="楷体" w:hAnsi="楷体" w:eastAsia="楷体" w:cs="Times New Roman"/>
                <w:kern w:val="0"/>
                <w:sz w:val="24"/>
                <w:szCs w:val="24"/>
                <w:lang w:val="en-US" w:eastAsia="zh-CN" w:bidi="ar-SA"/>
              </w:rPr>
              <w:t>恒源日申季持1号E滚续</w:t>
            </w:r>
          </w:p>
        </w:tc>
        <w:tc>
          <w:tcPr>
            <w:tcW w:w="666" w:type="pct"/>
            <w:noWrap w:val="0"/>
            <w:vAlign w:val="center"/>
          </w:tcPr>
          <w:p>
            <w:pPr>
              <w:pStyle w:val="11"/>
              <w:spacing w:before="0" w:beforeAutospacing="0" w:after="0" w:afterAutospacing="0" w:line="400" w:lineRule="exact"/>
              <w:jc w:val="center"/>
              <w:rPr>
                <w:rFonts w:hint="eastAsia" w:ascii="楷体" w:hAnsi="楷体" w:eastAsia="楷体" w:cs="Times New Roman"/>
                <w:sz w:val="24"/>
                <w:szCs w:val="24"/>
                <w:lang w:val="en-US" w:eastAsia="zh-CN"/>
              </w:rPr>
            </w:pPr>
            <w:r>
              <w:rPr>
                <w:rFonts w:hint="eastAsia" w:ascii="楷体" w:hAnsi="楷体" w:eastAsia="楷体" w:cs="Times New Roman"/>
                <w:sz w:val="24"/>
                <w:szCs w:val="24"/>
                <w:lang w:val="en-US" w:eastAsia="zh-CN"/>
              </w:rPr>
              <w:t>J02661</w:t>
            </w:r>
          </w:p>
        </w:tc>
        <w:tc>
          <w:tcPr>
            <w:tcW w:w="831" w:type="pct"/>
            <w:noWrap w:val="0"/>
            <w:vAlign w:val="center"/>
          </w:tcPr>
          <w:p>
            <w:pPr>
              <w:keepNext w:val="0"/>
              <w:keepLines w:val="0"/>
              <w:widowControl/>
              <w:suppressLineNumbers w:val="0"/>
              <w:jc w:val="center"/>
              <w:textAlignment w:val="center"/>
              <w:rPr>
                <w:rFonts w:hint="eastAsia" w:ascii="楷体" w:hAnsi="楷体" w:eastAsia="楷体" w:cs="Times New Roman"/>
                <w:kern w:val="0"/>
                <w:sz w:val="24"/>
                <w:szCs w:val="24"/>
                <w:lang w:val="en-US" w:eastAsia="zh-CN" w:bidi="ar-SA"/>
              </w:rPr>
            </w:pPr>
            <w:r>
              <w:rPr>
                <w:rFonts w:hint="eastAsia" w:ascii="楷体" w:hAnsi="楷体" w:eastAsia="楷体" w:cs="Times New Roman"/>
                <w:kern w:val="0"/>
                <w:sz w:val="24"/>
                <w:szCs w:val="24"/>
                <w:lang w:val="en-US" w:eastAsia="zh-CN" w:bidi="ar-SA"/>
              </w:rPr>
              <w:t>2.35%-3.15%</w:t>
            </w:r>
          </w:p>
        </w:tc>
        <w:tc>
          <w:tcPr>
            <w:tcW w:w="815" w:type="pct"/>
            <w:vMerge w:val="continue"/>
            <w:noWrap w:val="0"/>
            <w:vAlign w:val="center"/>
          </w:tcPr>
          <w:p>
            <w:pPr>
              <w:pStyle w:val="11"/>
              <w:spacing w:before="0" w:beforeAutospacing="0" w:after="0" w:afterAutospacing="0" w:line="400" w:lineRule="exact"/>
              <w:jc w:val="center"/>
              <w:rPr>
                <w:rFonts w:hint="eastAsia" w:ascii="楷体" w:hAnsi="楷体" w:eastAsia="楷体" w:cs="Times New Roman"/>
                <w:sz w:val="24"/>
                <w:szCs w:val="24"/>
                <w:lang w:val="en-US" w:eastAsia="zh-CN"/>
              </w:rPr>
            </w:pPr>
          </w:p>
        </w:tc>
        <w:tc>
          <w:tcPr>
            <w:tcW w:w="772" w:type="pct"/>
            <w:noWrap w:val="0"/>
            <w:vAlign w:val="center"/>
          </w:tcPr>
          <w:p>
            <w:pPr>
              <w:spacing w:before="0" w:beforeAutospacing="0" w:after="0" w:afterAutospacing="0" w:line="400" w:lineRule="exact"/>
              <w:jc w:val="center"/>
              <w:rPr>
                <w:rFonts w:hint="default" w:ascii="楷体" w:hAnsi="楷体" w:eastAsia="楷体" w:cs="Times New Roman"/>
                <w:sz w:val="24"/>
                <w:szCs w:val="24"/>
                <w:lang w:val="en-US" w:eastAsia="zh-CN"/>
              </w:rPr>
            </w:pPr>
            <w:r>
              <w:rPr>
                <w:rFonts w:hint="eastAsia" w:ascii="楷体" w:hAnsi="楷体" w:eastAsia="楷体" w:cs="Times New Roman"/>
                <w:sz w:val="24"/>
                <w:szCs w:val="24"/>
                <w:lang w:val="en-US" w:eastAsia="zh-CN"/>
              </w:rPr>
              <w:t>3.15%</w:t>
            </w:r>
          </w:p>
        </w:tc>
        <w:tc>
          <w:tcPr>
            <w:tcW w:w="798" w:type="pct"/>
            <w:vMerge w:val="continue"/>
            <w:noWrap w:val="0"/>
            <w:vAlign w:val="center"/>
          </w:tcPr>
          <w:p>
            <w:pPr>
              <w:spacing w:before="0" w:beforeAutospacing="0" w:after="0" w:afterAutospacing="0" w:line="400" w:lineRule="exact"/>
              <w:jc w:val="center"/>
              <w:rPr>
                <w:rFonts w:hint="eastAsia" w:ascii="楷体" w:hAnsi="楷体" w:eastAsia="楷体" w:cs="Times New Roman"/>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1114" w:type="pct"/>
            <w:noWrap w:val="0"/>
            <w:vAlign w:val="center"/>
          </w:tcPr>
          <w:p>
            <w:pPr>
              <w:widowControl/>
              <w:spacing w:line="0" w:lineRule="atLeast"/>
              <w:jc w:val="center"/>
              <w:textAlignment w:val="center"/>
              <w:rPr>
                <w:rFonts w:hint="eastAsia" w:ascii="楷体" w:hAnsi="楷体" w:eastAsia="楷体" w:cs="Times New Roman"/>
                <w:kern w:val="0"/>
                <w:sz w:val="24"/>
                <w:szCs w:val="24"/>
                <w:lang w:val="en-US" w:eastAsia="zh-CN" w:bidi="ar-SA"/>
              </w:rPr>
            </w:pPr>
            <w:r>
              <w:rPr>
                <w:rFonts w:hint="eastAsia" w:ascii="楷体" w:hAnsi="楷体" w:eastAsia="楷体" w:cs="Times New Roman"/>
                <w:sz w:val="24"/>
                <w:szCs w:val="24"/>
                <w:lang w:val="en-US" w:eastAsia="zh-CN"/>
              </w:rPr>
              <w:t>苏银理财</w:t>
            </w:r>
            <w:r>
              <w:rPr>
                <w:rFonts w:hint="default" w:ascii="楷体" w:hAnsi="楷体" w:eastAsia="楷体" w:cs="Times New Roman"/>
                <w:kern w:val="0"/>
                <w:sz w:val="24"/>
                <w:szCs w:val="24"/>
                <w:lang w:val="en-US" w:eastAsia="zh-CN" w:bidi="ar-SA"/>
              </w:rPr>
              <w:t>恒源日申季持1号Q滚续</w:t>
            </w:r>
          </w:p>
        </w:tc>
        <w:tc>
          <w:tcPr>
            <w:tcW w:w="666" w:type="pct"/>
            <w:noWrap w:val="0"/>
            <w:vAlign w:val="center"/>
          </w:tcPr>
          <w:p>
            <w:pPr>
              <w:pStyle w:val="11"/>
              <w:spacing w:before="0" w:beforeAutospacing="0" w:after="0" w:afterAutospacing="0" w:line="400" w:lineRule="exact"/>
              <w:jc w:val="center"/>
              <w:rPr>
                <w:rFonts w:hint="eastAsia" w:ascii="楷体" w:hAnsi="楷体" w:eastAsia="楷体" w:cs="Times New Roman"/>
                <w:sz w:val="24"/>
                <w:szCs w:val="24"/>
                <w:lang w:val="en-US" w:eastAsia="zh-CN"/>
              </w:rPr>
            </w:pPr>
            <w:r>
              <w:rPr>
                <w:rFonts w:hint="eastAsia" w:ascii="楷体" w:hAnsi="楷体" w:eastAsia="楷体" w:cs="Times New Roman"/>
                <w:sz w:val="24"/>
                <w:szCs w:val="24"/>
                <w:lang w:val="en-US" w:eastAsia="zh-CN"/>
              </w:rPr>
              <w:t>J03053</w:t>
            </w:r>
          </w:p>
        </w:tc>
        <w:tc>
          <w:tcPr>
            <w:tcW w:w="831" w:type="pct"/>
            <w:noWrap w:val="0"/>
            <w:vAlign w:val="center"/>
          </w:tcPr>
          <w:p>
            <w:pPr>
              <w:keepNext w:val="0"/>
              <w:keepLines w:val="0"/>
              <w:widowControl/>
              <w:suppressLineNumbers w:val="0"/>
              <w:jc w:val="center"/>
              <w:textAlignment w:val="center"/>
              <w:rPr>
                <w:rFonts w:hint="eastAsia" w:ascii="楷体" w:hAnsi="楷体" w:eastAsia="楷体" w:cs="Times New Roman"/>
                <w:kern w:val="0"/>
                <w:sz w:val="24"/>
                <w:szCs w:val="24"/>
                <w:lang w:val="en-US" w:eastAsia="zh-CN" w:bidi="ar-SA"/>
              </w:rPr>
            </w:pPr>
            <w:r>
              <w:rPr>
                <w:rFonts w:hint="eastAsia" w:ascii="楷体" w:hAnsi="楷体" w:eastAsia="楷体" w:cs="Times New Roman"/>
                <w:kern w:val="0"/>
                <w:sz w:val="24"/>
                <w:szCs w:val="24"/>
                <w:lang w:val="en-US" w:eastAsia="zh-CN" w:bidi="ar-SA"/>
              </w:rPr>
              <w:t>2.30%-3.10%</w:t>
            </w:r>
          </w:p>
        </w:tc>
        <w:tc>
          <w:tcPr>
            <w:tcW w:w="815" w:type="pct"/>
            <w:vMerge w:val="continue"/>
            <w:noWrap w:val="0"/>
            <w:vAlign w:val="center"/>
          </w:tcPr>
          <w:p>
            <w:pPr>
              <w:pStyle w:val="11"/>
              <w:spacing w:before="0" w:beforeAutospacing="0" w:after="0" w:afterAutospacing="0" w:line="400" w:lineRule="exact"/>
              <w:jc w:val="center"/>
              <w:rPr>
                <w:rFonts w:hint="eastAsia" w:ascii="楷体" w:hAnsi="楷体" w:eastAsia="楷体" w:cs="Times New Roman"/>
                <w:sz w:val="24"/>
                <w:szCs w:val="24"/>
                <w:lang w:val="en-US" w:eastAsia="zh-CN"/>
              </w:rPr>
            </w:pPr>
          </w:p>
        </w:tc>
        <w:tc>
          <w:tcPr>
            <w:tcW w:w="772" w:type="pct"/>
            <w:noWrap w:val="0"/>
            <w:vAlign w:val="center"/>
          </w:tcPr>
          <w:p>
            <w:pPr>
              <w:spacing w:before="0" w:beforeAutospacing="0" w:after="0" w:afterAutospacing="0" w:line="400" w:lineRule="exact"/>
              <w:jc w:val="center"/>
              <w:rPr>
                <w:rFonts w:hint="default" w:ascii="楷体" w:hAnsi="楷体" w:eastAsia="楷体" w:cs="Times New Roman"/>
                <w:sz w:val="24"/>
                <w:szCs w:val="24"/>
                <w:lang w:val="en-US" w:eastAsia="zh-CN"/>
              </w:rPr>
            </w:pPr>
            <w:r>
              <w:rPr>
                <w:rFonts w:hint="eastAsia" w:ascii="楷体" w:hAnsi="楷体" w:eastAsia="楷体" w:cs="Times New Roman"/>
                <w:sz w:val="24"/>
                <w:szCs w:val="24"/>
                <w:lang w:val="en-US" w:eastAsia="zh-CN"/>
              </w:rPr>
              <w:t>3.10%</w:t>
            </w:r>
          </w:p>
        </w:tc>
        <w:tc>
          <w:tcPr>
            <w:tcW w:w="798" w:type="pct"/>
            <w:vMerge w:val="continue"/>
            <w:noWrap w:val="0"/>
            <w:vAlign w:val="center"/>
          </w:tcPr>
          <w:p>
            <w:pPr>
              <w:spacing w:before="0" w:beforeAutospacing="0" w:after="0" w:afterAutospacing="0" w:line="400" w:lineRule="exact"/>
              <w:jc w:val="center"/>
              <w:rPr>
                <w:rFonts w:hint="eastAsia" w:ascii="楷体" w:hAnsi="楷体" w:eastAsia="楷体" w:cs="Times New Roman"/>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1114" w:type="pct"/>
            <w:noWrap w:val="0"/>
            <w:vAlign w:val="center"/>
          </w:tcPr>
          <w:p>
            <w:pPr>
              <w:widowControl/>
              <w:spacing w:line="0" w:lineRule="atLeast"/>
              <w:jc w:val="center"/>
              <w:textAlignment w:val="center"/>
              <w:rPr>
                <w:rFonts w:hint="eastAsia" w:ascii="楷体" w:hAnsi="楷体" w:eastAsia="楷体" w:cs="Times New Roman"/>
                <w:sz w:val="24"/>
                <w:szCs w:val="24"/>
                <w:lang w:val="en-US" w:eastAsia="zh-CN"/>
              </w:rPr>
            </w:pPr>
            <w:bookmarkStart w:id="0" w:name="_GoBack" w:colFirst="0" w:colLast="1"/>
            <w:r>
              <w:rPr>
                <w:rFonts w:hint="eastAsia" w:ascii="楷体" w:hAnsi="楷体" w:eastAsia="楷体" w:cs="Times New Roman"/>
                <w:sz w:val="24"/>
                <w:szCs w:val="24"/>
                <w:lang w:val="en-US" w:eastAsia="zh-CN"/>
              </w:rPr>
              <w:t>苏银理财</w:t>
            </w:r>
            <w:r>
              <w:rPr>
                <w:rFonts w:hint="default" w:ascii="楷体" w:hAnsi="楷体" w:eastAsia="楷体" w:cs="Times New Roman"/>
                <w:kern w:val="0"/>
                <w:sz w:val="24"/>
                <w:szCs w:val="24"/>
                <w:lang w:val="en-US" w:eastAsia="zh-CN" w:bidi="ar-SA"/>
              </w:rPr>
              <w:t>恒源日申季持1号</w:t>
            </w:r>
            <w:r>
              <w:rPr>
                <w:rFonts w:hint="eastAsia" w:ascii="楷体" w:hAnsi="楷体" w:eastAsia="楷体" w:cs="Times New Roman"/>
                <w:kern w:val="0"/>
                <w:sz w:val="24"/>
                <w:szCs w:val="24"/>
                <w:lang w:val="en-US" w:eastAsia="zh-CN" w:bidi="ar-SA"/>
              </w:rPr>
              <w:t>Z</w:t>
            </w:r>
            <w:r>
              <w:rPr>
                <w:rFonts w:hint="default" w:ascii="楷体" w:hAnsi="楷体" w:eastAsia="楷体" w:cs="Times New Roman"/>
                <w:kern w:val="0"/>
                <w:sz w:val="24"/>
                <w:szCs w:val="24"/>
                <w:lang w:val="en-US" w:eastAsia="zh-CN" w:bidi="ar-SA"/>
              </w:rPr>
              <w:t>滚续</w:t>
            </w:r>
          </w:p>
        </w:tc>
        <w:tc>
          <w:tcPr>
            <w:tcW w:w="666" w:type="pct"/>
            <w:noWrap w:val="0"/>
            <w:vAlign w:val="center"/>
          </w:tcPr>
          <w:p>
            <w:pPr>
              <w:keepNext w:val="0"/>
              <w:keepLines w:val="0"/>
              <w:widowControl/>
              <w:suppressLineNumbers w:val="0"/>
              <w:jc w:val="center"/>
              <w:textAlignment w:val="center"/>
              <w:rPr>
                <w:rFonts w:hint="eastAsia" w:ascii="楷体" w:hAnsi="楷体" w:eastAsia="楷体" w:cs="Times New Roman"/>
                <w:kern w:val="0"/>
                <w:sz w:val="24"/>
                <w:szCs w:val="24"/>
                <w:lang w:val="en-US" w:eastAsia="zh-CN" w:bidi="ar-SA"/>
              </w:rPr>
            </w:pPr>
            <w:r>
              <w:rPr>
                <w:rFonts w:hint="eastAsia" w:ascii="楷体" w:hAnsi="楷体" w:eastAsia="楷体" w:cs="Times New Roman"/>
                <w:kern w:val="0"/>
                <w:sz w:val="24"/>
                <w:szCs w:val="24"/>
                <w:lang w:val="en-US" w:eastAsia="zh-CN" w:bidi="ar-SA"/>
              </w:rPr>
              <w:t>J03405</w:t>
            </w:r>
          </w:p>
        </w:tc>
        <w:tc>
          <w:tcPr>
            <w:tcW w:w="831" w:type="pct"/>
            <w:noWrap w:val="0"/>
            <w:vAlign w:val="center"/>
          </w:tcPr>
          <w:p>
            <w:pPr>
              <w:keepNext w:val="0"/>
              <w:keepLines w:val="0"/>
              <w:widowControl/>
              <w:suppressLineNumbers w:val="0"/>
              <w:jc w:val="center"/>
              <w:textAlignment w:val="center"/>
              <w:rPr>
                <w:rFonts w:hint="eastAsia" w:ascii="楷体" w:hAnsi="楷体" w:eastAsia="楷体" w:cs="Times New Roman"/>
                <w:kern w:val="0"/>
                <w:sz w:val="24"/>
                <w:szCs w:val="24"/>
                <w:lang w:val="en-US" w:eastAsia="zh-CN" w:bidi="ar-SA"/>
              </w:rPr>
            </w:pPr>
            <w:r>
              <w:rPr>
                <w:rFonts w:hint="eastAsia" w:ascii="楷体" w:hAnsi="楷体" w:eastAsia="楷体" w:cs="Times New Roman"/>
                <w:kern w:val="0"/>
                <w:sz w:val="24"/>
                <w:szCs w:val="24"/>
                <w:lang w:val="en-US" w:eastAsia="zh-CN" w:bidi="ar-SA"/>
              </w:rPr>
              <w:t>2.30%-3.10%</w:t>
            </w:r>
          </w:p>
        </w:tc>
        <w:tc>
          <w:tcPr>
            <w:tcW w:w="815" w:type="pct"/>
            <w:vMerge w:val="continue"/>
            <w:noWrap w:val="0"/>
            <w:vAlign w:val="center"/>
          </w:tcPr>
          <w:p>
            <w:pPr>
              <w:pStyle w:val="11"/>
              <w:spacing w:before="0" w:beforeAutospacing="0" w:after="0" w:afterAutospacing="0" w:line="400" w:lineRule="exact"/>
              <w:jc w:val="center"/>
              <w:rPr>
                <w:rFonts w:hint="eastAsia" w:ascii="楷体" w:hAnsi="楷体" w:eastAsia="楷体" w:cs="Times New Roman"/>
                <w:sz w:val="24"/>
                <w:szCs w:val="24"/>
                <w:lang w:val="en-US" w:eastAsia="zh-CN"/>
              </w:rPr>
            </w:pPr>
          </w:p>
        </w:tc>
        <w:tc>
          <w:tcPr>
            <w:tcW w:w="772" w:type="pct"/>
            <w:noWrap w:val="0"/>
            <w:vAlign w:val="center"/>
          </w:tcPr>
          <w:p>
            <w:pPr>
              <w:spacing w:before="0" w:beforeAutospacing="0" w:after="0" w:afterAutospacing="0" w:line="400" w:lineRule="exact"/>
              <w:jc w:val="center"/>
              <w:rPr>
                <w:rFonts w:hint="eastAsia" w:ascii="楷体" w:hAnsi="楷体" w:eastAsia="楷体" w:cs="Times New Roman"/>
                <w:sz w:val="24"/>
                <w:szCs w:val="24"/>
                <w:lang w:val="en-US" w:eastAsia="zh-CN"/>
              </w:rPr>
            </w:pPr>
            <w:r>
              <w:rPr>
                <w:rFonts w:hint="eastAsia" w:ascii="楷体" w:hAnsi="楷体" w:eastAsia="楷体" w:cs="Times New Roman"/>
                <w:sz w:val="24"/>
                <w:szCs w:val="24"/>
                <w:lang w:val="en-US" w:eastAsia="zh-CN"/>
              </w:rPr>
              <w:t>3.10%</w:t>
            </w:r>
          </w:p>
        </w:tc>
        <w:tc>
          <w:tcPr>
            <w:tcW w:w="798" w:type="pct"/>
            <w:vMerge w:val="continue"/>
            <w:noWrap w:val="0"/>
            <w:vAlign w:val="center"/>
          </w:tcPr>
          <w:p>
            <w:pPr>
              <w:spacing w:before="0" w:beforeAutospacing="0" w:after="0" w:afterAutospacing="0" w:line="400" w:lineRule="exact"/>
              <w:jc w:val="center"/>
              <w:rPr>
                <w:rFonts w:hint="eastAsia" w:ascii="楷体" w:hAnsi="楷体" w:eastAsia="楷体" w:cs="Times New Roman"/>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1114" w:type="pct"/>
            <w:noWrap w:val="0"/>
            <w:vAlign w:val="center"/>
          </w:tcPr>
          <w:p>
            <w:pPr>
              <w:widowControl/>
              <w:spacing w:line="0" w:lineRule="atLeast"/>
              <w:jc w:val="center"/>
              <w:textAlignment w:val="center"/>
              <w:rPr>
                <w:rFonts w:hint="eastAsia" w:ascii="楷体" w:hAnsi="楷体" w:eastAsia="楷体" w:cs="Times New Roman"/>
                <w:sz w:val="24"/>
                <w:szCs w:val="24"/>
                <w:lang w:val="en-US" w:eastAsia="zh-CN"/>
              </w:rPr>
            </w:pPr>
            <w:r>
              <w:rPr>
                <w:rFonts w:hint="eastAsia" w:ascii="楷体" w:hAnsi="楷体" w:eastAsia="楷体" w:cs="Times New Roman"/>
                <w:sz w:val="24"/>
                <w:szCs w:val="24"/>
                <w:lang w:val="en-US" w:eastAsia="zh-CN"/>
              </w:rPr>
              <w:t>苏银理财</w:t>
            </w:r>
            <w:r>
              <w:rPr>
                <w:rFonts w:hint="default" w:ascii="楷体" w:hAnsi="楷体" w:eastAsia="楷体" w:cs="Times New Roman"/>
                <w:kern w:val="0"/>
                <w:sz w:val="24"/>
                <w:szCs w:val="24"/>
                <w:lang w:val="en-US" w:eastAsia="zh-CN" w:bidi="ar-SA"/>
              </w:rPr>
              <w:t>恒源日申季持1号</w:t>
            </w:r>
            <w:r>
              <w:rPr>
                <w:rFonts w:hint="eastAsia" w:ascii="楷体" w:hAnsi="楷体" w:eastAsia="楷体" w:cs="Times New Roman"/>
                <w:kern w:val="0"/>
                <w:sz w:val="24"/>
                <w:szCs w:val="24"/>
                <w:lang w:val="en-US" w:eastAsia="zh-CN" w:bidi="ar-SA"/>
              </w:rPr>
              <w:t>（代发专享）</w:t>
            </w:r>
            <w:r>
              <w:rPr>
                <w:rFonts w:hint="default" w:ascii="楷体" w:hAnsi="楷体" w:eastAsia="楷体" w:cs="Times New Roman"/>
                <w:kern w:val="0"/>
                <w:sz w:val="24"/>
                <w:szCs w:val="24"/>
                <w:lang w:val="en-US" w:eastAsia="zh-CN" w:bidi="ar-SA"/>
              </w:rPr>
              <w:t>滚续</w:t>
            </w:r>
          </w:p>
        </w:tc>
        <w:tc>
          <w:tcPr>
            <w:tcW w:w="666" w:type="pct"/>
            <w:noWrap w:val="0"/>
            <w:vAlign w:val="center"/>
          </w:tcPr>
          <w:p>
            <w:pPr>
              <w:keepNext w:val="0"/>
              <w:keepLines w:val="0"/>
              <w:widowControl/>
              <w:suppressLineNumbers w:val="0"/>
              <w:jc w:val="center"/>
              <w:textAlignment w:val="center"/>
              <w:rPr>
                <w:rFonts w:hint="eastAsia" w:ascii="楷体" w:hAnsi="楷体" w:eastAsia="楷体" w:cs="Times New Roman"/>
                <w:kern w:val="0"/>
                <w:sz w:val="24"/>
                <w:szCs w:val="24"/>
                <w:lang w:val="en-US" w:eastAsia="zh-CN" w:bidi="ar-SA"/>
              </w:rPr>
            </w:pPr>
            <w:r>
              <w:rPr>
                <w:rFonts w:hint="eastAsia" w:ascii="楷体" w:hAnsi="楷体" w:eastAsia="楷体" w:cs="Times New Roman"/>
                <w:kern w:val="0"/>
                <w:sz w:val="24"/>
                <w:szCs w:val="24"/>
                <w:lang w:val="en-US" w:eastAsia="zh-CN" w:bidi="ar-SA"/>
              </w:rPr>
              <w:t>J03426</w:t>
            </w:r>
          </w:p>
        </w:tc>
        <w:tc>
          <w:tcPr>
            <w:tcW w:w="831" w:type="pct"/>
            <w:noWrap w:val="0"/>
            <w:vAlign w:val="center"/>
          </w:tcPr>
          <w:p>
            <w:pPr>
              <w:keepNext w:val="0"/>
              <w:keepLines w:val="0"/>
              <w:widowControl/>
              <w:suppressLineNumbers w:val="0"/>
              <w:jc w:val="center"/>
              <w:textAlignment w:val="center"/>
              <w:rPr>
                <w:rFonts w:hint="eastAsia" w:ascii="楷体" w:hAnsi="楷体" w:eastAsia="楷体" w:cs="Times New Roman"/>
                <w:kern w:val="0"/>
                <w:sz w:val="24"/>
                <w:szCs w:val="24"/>
                <w:lang w:val="en-US" w:eastAsia="zh-CN" w:bidi="ar-SA"/>
              </w:rPr>
            </w:pPr>
            <w:r>
              <w:rPr>
                <w:rFonts w:hint="eastAsia" w:ascii="楷体" w:hAnsi="楷体" w:eastAsia="楷体" w:cs="Times New Roman"/>
                <w:kern w:val="0"/>
                <w:sz w:val="24"/>
                <w:szCs w:val="24"/>
                <w:lang w:val="en-US" w:eastAsia="zh-CN" w:bidi="ar-SA"/>
              </w:rPr>
              <w:t>2.15%-2.95%</w:t>
            </w:r>
          </w:p>
        </w:tc>
        <w:tc>
          <w:tcPr>
            <w:tcW w:w="815" w:type="pct"/>
            <w:vMerge w:val="continue"/>
            <w:noWrap w:val="0"/>
            <w:vAlign w:val="center"/>
          </w:tcPr>
          <w:p>
            <w:pPr>
              <w:pStyle w:val="11"/>
              <w:spacing w:before="0" w:beforeAutospacing="0" w:after="0" w:afterAutospacing="0" w:line="400" w:lineRule="exact"/>
              <w:jc w:val="center"/>
              <w:rPr>
                <w:rFonts w:hint="eastAsia" w:ascii="楷体" w:hAnsi="楷体" w:eastAsia="楷体" w:cs="Times New Roman"/>
                <w:sz w:val="24"/>
                <w:szCs w:val="24"/>
                <w:lang w:val="en-US" w:eastAsia="zh-CN"/>
              </w:rPr>
            </w:pPr>
          </w:p>
        </w:tc>
        <w:tc>
          <w:tcPr>
            <w:tcW w:w="772" w:type="pct"/>
            <w:noWrap w:val="0"/>
            <w:vAlign w:val="center"/>
          </w:tcPr>
          <w:p>
            <w:pPr>
              <w:spacing w:before="0" w:beforeAutospacing="0" w:after="0" w:afterAutospacing="0" w:line="400" w:lineRule="exact"/>
              <w:jc w:val="center"/>
              <w:rPr>
                <w:rFonts w:hint="eastAsia" w:ascii="楷体" w:hAnsi="楷体" w:eastAsia="楷体" w:cs="Times New Roman"/>
                <w:sz w:val="24"/>
                <w:szCs w:val="24"/>
                <w:lang w:val="en-US" w:eastAsia="zh-CN"/>
              </w:rPr>
            </w:pPr>
            <w:r>
              <w:rPr>
                <w:rFonts w:hint="eastAsia" w:ascii="楷体" w:hAnsi="楷体" w:eastAsia="楷体" w:cs="Times New Roman"/>
                <w:sz w:val="24"/>
                <w:szCs w:val="24"/>
                <w:lang w:val="en-US" w:eastAsia="zh-CN"/>
              </w:rPr>
              <w:t>2.95%</w:t>
            </w:r>
          </w:p>
        </w:tc>
        <w:tc>
          <w:tcPr>
            <w:tcW w:w="798" w:type="pct"/>
            <w:vMerge w:val="continue"/>
            <w:noWrap w:val="0"/>
            <w:vAlign w:val="center"/>
          </w:tcPr>
          <w:p>
            <w:pPr>
              <w:spacing w:before="0" w:beforeAutospacing="0" w:after="0" w:afterAutospacing="0" w:line="400" w:lineRule="exact"/>
              <w:jc w:val="center"/>
              <w:rPr>
                <w:rFonts w:hint="eastAsia" w:ascii="楷体" w:hAnsi="楷体" w:eastAsia="楷体" w:cs="Times New Roman"/>
                <w:sz w:val="24"/>
                <w:szCs w:val="24"/>
                <w:lang w:val="en-US" w:eastAsia="zh-CN"/>
              </w:rPr>
            </w:pPr>
          </w:p>
        </w:tc>
      </w:tr>
      <w:bookmarkEnd w:id="0"/>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1114" w:type="pct"/>
            <w:noWrap w:val="0"/>
            <w:vAlign w:val="center"/>
          </w:tcPr>
          <w:p>
            <w:pPr>
              <w:widowControl/>
              <w:spacing w:line="0" w:lineRule="atLeast"/>
              <w:jc w:val="center"/>
              <w:textAlignment w:val="center"/>
              <w:rPr>
                <w:rFonts w:hint="eastAsia" w:ascii="楷体" w:hAnsi="楷体" w:eastAsia="楷体" w:cs="Times New Roman"/>
                <w:sz w:val="24"/>
                <w:szCs w:val="24"/>
                <w:lang w:val="en-US" w:eastAsia="zh-CN"/>
              </w:rPr>
            </w:pPr>
            <w:r>
              <w:rPr>
                <w:rFonts w:hint="eastAsia" w:ascii="楷体" w:hAnsi="楷体" w:eastAsia="楷体" w:cs="Times New Roman"/>
                <w:sz w:val="24"/>
                <w:szCs w:val="24"/>
                <w:lang w:val="en-US" w:eastAsia="zh-CN"/>
              </w:rPr>
              <w:t>苏银理财恒源日申季持1号H</w:t>
            </w:r>
          </w:p>
        </w:tc>
        <w:tc>
          <w:tcPr>
            <w:tcW w:w="666" w:type="pct"/>
            <w:noWrap w:val="0"/>
            <w:vAlign w:val="center"/>
          </w:tcPr>
          <w:p>
            <w:pPr>
              <w:keepNext w:val="0"/>
              <w:keepLines w:val="0"/>
              <w:widowControl/>
              <w:suppressLineNumbers w:val="0"/>
              <w:jc w:val="center"/>
              <w:textAlignment w:val="center"/>
              <w:rPr>
                <w:rFonts w:hint="eastAsia" w:ascii="楷体" w:hAnsi="楷体" w:eastAsia="楷体" w:cs="Times New Roman"/>
                <w:kern w:val="0"/>
                <w:sz w:val="24"/>
                <w:szCs w:val="24"/>
                <w:lang w:val="en-US" w:eastAsia="zh-CN" w:bidi="ar-SA"/>
              </w:rPr>
            </w:pPr>
            <w:r>
              <w:rPr>
                <w:rFonts w:hint="eastAsia" w:ascii="楷体" w:hAnsi="楷体" w:eastAsia="楷体" w:cs="Times New Roman"/>
                <w:kern w:val="0"/>
                <w:sz w:val="24"/>
                <w:szCs w:val="24"/>
                <w:lang w:val="en-US" w:eastAsia="zh-CN" w:bidi="ar-SA"/>
              </w:rPr>
              <w:t>J09335</w:t>
            </w:r>
          </w:p>
        </w:tc>
        <w:tc>
          <w:tcPr>
            <w:tcW w:w="831" w:type="pct"/>
            <w:noWrap w:val="0"/>
            <w:vAlign w:val="center"/>
          </w:tcPr>
          <w:p>
            <w:pPr>
              <w:keepNext w:val="0"/>
              <w:keepLines w:val="0"/>
              <w:widowControl/>
              <w:suppressLineNumbers w:val="0"/>
              <w:jc w:val="center"/>
              <w:textAlignment w:val="center"/>
              <w:rPr>
                <w:rFonts w:hint="eastAsia" w:ascii="楷体" w:hAnsi="楷体" w:eastAsia="楷体" w:cs="Times New Roman"/>
                <w:kern w:val="0"/>
                <w:sz w:val="24"/>
                <w:szCs w:val="24"/>
                <w:lang w:val="en-US" w:eastAsia="zh-CN" w:bidi="ar-SA"/>
              </w:rPr>
            </w:pPr>
            <w:r>
              <w:rPr>
                <w:rFonts w:hint="eastAsia" w:ascii="楷体" w:hAnsi="楷体" w:eastAsia="楷体" w:cs="Times New Roman"/>
                <w:kern w:val="0"/>
                <w:sz w:val="24"/>
                <w:szCs w:val="24"/>
                <w:lang w:val="en-US" w:eastAsia="zh-CN" w:bidi="ar-SA"/>
              </w:rPr>
              <w:t>2.05%-2.95%</w:t>
            </w:r>
          </w:p>
        </w:tc>
        <w:tc>
          <w:tcPr>
            <w:tcW w:w="815" w:type="pct"/>
            <w:vMerge w:val="continue"/>
            <w:noWrap w:val="0"/>
            <w:vAlign w:val="center"/>
          </w:tcPr>
          <w:p>
            <w:pPr>
              <w:pStyle w:val="11"/>
              <w:spacing w:before="0" w:beforeAutospacing="0" w:after="0" w:afterAutospacing="0" w:line="400" w:lineRule="exact"/>
              <w:jc w:val="center"/>
              <w:rPr>
                <w:rFonts w:hint="eastAsia" w:ascii="楷体" w:hAnsi="楷体" w:eastAsia="楷体" w:cs="Times New Roman"/>
                <w:sz w:val="24"/>
                <w:szCs w:val="24"/>
                <w:lang w:val="en-US" w:eastAsia="zh-CN"/>
              </w:rPr>
            </w:pPr>
          </w:p>
        </w:tc>
        <w:tc>
          <w:tcPr>
            <w:tcW w:w="772" w:type="pct"/>
            <w:noWrap w:val="0"/>
            <w:vAlign w:val="center"/>
          </w:tcPr>
          <w:p>
            <w:pPr>
              <w:spacing w:before="0" w:beforeAutospacing="0" w:after="0" w:afterAutospacing="0" w:line="400" w:lineRule="exact"/>
              <w:jc w:val="center"/>
              <w:rPr>
                <w:rFonts w:hint="eastAsia" w:ascii="楷体" w:hAnsi="楷体" w:eastAsia="楷体" w:cs="Times New Roman"/>
                <w:sz w:val="24"/>
                <w:szCs w:val="24"/>
                <w:lang w:val="en-US" w:eastAsia="zh-CN"/>
              </w:rPr>
            </w:pPr>
            <w:r>
              <w:rPr>
                <w:rFonts w:hint="eastAsia" w:ascii="楷体" w:hAnsi="楷体" w:eastAsia="楷体" w:cs="Times New Roman"/>
                <w:sz w:val="24"/>
                <w:szCs w:val="24"/>
                <w:lang w:val="en-US" w:eastAsia="zh-CN"/>
              </w:rPr>
              <w:t>2.95%</w:t>
            </w:r>
          </w:p>
        </w:tc>
        <w:tc>
          <w:tcPr>
            <w:tcW w:w="798" w:type="pct"/>
            <w:vMerge w:val="continue"/>
            <w:noWrap w:val="0"/>
            <w:vAlign w:val="center"/>
          </w:tcPr>
          <w:p>
            <w:pPr>
              <w:spacing w:before="0" w:beforeAutospacing="0" w:after="0" w:afterAutospacing="0" w:line="400" w:lineRule="exact"/>
              <w:jc w:val="center"/>
              <w:rPr>
                <w:rFonts w:hint="eastAsia" w:ascii="楷体" w:hAnsi="楷体" w:eastAsia="楷体" w:cs="Times New Roman"/>
                <w:sz w:val="24"/>
                <w:szCs w:val="24"/>
                <w:lang w:val="en-US" w:eastAsia="zh-CN"/>
              </w:rPr>
            </w:pPr>
          </w:p>
        </w:tc>
      </w:tr>
    </w:tbl>
    <w:p>
      <w:pPr>
        <w:pStyle w:val="11"/>
        <w:spacing w:before="0" w:beforeAutospacing="0" w:after="0" w:afterAutospacing="0" w:line="480" w:lineRule="auto"/>
        <w:ind w:firstLine="560" w:firstLineChars="200"/>
        <w:rPr>
          <w:rFonts w:hint="eastAsia" w:ascii="楷体" w:hAnsi="楷体" w:eastAsia="楷体" w:cs="Times New Roman"/>
          <w:sz w:val="28"/>
          <w:szCs w:val="28"/>
          <w:lang w:val="en-US" w:eastAsia="zh-CN"/>
        </w:rPr>
      </w:pPr>
      <w:r>
        <w:rPr>
          <w:rFonts w:hint="eastAsia" w:ascii="楷体" w:hAnsi="楷体" w:eastAsia="楷体" w:cs="Times New Roman"/>
          <w:sz w:val="28"/>
          <w:szCs w:val="28"/>
          <w:lang w:val="en-US" w:eastAsia="zh-CN"/>
        </w:rPr>
        <w:t>2026年2月3日及以后确认的份额适用调整后的业绩比较基准和超额报酬计提基准；2026年2月3日前已确认的份额，适用确认时原有的业绩比较基准和超额报酬计提基准。</w:t>
      </w:r>
    </w:p>
    <w:p>
      <w:pPr>
        <w:pStyle w:val="11"/>
        <w:spacing w:before="0" w:beforeAutospacing="0" w:after="0" w:afterAutospacing="0" w:line="480" w:lineRule="auto"/>
        <w:ind w:firstLine="560" w:firstLineChars="200"/>
        <w:rPr>
          <w:rFonts w:hint="eastAsia" w:ascii="楷体" w:hAnsi="楷体" w:eastAsia="楷体" w:cs="Times New Roman"/>
          <w:sz w:val="28"/>
          <w:szCs w:val="28"/>
          <w:lang w:val="en-US" w:eastAsia="zh-CN"/>
        </w:rPr>
      </w:pPr>
      <w:r>
        <w:rPr>
          <w:rFonts w:hint="eastAsia" w:ascii="楷体" w:hAnsi="楷体" w:eastAsia="楷体" w:cs="Times New Roman"/>
          <w:sz w:val="28"/>
          <w:szCs w:val="28"/>
          <w:lang w:val="en-US" w:eastAsia="zh-CN"/>
        </w:rPr>
        <w:t>投资者可通过原理财产品合同约定的信息披露渠道查询更新后的理财产品合同。</w:t>
      </w:r>
    </w:p>
    <w:p>
      <w:pPr>
        <w:pStyle w:val="11"/>
        <w:spacing w:before="0" w:beforeAutospacing="0" w:after="0" w:afterAutospacing="0" w:line="480" w:lineRule="auto"/>
        <w:ind w:firstLine="560" w:firstLineChars="200"/>
        <w:rPr>
          <w:rFonts w:hint="eastAsia" w:ascii="楷体" w:hAnsi="楷体" w:eastAsia="楷体" w:cs="Times New Roman"/>
          <w:sz w:val="28"/>
          <w:szCs w:val="28"/>
        </w:rPr>
      </w:pPr>
      <w:r>
        <w:rPr>
          <w:rFonts w:hint="eastAsia" w:ascii="楷体" w:hAnsi="楷体" w:eastAsia="楷体" w:cs="Times New Roman"/>
          <w:sz w:val="28"/>
          <w:szCs w:val="28"/>
        </w:rPr>
        <w:t>特此报告。</w:t>
      </w:r>
    </w:p>
    <w:p>
      <w:pPr>
        <w:pStyle w:val="11"/>
        <w:spacing w:before="0" w:beforeAutospacing="0" w:after="0" w:afterAutospacing="0" w:line="480" w:lineRule="auto"/>
        <w:ind w:firstLine="560" w:firstLineChars="200"/>
        <w:rPr>
          <w:rFonts w:hint="eastAsia" w:ascii="楷体" w:hAnsi="楷体" w:eastAsia="楷体" w:cs="Times New Roman"/>
          <w:sz w:val="28"/>
          <w:szCs w:val="28"/>
        </w:rPr>
      </w:pPr>
      <w:r>
        <w:rPr>
          <w:rFonts w:hint="eastAsia" w:ascii="楷体" w:hAnsi="楷体" w:eastAsia="楷体" w:cs="Times New Roman"/>
          <w:sz w:val="28"/>
          <w:szCs w:val="28"/>
        </w:rPr>
        <w:t>感谢您投资苏银理财本期理财产品，敬请继续关注我司近期推出的其他理财产品。</w:t>
      </w:r>
    </w:p>
    <w:p>
      <w:pPr>
        <w:spacing w:line="520" w:lineRule="exact"/>
        <w:jc w:val="right"/>
        <w:rPr>
          <w:rFonts w:hint="eastAsia" w:ascii="楷体" w:hAnsi="楷体" w:eastAsia="楷体"/>
          <w:kern w:val="0"/>
          <w:sz w:val="28"/>
          <w:szCs w:val="28"/>
        </w:rPr>
      </w:pPr>
      <w:r>
        <w:rPr>
          <w:rFonts w:hint="eastAsia" w:ascii="楷体" w:hAnsi="楷体" w:eastAsia="楷体"/>
          <w:kern w:val="0"/>
          <w:sz w:val="28"/>
          <w:szCs w:val="28"/>
        </w:rPr>
        <w:t>苏银理财有限责任公司</w:t>
      </w:r>
    </w:p>
    <w:p>
      <w:pPr>
        <w:spacing w:line="520" w:lineRule="exact"/>
        <w:jc w:val="right"/>
        <w:rPr>
          <w:rFonts w:hint="eastAsia" w:ascii="楷体" w:hAnsi="楷体" w:eastAsia="楷体"/>
          <w:kern w:val="0"/>
          <w:sz w:val="24"/>
          <w:szCs w:val="24"/>
        </w:rPr>
      </w:pPr>
      <w:r>
        <w:rPr>
          <w:rFonts w:hint="eastAsia" w:ascii="楷体" w:hAnsi="楷体" w:eastAsia="楷体"/>
          <w:kern w:val="0"/>
          <w:sz w:val="28"/>
          <w:szCs w:val="28"/>
        </w:rPr>
        <w:t>202</w:t>
      </w:r>
      <w:r>
        <w:rPr>
          <w:rFonts w:hint="eastAsia" w:ascii="楷体" w:hAnsi="楷体" w:eastAsia="楷体"/>
          <w:kern w:val="0"/>
          <w:sz w:val="28"/>
          <w:szCs w:val="28"/>
          <w:lang w:val="en-US" w:eastAsia="zh-CN"/>
        </w:rPr>
        <w:t>6</w:t>
      </w:r>
      <w:r>
        <w:rPr>
          <w:rFonts w:hint="eastAsia" w:ascii="楷体" w:hAnsi="楷体" w:eastAsia="楷体"/>
          <w:kern w:val="0"/>
          <w:sz w:val="28"/>
          <w:szCs w:val="28"/>
        </w:rPr>
        <w:t>年</w:t>
      </w:r>
      <w:r>
        <w:rPr>
          <w:rFonts w:hint="eastAsia" w:ascii="楷体" w:hAnsi="楷体" w:eastAsia="楷体"/>
          <w:kern w:val="0"/>
          <w:sz w:val="28"/>
          <w:szCs w:val="28"/>
          <w:lang w:val="en-US" w:eastAsia="zh-CN"/>
        </w:rPr>
        <w:t>1</w:t>
      </w:r>
      <w:r>
        <w:rPr>
          <w:rFonts w:hint="eastAsia" w:ascii="楷体" w:hAnsi="楷体" w:eastAsia="楷体"/>
          <w:kern w:val="0"/>
          <w:sz w:val="28"/>
          <w:szCs w:val="28"/>
        </w:rPr>
        <w:t>月</w:t>
      </w:r>
      <w:r>
        <w:rPr>
          <w:rFonts w:hint="eastAsia" w:ascii="楷体" w:hAnsi="楷体" w:eastAsia="楷体"/>
          <w:kern w:val="0"/>
          <w:sz w:val="28"/>
          <w:szCs w:val="28"/>
          <w:lang w:val="en-US" w:eastAsia="zh-CN"/>
        </w:rPr>
        <w:t>29</w:t>
      </w:r>
      <w:r>
        <w:rPr>
          <w:rFonts w:hint="eastAsia" w:ascii="楷体" w:hAnsi="楷体" w:eastAsia="楷体"/>
          <w:kern w:val="0"/>
          <w:sz w:val="28"/>
          <w:szCs w:val="28"/>
        </w:rPr>
        <w:t>日</w:t>
      </w:r>
    </w:p>
    <w:p>
      <w:pPr>
        <w:spacing w:line="520" w:lineRule="exact"/>
        <w:rPr>
          <w:rFonts w:hint="eastAsia"/>
        </w:rPr>
      </w:pPr>
    </w:p>
    <w:p>
      <w:pPr>
        <w:spacing w:line="520" w:lineRule="exact"/>
        <w:rPr>
          <w:rFonts w:hint="eastAsia"/>
        </w:rPr>
      </w:pPr>
    </w:p>
    <w:p>
      <w:pPr>
        <w:spacing w:line="520" w:lineRule="exact"/>
      </w:pPr>
      <w:r>
        <w:rPr>
          <w:rFonts w:hint="eastAsia" w:ascii="楷体" w:hAnsi="楷体" w:eastAsia="楷体" w:cs="楷体"/>
        </w:rPr>
        <w:t>备注：本次披露内容解释权归苏银理财所有，不构成任何形式的法律要约或承诺。</w:t>
      </w:r>
    </w:p>
    <w:sectPr>
      <w:headerReference r:id="rId5" w:type="first"/>
      <w:headerReference r:id="rId3" w:type="default"/>
      <w:footerReference r:id="rId6" w:type="default"/>
      <w:headerReference r:id="rId4" w:type="even"/>
      <w:pgSz w:w="11906" w:h="16838"/>
      <w:pgMar w:top="1440" w:right="1800" w:bottom="1440" w:left="170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kinsoku w:val="0"/>
      <w:overflowPunct w:val="0"/>
      <w:spacing w:before="0" w:line="320" w:lineRule="exact"/>
      <w:ind w:left="20"/>
      <w:jc w:val="both"/>
      <w:rPr>
        <w:rFonts w:ascii="楷体" w:hAnsi="楷体" w:eastAsia="楷体" w:cs="黑体"/>
        <w:b/>
        <w:spacing w:val="-2"/>
        <w:sz w:val="24"/>
        <w:szCs w:val="24"/>
      </w:rPr>
    </w:pPr>
    <w:r>
      <w:rPr>
        <w:rFonts w:ascii="楷体" w:hAnsi="楷体" w:eastAsia="楷体"/>
        <w:b/>
      </w:rP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14444345" cy="10958195"/>
          <wp:effectExtent l="0" t="0" r="14605" b="14605"/>
          <wp:wrapNone/>
          <wp:docPr id="3" name="WordPictureWatermark367128483" descr="苏银理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367128483" descr="苏银理财"/>
                  <pic:cNvPicPr>
                    <a:picLocks noChangeAspect="1"/>
                  </pic:cNvPicPr>
                </pic:nvPicPr>
                <pic:blipFill>
                  <a:blip r:embed="rId1">
                    <a:lum bright="70001" contrast="-70000"/>
                  </a:blip>
                  <a:stretch>
                    <a:fillRect/>
                  </a:stretch>
                </pic:blipFill>
                <pic:spPr>
                  <a:xfrm>
                    <a:off x="0" y="0"/>
                    <a:ext cx="14444345" cy="10958195"/>
                  </a:xfrm>
                  <a:prstGeom prst="rect">
                    <a:avLst/>
                  </a:prstGeom>
                  <a:noFill/>
                  <a:ln>
                    <a:noFill/>
                  </a:ln>
                </pic:spPr>
              </pic:pic>
            </a:graphicData>
          </a:graphic>
        </wp:anchor>
      </w:drawing>
    </w:r>
    <w:r>
      <w:drawing>
        <wp:anchor distT="0" distB="0" distL="114300" distR="114300" simplePos="0" relativeHeight="251662336" behindDoc="0" locked="0" layoutInCell="1" allowOverlap="1">
          <wp:simplePos x="0" y="0"/>
          <wp:positionH relativeFrom="column">
            <wp:posOffset>3923665</wp:posOffset>
          </wp:positionH>
          <wp:positionV relativeFrom="paragraph">
            <wp:posOffset>-95250</wp:posOffset>
          </wp:positionV>
          <wp:extent cx="1325245" cy="424815"/>
          <wp:effectExtent l="0" t="0" r="8255" b="13335"/>
          <wp:wrapSquare wrapText="bothSides"/>
          <wp:docPr id="4" name="图片 1" descr="说明: 说明: C:\Users\JSYH\Desktop\苏银理财.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说明: 说明: C:\Users\JSYH\Desktop\苏银理财.png"/>
                  <pic:cNvPicPr>
                    <a:picLocks noChangeAspect="1"/>
                  </pic:cNvPicPr>
                </pic:nvPicPr>
                <pic:blipFill>
                  <a:blip r:embed="rId2"/>
                  <a:stretch>
                    <a:fillRect/>
                  </a:stretch>
                </pic:blipFill>
                <pic:spPr>
                  <a:xfrm>
                    <a:off x="0" y="0"/>
                    <a:ext cx="1325245" cy="424815"/>
                  </a:xfrm>
                  <a:prstGeom prst="rect">
                    <a:avLst/>
                  </a:prstGeom>
                  <a:noFill/>
                  <a:ln>
                    <a:noFill/>
                  </a:ln>
                </pic:spPr>
              </pic:pic>
            </a:graphicData>
          </a:graphic>
        </wp:anchor>
      </w:drawing>
    </w:r>
    <w:r>
      <w:rPr>
        <w:rFonts w:hint="eastAsia" w:ascii="楷体" w:hAnsi="楷体" w:eastAsia="楷体" w:cs="黑体"/>
        <w:b/>
        <w:bCs/>
        <w:spacing w:val="-2"/>
        <w:sz w:val="24"/>
        <w:szCs w:val="24"/>
      </w:rPr>
      <w:t>理财非存款、产品有风险、投资须谨慎</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14444345" cy="10958195"/>
          <wp:effectExtent l="0" t="0" r="14605" b="14605"/>
          <wp:wrapNone/>
          <wp:docPr id="2" name="WordPictureWatermark367128482" descr="苏银理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367128482" descr="苏银理财"/>
                  <pic:cNvPicPr>
                    <a:picLocks noChangeAspect="1"/>
                  </pic:cNvPicPr>
                </pic:nvPicPr>
                <pic:blipFill>
                  <a:blip r:embed="rId1">
                    <a:lum bright="70001" contrast="-70000"/>
                  </a:blip>
                  <a:stretch>
                    <a:fillRect/>
                  </a:stretch>
                </pic:blipFill>
                <pic:spPr>
                  <a:xfrm>
                    <a:off x="0" y="0"/>
                    <a:ext cx="14444345" cy="1095819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drawing>
        <wp:anchor distT="0" distB="0" distL="114300" distR="114300" simplePos="0" relativeHeight="251659264" behindDoc="1" locked="0" layoutInCell="0" allowOverlap="1">
          <wp:simplePos x="0" y="0"/>
          <wp:positionH relativeFrom="margin">
            <wp:align>center</wp:align>
          </wp:positionH>
          <wp:positionV relativeFrom="margin">
            <wp:align>center</wp:align>
          </wp:positionV>
          <wp:extent cx="14444345" cy="10958195"/>
          <wp:effectExtent l="0" t="0" r="14605" b="14605"/>
          <wp:wrapNone/>
          <wp:docPr id="1" name="WordPictureWatermark367128481" descr="苏银理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367128481" descr="苏银理财"/>
                  <pic:cNvPicPr>
                    <a:picLocks noChangeAspect="1"/>
                  </pic:cNvPicPr>
                </pic:nvPicPr>
                <pic:blipFill>
                  <a:blip r:embed="rId1">
                    <a:lum bright="70001" contrast="-70000"/>
                  </a:blip>
                  <a:stretch>
                    <a:fillRect/>
                  </a:stretch>
                </pic:blipFill>
                <pic:spPr>
                  <a:xfrm>
                    <a:off x="0" y="0"/>
                    <a:ext cx="14444345" cy="1095819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CC22660"/>
    <w:multiLevelType w:val="singleLevel"/>
    <w:tmpl w:val="4CC22660"/>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23F7"/>
    <w:rsid w:val="00001531"/>
    <w:rsid w:val="0000191C"/>
    <w:rsid w:val="00001E2F"/>
    <w:rsid w:val="00002389"/>
    <w:rsid w:val="00003606"/>
    <w:rsid w:val="000048B0"/>
    <w:rsid w:val="00005B01"/>
    <w:rsid w:val="000101E4"/>
    <w:rsid w:val="0001103A"/>
    <w:rsid w:val="000131EF"/>
    <w:rsid w:val="00013628"/>
    <w:rsid w:val="00014334"/>
    <w:rsid w:val="000158A7"/>
    <w:rsid w:val="00015A92"/>
    <w:rsid w:val="00015D58"/>
    <w:rsid w:val="00016232"/>
    <w:rsid w:val="0002052D"/>
    <w:rsid w:val="00020A6F"/>
    <w:rsid w:val="00021007"/>
    <w:rsid w:val="00023BA8"/>
    <w:rsid w:val="000247F9"/>
    <w:rsid w:val="00024C7F"/>
    <w:rsid w:val="000263ED"/>
    <w:rsid w:val="00027E61"/>
    <w:rsid w:val="00027F48"/>
    <w:rsid w:val="0003072E"/>
    <w:rsid w:val="00030D69"/>
    <w:rsid w:val="00031806"/>
    <w:rsid w:val="00031F80"/>
    <w:rsid w:val="00034890"/>
    <w:rsid w:val="000375C2"/>
    <w:rsid w:val="000405B1"/>
    <w:rsid w:val="00043555"/>
    <w:rsid w:val="00043D5F"/>
    <w:rsid w:val="000469D0"/>
    <w:rsid w:val="00046AAA"/>
    <w:rsid w:val="0004768E"/>
    <w:rsid w:val="00050975"/>
    <w:rsid w:val="00051DB3"/>
    <w:rsid w:val="00054854"/>
    <w:rsid w:val="00057B16"/>
    <w:rsid w:val="00060571"/>
    <w:rsid w:val="00061D74"/>
    <w:rsid w:val="00062791"/>
    <w:rsid w:val="00064F2B"/>
    <w:rsid w:val="00066F56"/>
    <w:rsid w:val="000677EE"/>
    <w:rsid w:val="00070563"/>
    <w:rsid w:val="00071418"/>
    <w:rsid w:val="00071581"/>
    <w:rsid w:val="0007293A"/>
    <w:rsid w:val="00072D1F"/>
    <w:rsid w:val="0007366C"/>
    <w:rsid w:val="00074189"/>
    <w:rsid w:val="00074306"/>
    <w:rsid w:val="000757BB"/>
    <w:rsid w:val="00080C2C"/>
    <w:rsid w:val="00081AD6"/>
    <w:rsid w:val="000853F6"/>
    <w:rsid w:val="000867A8"/>
    <w:rsid w:val="00087036"/>
    <w:rsid w:val="00087EDB"/>
    <w:rsid w:val="00091208"/>
    <w:rsid w:val="00093C11"/>
    <w:rsid w:val="00094631"/>
    <w:rsid w:val="00096382"/>
    <w:rsid w:val="0009795C"/>
    <w:rsid w:val="00097F80"/>
    <w:rsid w:val="000A2D2D"/>
    <w:rsid w:val="000A2E68"/>
    <w:rsid w:val="000A45AB"/>
    <w:rsid w:val="000B0078"/>
    <w:rsid w:val="000B0690"/>
    <w:rsid w:val="000B0E85"/>
    <w:rsid w:val="000B382A"/>
    <w:rsid w:val="000B3B58"/>
    <w:rsid w:val="000B3EFD"/>
    <w:rsid w:val="000B659B"/>
    <w:rsid w:val="000B6E9F"/>
    <w:rsid w:val="000B7D78"/>
    <w:rsid w:val="000C3DB1"/>
    <w:rsid w:val="000C54ED"/>
    <w:rsid w:val="000C5C02"/>
    <w:rsid w:val="000C6143"/>
    <w:rsid w:val="000C7382"/>
    <w:rsid w:val="000D35BD"/>
    <w:rsid w:val="000D71CF"/>
    <w:rsid w:val="000D7225"/>
    <w:rsid w:val="000D722C"/>
    <w:rsid w:val="000E0485"/>
    <w:rsid w:val="000E1951"/>
    <w:rsid w:val="000E2E7D"/>
    <w:rsid w:val="000E34F3"/>
    <w:rsid w:val="000E4205"/>
    <w:rsid w:val="000E7579"/>
    <w:rsid w:val="000E7CF6"/>
    <w:rsid w:val="000F0433"/>
    <w:rsid w:val="000F1D3C"/>
    <w:rsid w:val="000F362A"/>
    <w:rsid w:val="000F3D5D"/>
    <w:rsid w:val="000F4243"/>
    <w:rsid w:val="000F4ABF"/>
    <w:rsid w:val="000F5B66"/>
    <w:rsid w:val="000F5FF6"/>
    <w:rsid w:val="000F65C5"/>
    <w:rsid w:val="000F7056"/>
    <w:rsid w:val="000F7D2C"/>
    <w:rsid w:val="00100F0C"/>
    <w:rsid w:val="001025A3"/>
    <w:rsid w:val="001036A0"/>
    <w:rsid w:val="0010457E"/>
    <w:rsid w:val="001065F5"/>
    <w:rsid w:val="00110417"/>
    <w:rsid w:val="00111E3E"/>
    <w:rsid w:val="001126F6"/>
    <w:rsid w:val="00112F03"/>
    <w:rsid w:val="00115E7F"/>
    <w:rsid w:val="0011696D"/>
    <w:rsid w:val="00121681"/>
    <w:rsid w:val="00122F58"/>
    <w:rsid w:val="0012352A"/>
    <w:rsid w:val="00123BCB"/>
    <w:rsid w:val="0012411A"/>
    <w:rsid w:val="001242DE"/>
    <w:rsid w:val="00124C00"/>
    <w:rsid w:val="00125B8C"/>
    <w:rsid w:val="0012647A"/>
    <w:rsid w:val="001303B2"/>
    <w:rsid w:val="00130EED"/>
    <w:rsid w:val="00130F7B"/>
    <w:rsid w:val="00131F1B"/>
    <w:rsid w:val="0013364F"/>
    <w:rsid w:val="00133AAF"/>
    <w:rsid w:val="00133B98"/>
    <w:rsid w:val="0013472F"/>
    <w:rsid w:val="00134733"/>
    <w:rsid w:val="001359ED"/>
    <w:rsid w:val="00137395"/>
    <w:rsid w:val="00140B25"/>
    <w:rsid w:val="001450DF"/>
    <w:rsid w:val="0014734D"/>
    <w:rsid w:val="00151CC7"/>
    <w:rsid w:val="00152B36"/>
    <w:rsid w:val="00153081"/>
    <w:rsid w:val="001530B2"/>
    <w:rsid w:val="001543E7"/>
    <w:rsid w:val="00155B77"/>
    <w:rsid w:val="00160569"/>
    <w:rsid w:val="00161E2F"/>
    <w:rsid w:val="001624A3"/>
    <w:rsid w:val="001624DA"/>
    <w:rsid w:val="00162BF5"/>
    <w:rsid w:val="00165E23"/>
    <w:rsid w:val="00166B3A"/>
    <w:rsid w:val="00170099"/>
    <w:rsid w:val="00170194"/>
    <w:rsid w:val="00170927"/>
    <w:rsid w:val="0017092A"/>
    <w:rsid w:val="00170A6E"/>
    <w:rsid w:val="00172B90"/>
    <w:rsid w:val="00173A2B"/>
    <w:rsid w:val="00173CE1"/>
    <w:rsid w:val="00174417"/>
    <w:rsid w:val="001749CF"/>
    <w:rsid w:val="00176B8E"/>
    <w:rsid w:val="001770F3"/>
    <w:rsid w:val="00177BCC"/>
    <w:rsid w:val="0018251A"/>
    <w:rsid w:val="001846FB"/>
    <w:rsid w:val="00194E69"/>
    <w:rsid w:val="00195FF0"/>
    <w:rsid w:val="00197DD9"/>
    <w:rsid w:val="001A05F5"/>
    <w:rsid w:val="001A1C12"/>
    <w:rsid w:val="001A57DB"/>
    <w:rsid w:val="001A586B"/>
    <w:rsid w:val="001A73F1"/>
    <w:rsid w:val="001B1D26"/>
    <w:rsid w:val="001B1E1E"/>
    <w:rsid w:val="001B2F76"/>
    <w:rsid w:val="001B2F82"/>
    <w:rsid w:val="001B396B"/>
    <w:rsid w:val="001B4B9C"/>
    <w:rsid w:val="001B72EB"/>
    <w:rsid w:val="001B7D0D"/>
    <w:rsid w:val="001C13E9"/>
    <w:rsid w:val="001C4148"/>
    <w:rsid w:val="001C78FF"/>
    <w:rsid w:val="001D0B29"/>
    <w:rsid w:val="001D1C27"/>
    <w:rsid w:val="001D2A8B"/>
    <w:rsid w:val="001D48EE"/>
    <w:rsid w:val="001D49AC"/>
    <w:rsid w:val="001D4BC9"/>
    <w:rsid w:val="001D4FE1"/>
    <w:rsid w:val="001D78FF"/>
    <w:rsid w:val="001E0062"/>
    <w:rsid w:val="001E0387"/>
    <w:rsid w:val="001E223F"/>
    <w:rsid w:val="001E4374"/>
    <w:rsid w:val="001E4A82"/>
    <w:rsid w:val="001E4C0D"/>
    <w:rsid w:val="001E4E95"/>
    <w:rsid w:val="001E623C"/>
    <w:rsid w:val="001E631F"/>
    <w:rsid w:val="001F0A69"/>
    <w:rsid w:val="001F1728"/>
    <w:rsid w:val="001F2658"/>
    <w:rsid w:val="001F3AD6"/>
    <w:rsid w:val="001F3CCB"/>
    <w:rsid w:val="001F63BD"/>
    <w:rsid w:val="001F6775"/>
    <w:rsid w:val="001F69BF"/>
    <w:rsid w:val="00200449"/>
    <w:rsid w:val="00200DF8"/>
    <w:rsid w:val="0020123C"/>
    <w:rsid w:val="0020196F"/>
    <w:rsid w:val="002024E9"/>
    <w:rsid w:val="0020639A"/>
    <w:rsid w:val="00206636"/>
    <w:rsid w:val="00210857"/>
    <w:rsid w:val="002119A2"/>
    <w:rsid w:val="00213632"/>
    <w:rsid w:val="00215F66"/>
    <w:rsid w:val="00216C87"/>
    <w:rsid w:val="0022162D"/>
    <w:rsid w:val="002222A4"/>
    <w:rsid w:val="0022633B"/>
    <w:rsid w:val="00226F9D"/>
    <w:rsid w:val="00230F4A"/>
    <w:rsid w:val="00231B08"/>
    <w:rsid w:val="00232A54"/>
    <w:rsid w:val="0023376E"/>
    <w:rsid w:val="0023523A"/>
    <w:rsid w:val="00235E45"/>
    <w:rsid w:val="002366EB"/>
    <w:rsid w:val="002379DD"/>
    <w:rsid w:val="00237FDB"/>
    <w:rsid w:val="0024053C"/>
    <w:rsid w:val="002436C1"/>
    <w:rsid w:val="00243DF5"/>
    <w:rsid w:val="00245106"/>
    <w:rsid w:val="00245D03"/>
    <w:rsid w:val="0024748B"/>
    <w:rsid w:val="00247A7D"/>
    <w:rsid w:val="0025150E"/>
    <w:rsid w:val="00252B51"/>
    <w:rsid w:val="00253997"/>
    <w:rsid w:val="0025423C"/>
    <w:rsid w:val="00254A3C"/>
    <w:rsid w:val="00254A8B"/>
    <w:rsid w:val="00256E57"/>
    <w:rsid w:val="0025744E"/>
    <w:rsid w:val="002579CC"/>
    <w:rsid w:val="0026641B"/>
    <w:rsid w:val="002672C8"/>
    <w:rsid w:val="00270665"/>
    <w:rsid w:val="00272C53"/>
    <w:rsid w:val="00272E20"/>
    <w:rsid w:val="00273681"/>
    <w:rsid w:val="0027409E"/>
    <w:rsid w:val="00274FAF"/>
    <w:rsid w:val="0027510A"/>
    <w:rsid w:val="002765F4"/>
    <w:rsid w:val="00276883"/>
    <w:rsid w:val="00277C1F"/>
    <w:rsid w:val="002821D7"/>
    <w:rsid w:val="00282F20"/>
    <w:rsid w:val="0029004F"/>
    <w:rsid w:val="00291B84"/>
    <w:rsid w:val="00292B19"/>
    <w:rsid w:val="00292B5E"/>
    <w:rsid w:val="002932FC"/>
    <w:rsid w:val="00294431"/>
    <w:rsid w:val="00294B49"/>
    <w:rsid w:val="00295538"/>
    <w:rsid w:val="00297034"/>
    <w:rsid w:val="002A046A"/>
    <w:rsid w:val="002A237A"/>
    <w:rsid w:val="002A23E0"/>
    <w:rsid w:val="002A2E20"/>
    <w:rsid w:val="002A32DF"/>
    <w:rsid w:val="002A6980"/>
    <w:rsid w:val="002A7DF5"/>
    <w:rsid w:val="002A7E94"/>
    <w:rsid w:val="002B0795"/>
    <w:rsid w:val="002B2620"/>
    <w:rsid w:val="002B3225"/>
    <w:rsid w:val="002B5694"/>
    <w:rsid w:val="002B6C82"/>
    <w:rsid w:val="002C021F"/>
    <w:rsid w:val="002C2056"/>
    <w:rsid w:val="002C222A"/>
    <w:rsid w:val="002C23F7"/>
    <w:rsid w:val="002C3367"/>
    <w:rsid w:val="002C7117"/>
    <w:rsid w:val="002C7CB4"/>
    <w:rsid w:val="002D0706"/>
    <w:rsid w:val="002D29FD"/>
    <w:rsid w:val="002D2AEC"/>
    <w:rsid w:val="002D2C1F"/>
    <w:rsid w:val="002D4FE3"/>
    <w:rsid w:val="002D600D"/>
    <w:rsid w:val="002E1382"/>
    <w:rsid w:val="002E6F55"/>
    <w:rsid w:val="002F0E4E"/>
    <w:rsid w:val="002F24A1"/>
    <w:rsid w:val="002F344B"/>
    <w:rsid w:val="002F41A5"/>
    <w:rsid w:val="002F709A"/>
    <w:rsid w:val="002F77A8"/>
    <w:rsid w:val="00301619"/>
    <w:rsid w:val="00301AD3"/>
    <w:rsid w:val="00301E80"/>
    <w:rsid w:val="00302755"/>
    <w:rsid w:val="00303147"/>
    <w:rsid w:val="00304D18"/>
    <w:rsid w:val="00305A15"/>
    <w:rsid w:val="00306353"/>
    <w:rsid w:val="00306D41"/>
    <w:rsid w:val="00307094"/>
    <w:rsid w:val="00307342"/>
    <w:rsid w:val="00310A72"/>
    <w:rsid w:val="00311C18"/>
    <w:rsid w:val="0031298C"/>
    <w:rsid w:val="00313D52"/>
    <w:rsid w:val="00314235"/>
    <w:rsid w:val="0031453A"/>
    <w:rsid w:val="003222FC"/>
    <w:rsid w:val="00325D85"/>
    <w:rsid w:val="0032607C"/>
    <w:rsid w:val="00326E7B"/>
    <w:rsid w:val="0033166C"/>
    <w:rsid w:val="0033358A"/>
    <w:rsid w:val="00333937"/>
    <w:rsid w:val="003342B8"/>
    <w:rsid w:val="0033504B"/>
    <w:rsid w:val="003362C7"/>
    <w:rsid w:val="00336A5A"/>
    <w:rsid w:val="00337AA0"/>
    <w:rsid w:val="00342ADB"/>
    <w:rsid w:val="00343B0F"/>
    <w:rsid w:val="00347006"/>
    <w:rsid w:val="00347D0D"/>
    <w:rsid w:val="003503AE"/>
    <w:rsid w:val="00351D8C"/>
    <w:rsid w:val="0035213A"/>
    <w:rsid w:val="00353419"/>
    <w:rsid w:val="00355D35"/>
    <w:rsid w:val="00356BEA"/>
    <w:rsid w:val="00360094"/>
    <w:rsid w:val="003627FB"/>
    <w:rsid w:val="00362826"/>
    <w:rsid w:val="00363EEF"/>
    <w:rsid w:val="0036403D"/>
    <w:rsid w:val="0036455C"/>
    <w:rsid w:val="00364ED6"/>
    <w:rsid w:val="003656BF"/>
    <w:rsid w:val="00366074"/>
    <w:rsid w:val="00367122"/>
    <w:rsid w:val="0037083D"/>
    <w:rsid w:val="00372402"/>
    <w:rsid w:val="003724FE"/>
    <w:rsid w:val="003726C4"/>
    <w:rsid w:val="003732C5"/>
    <w:rsid w:val="00374086"/>
    <w:rsid w:val="00375BEB"/>
    <w:rsid w:val="003800B4"/>
    <w:rsid w:val="003809E0"/>
    <w:rsid w:val="003814E2"/>
    <w:rsid w:val="00381E88"/>
    <w:rsid w:val="003821F9"/>
    <w:rsid w:val="003827CD"/>
    <w:rsid w:val="00383A99"/>
    <w:rsid w:val="00383D6D"/>
    <w:rsid w:val="003852EF"/>
    <w:rsid w:val="003870EE"/>
    <w:rsid w:val="00393452"/>
    <w:rsid w:val="00394C2C"/>
    <w:rsid w:val="00395441"/>
    <w:rsid w:val="00396F85"/>
    <w:rsid w:val="0039723A"/>
    <w:rsid w:val="003A1CB9"/>
    <w:rsid w:val="003A27B8"/>
    <w:rsid w:val="003A3D8C"/>
    <w:rsid w:val="003A48E3"/>
    <w:rsid w:val="003A539D"/>
    <w:rsid w:val="003A5FA1"/>
    <w:rsid w:val="003A7623"/>
    <w:rsid w:val="003B1725"/>
    <w:rsid w:val="003B242C"/>
    <w:rsid w:val="003B324C"/>
    <w:rsid w:val="003B4D64"/>
    <w:rsid w:val="003B5DFB"/>
    <w:rsid w:val="003B6220"/>
    <w:rsid w:val="003B76DC"/>
    <w:rsid w:val="003C1E93"/>
    <w:rsid w:val="003C2161"/>
    <w:rsid w:val="003C596C"/>
    <w:rsid w:val="003D03AF"/>
    <w:rsid w:val="003D07CA"/>
    <w:rsid w:val="003D1FE5"/>
    <w:rsid w:val="003D3735"/>
    <w:rsid w:val="003D5148"/>
    <w:rsid w:val="003D5CDF"/>
    <w:rsid w:val="003D6081"/>
    <w:rsid w:val="003D6720"/>
    <w:rsid w:val="003D6B3F"/>
    <w:rsid w:val="003D7951"/>
    <w:rsid w:val="003E030F"/>
    <w:rsid w:val="003E1EFB"/>
    <w:rsid w:val="003E2B26"/>
    <w:rsid w:val="003E4299"/>
    <w:rsid w:val="003E6D92"/>
    <w:rsid w:val="003E70B9"/>
    <w:rsid w:val="003E7812"/>
    <w:rsid w:val="003F2136"/>
    <w:rsid w:val="003F277A"/>
    <w:rsid w:val="003F29B2"/>
    <w:rsid w:val="003F31E6"/>
    <w:rsid w:val="003F40F9"/>
    <w:rsid w:val="003F4C40"/>
    <w:rsid w:val="003F52FE"/>
    <w:rsid w:val="003F580D"/>
    <w:rsid w:val="003F61D7"/>
    <w:rsid w:val="00401F3A"/>
    <w:rsid w:val="0040272E"/>
    <w:rsid w:val="00402EA0"/>
    <w:rsid w:val="00403497"/>
    <w:rsid w:val="004041C9"/>
    <w:rsid w:val="00407810"/>
    <w:rsid w:val="004079CC"/>
    <w:rsid w:val="004106A7"/>
    <w:rsid w:val="00410F85"/>
    <w:rsid w:val="00412823"/>
    <w:rsid w:val="0041382E"/>
    <w:rsid w:val="00413D00"/>
    <w:rsid w:val="00414410"/>
    <w:rsid w:val="00414992"/>
    <w:rsid w:val="00416ED0"/>
    <w:rsid w:val="004175B0"/>
    <w:rsid w:val="00421C9B"/>
    <w:rsid w:val="00422D31"/>
    <w:rsid w:val="00426041"/>
    <w:rsid w:val="00426CBC"/>
    <w:rsid w:val="00427CC0"/>
    <w:rsid w:val="0043002F"/>
    <w:rsid w:val="004303B3"/>
    <w:rsid w:val="00430927"/>
    <w:rsid w:val="0043308A"/>
    <w:rsid w:val="00433113"/>
    <w:rsid w:val="00433DCD"/>
    <w:rsid w:val="00434262"/>
    <w:rsid w:val="0043673C"/>
    <w:rsid w:val="00436801"/>
    <w:rsid w:val="00437DA0"/>
    <w:rsid w:val="004412CE"/>
    <w:rsid w:val="00442603"/>
    <w:rsid w:val="00444898"/>
    <w:rsid w:val="00445E88"/>
    <w:rsid w:val="004509F6"/>
    <w:rsid w:val="00453254"/>
    <w:rsid w:val="0045366F"/>
    <w:rsid w:val="00453F4D"/>
    <w:rsid w:val="00455D49"/>
    <w:rsid w:val="00455DF1"/>
    <w:rsid w:val="00456A0F"/>
    <w:rsid w:val="00456C53"/>
    <w:rsid w:val="00460F22"/>
    <w:rsid w:val="0046446A"/>
    <w:rsid w:val="004645D0"/>
    <w:rsid w:val="00464A97"/>
    <w:rsid w:val="00464FA6"/>
    <w:rsid w:val="004651E5"/>
    <w:rsid w:val="004676E4"/>
    <w:rsid w:val="0046796E"/>
    <w:rsid w:val="00467E09"/>
    <w:rsid w:val="004707EC"/>
    <w:rsid w:val="00470F11"/>
    <w:rsid w:val="0047173F"/>
    <w:rsid w:val="004722FE"/>
    <w:rsid w:val="00472A2C"/>
    <w:rsid w:val="004739B2"/>
    <w:rsid w:val="0047586E"/>
    <w:rsid w:val="004761F8"/>
    <w:rsid w:val="0047624F"/>
    <w:rsid w:val="00476551"/>
    <w:rsid w:val="00476764"/>
    <w:rsid w:val="00477506"/>
    <w:rsid w:val="00477994"/>
    <w:rsid w:val="00480ED0"/>
    <w:rsid w:val="00481CB0"/>
    <w:rsid w:val="00482251"/>
    <w:rsid w:val="00482CC2"/>
    <w:rsid w:val="004835E4"/>
    <w:rsid w:val="00484CF0"/>
    <w:rsid w:val="004856F7"/>
    <w:rsid w:val="00485E98"/>
    <w:rsid w:val="00487169"/>
    <w:rsid w:val="00490539"/>
    <w:rsid w:val="004907EE"/>
    <w:rsid w:val="004910C2"/>
    <w:rsid w:val="00491342"/>
    <w:rsid w:val="0049147A"/>
    <w:rsid w:val="00491B25"/>
    <w:rsid w:val="004925DF"/>
    <w:rsid w:val="004929D1"/>
    <w:rsid w:val="004939CA"/>
    <w:rsid w:val="00497D5C"/>
    <w:rsid w:val="004A243A"/>
    <w:rsid w:val="004A2756"/>
    <w:rsid w:val="004A49CD"/>
    <w:rsid w:val="004A4AED"/>
    <w:rsid w:val="004A58D1"/>
    <w:rsid w:val="004A5E88"/>
    <w:rsid w:val="004A65C0"/>
    <w:rsid w:val="004A6C11"/>
    <w:rsid w:val="004B1E66"/>
    <w:rsid w:val="004B4001"/>
    <w:rsid w:val="004B4B39"/>
    <w:rsid w:val="004B6EA9"/>
    <w:rsid w:val="004B735F"/>
    <w:rsid w:val="004B77FF"/>
    <w:rsid w:val="004C0F0C"/>
    <w:rsid w:val="004C1C90"/>
    <w:rsid w:val="004C49FA"/>
    <w:rsid w:val="004C4C9B"/>
    <w:rsid w:val="004C4EA4"/>
    <w:rsid w:val="004C7C47"/>
    <w:rsid w:val="004D0388"/>
    <w:rsid w:val="004D0478"/>
    <w:rsid w:val="004D0A93"/>
    <w:rsid w:val="004D20F5"/>
    <w:rsid w:val="004D34DD"/>
    <w:rsid w:val="004D382B"/>
    <w:rsid w:val="004D3B10"/>
    <w:rsid w:val="004D49D8"/>
    <w:rsid w:val="004D6E8F"/>
    <w:rsid w:val="004D73A7"/>
    <w:rsid w:val="004D7BA3"/>
    <w:rsid w:val="004E3C6A"/>
    <w:rsid w:val="004E46B0"/>
    <w:rsid w:val="004E645B"/>
    <w:rsid w:val="004F3AC9"/>
    <w:rsid w:val="004F3E60"/>
    <w:rsid w:val="004F40EF"/>
    <w:rsid w:val="004F46F0"/>
    <w:rsid w:val="004F4F78"/>
    <w:rsid w:val="004F55EC"/>
    <w:rsid w:val="005013A2"/>
    <w:rsid w:val="005017DC"/>
    <w:rsid w:val="0050386F"/>
    <w:rsid w:val="005041D5"/>
    <w:rsid w:val="005071D2"/>
    <w:rsid w:val="00510526"/>
    <w:rsid w:val="00510823"/>
    <w:rsid w:val="0051208D"/>
    <w:rsid w:val="00515789"/>
    <w:rsid w:val="00516DA1"/>
    <w:rsid w:val="005201F1"/>
    <w:rsid w:val="00520ACC"/>
    <w:rsid w:val="00520B0B"/>
    <w:rsid w:val="005212D4"/>
    <w:rsid w:val="00522AA1"/>
    <w:rsid w:val="0052415B"/>
    <w:rsid w:val="005266CB"/>
    <w:rsid w:val="00527FBD"/>
    <w:rsid w:val="0053069A"/>
    <w:rsid w:val="005308B0"/>
    <w:rsid w:val="00533B31"/>
    <w:rsid w:val="0053444E"/>
    <w:rsid w:val="0053510C"/>
    <w:rsid w:val="005362B4"/>
    <w:rsid w:val="0053633A"/>
    <w:rsid w:val="00536E3A"/>
    <w:rsid w:val="005400DC"/>
    <w:rsid w:val="00542CCA"/>
    <w:rsid w:val="0054309D"/>
    <w:rsid w:val="005436F3"/>
    <w:rsid w:val="00544451"/>
    <w:rsid w:val="005449D5"/>
    <w:rsid w:val="00544A6C"/>
    <w:rsid w:val="00551427"/>
    <w:rsid w:val="00551C0A"/>
    <w:rsid w:val="00554430"/>
    <w:rsid w:val="00560551"/>
    <w:rsid w:val="00561FE9"/>
    <w:rsid w:val="00562804"/>
    <w:rsid w:val="00564093"/>
    <w:rsid w:val="00564F46"/>
    <w:rsid w:val="005659B2"/>
    <w:rsid w:val="00566CB6"/>
    <w:rsid w:val="00567AAC"/>
    <w:rsid w:val="00572A2F"/>
    <w:rsid w:val="00572C28"/>
    <w:rsid w:val="00572D91"/>
    <w:rsid w:val="00574893"/>
    <w:rsid w:val="00575E03"/>
    <w:rsid w:val="00576A3A"/>
    <w:rsid w:val="00576B9E"/>
    <w:rsid w:val="00577555"/>
    <w:rsid w:val="00577910"/>
    <w:rsid w:val="005803FA"/>
    <w:rsid w:val="00583A5E"/>
    <w:rsid w:val="00590CD8"/>
    <w:rsid w:val="00593310"/>
    <w:rsid w:val="0059593D"/>
    <w:rsid w:val="00595C4D"/>
    <w:rsid w:val="00597498"/>
    <w:rsid w:val="0059767A"/>
    <w:rsid w:val="005A0462"/>
    <w:rsid w:val="005A43FC"/>
    <w:rsid w:val="005A6007"/>
    <w:rsid w:val="005A6752"/>
    <w:rsid w:val="005A6DE4"/>
    <w:rsid w:val="005A7236"/>
    <w:rsid w:val="005B08B3"/>
    <w:rsid w:val="005B0F07"/>
    <w:rsid w:val="005B16D7"/>
    <w:rsid w:val="005B1BB5"/>
    <w:rsid w:val="005B31FB"/>
    <w:rsid w:val="005B3AC2"/>
    <w:rsid w:val="005B439F"/>
    <w:rsid w:val="005B49CC"/>
    <w:rsid w:val="005B62FA"/>
    <w:rsid w:val="005B6576"/>
    <w:rsid w:val="005C09F1"/>
    <w:rsid w:val="005C0B01"/>
    <w:rsid w:val="005C1CF3"/>
    <w:rsid w:val="005C201C"/>
    <w:rsid w:val="005C37A8"/>
    <w:rsid w:val="005C3B0D"/>
    <w:rsid w:val="005C4B2D"/>
    <w:rsid w:val="005C5BC2"/>
    <w:rsid w:val="005C72E9"/>
    <w:rsid w:val="005C79F4"/>
    <w:rsid w:val="005D163E"/>
    <w:rsid w:val="005D33A6"/>
    <w:rsid w:val="005D4D03"/>
    <w:rsid w:val="005D5292"/>
    <w:rsid w:val="005D5470"/>
    <w:rsid w:val="005D637B"/>
    <w:rsid w:val="005E0829"/>
    <w:rsid w:val="005E14F6"/>
    <w:rsid w:val="005E162C"/>
    <w:rsid w:val="005E26A1"/>
    <w:rsid w:val="005E2D33"/>
    <w:rsid w:val="005E494F"/>
    <w:rsid w:val="005E5312"/>
    <w:rsid w:val="005E588E"/>
    <w:rsid w:val="005E5F0F"/>
    <w:rsid w:val="005E695B"/>
    <w:rsid w:val="005F0E22"/>
    <w:rsid w:val="005F1547"/>
    <w:rsid w:val="005F1604"/>
    <w:rsid w:val="005F24F4"/>
    <w:rsid w:val="005F2903"/>
    <w:rsid w:val="005F31D7"/>
    <w:rsid w:val="005F3AA3"/>
    <w:rsid w:val="005F537F"/>
    <w:rsid w:val="005F5931"/>
    <w:rsid w:val="005F7D07"/>
    <w:rsid w:val="0060020D"/>
    <w:rsid w:val="006023D7"/>
    <w:rsid w:val="00602794"/>
    <w:rsid w:val="00604135"/>
    <w:rsid w:val="006058CB"/>
    <w:rsid w:val="0060733C"/>
    <w:rsid w:val="0061140B"/>
    <w:rsid w:val="00613453"/>
    <w:rsid w:val="0061470B"/>
    <w:rsid w:val="00616AE1"/>
    <w:rsid w:val="00617F6B"/>
    <w:rsid w:val="0062067C"/>
    <w:rsid w:val="006214AD"/>
    <w:rsid w:val="0062541F"/>
    <w:rsid w:val="00625863"/>
    <w:rsid w:val="006260E5"/>
    <w:rsid w:val="0062647B"/>
    <w:rsid w:val="00627B69"/>
    <w:rsid w:val="00631CC2"/>
    <w:rsid w:val="00633754"/>
    <w:rsid w:val="00635E85"/>
    <w:rsid w:val="006371FF"/>
    <w:rsid w:val="006436A7"/>
    <w:rsid w:val="00643DD9"/>
    <w:rsid w:val="00644A75"/>
    <w:rsid w:val="006472A0"/>
    <w:rsid w:val="00651512"/>
    <w:rsid w:val="00654956"/>
    <w:rsid w:val="00654DE7"/>
    <w:rsid w:val="0065533C"/>
    <w:rsid w:val="00656A9D"/>
    <w:rsid w:val="00656F5E"/>
    <w:rsid w:val="00662CBC"/>
    <w:rsid w:val="006700A9"/>
    <w:rsid w:val="0067038D"/>
    <w:rsid w:val="00671A6A"/>
    <w:rsid w:val="00673F0C"/>
    <w:rsid w:val="00676A38"/>
    <w:rsid w:val="00680098"/>
    <w:rsid w:val="00680957"/>
    <w:rsid w:val="00682CFC"/>
    <w:rsid w:val="00683B13"/>
    <w:rsid w:val="00686216"/>
    <w:rsid w:val="00686325"/>
    <w:rsid w:val="00686EC4"/>
    <w:rsid w:val="00687063"/>
    <w:rsid w:val="00691425"/>
    <w:rsid w:val="00695E17"/>
    <w:rsid w:val="00696763"/>
    <w:rsid w:val="00696D1D"/>
    <w:rsid w:val="0069734A"/>
    <w:rsid w:val="006A139A"/>
    <w:rsid w:val="006A1939"/>
    <w:rsid w:val="006A303A"/>
    <w:rsid w:val="006A4427"/>
    <w:rsid w:val="006A45A4"/>
    <w:rsid w:val="006A45AE"/>
    <w:rsid w:val="006A5C3E"/>
    <w:rsid w:val="006B0367"/>
    <w:rsid w:val="006B147C"/>
    <w:rsid w:val="006B1E00"/>
    <w:rsid w:val="006B202A"/>
    <w:rsid w:val="006B4802"/>
    <w:rsid w:val="006B5097"/>
    <w:rsid w:val="006B5516"/>
    <w:rsid w:val="006B5D36"/>
    <w:rsid w:val="006B5E7D"/>
    <w:rsid w:val="006B7A09"/>
    <w:rsid w:val="006C42CE"/>
    <w:rsid w:val="006C51DA"/>
    <w:rsid w:val="006C5486"/>
    <w:rsid w:val="006C592D"/>
    <w:rsid w:val="006C5D93"/>
    <w:rsid w:val="006C74B3"/>
    <w:rsid w:val="006D209C"/>
    <w:rsid w:val="006D3791"/>
    <w:rsid w:val="006D465F"/>
    <w:rsid w:val="006D46A6"/>
    <w:rsid w:val="006D4B56"/>
    <w:rsid w:val="006D7209"/>
    <w:rsid w:val="006E11C9"/>
    <w:rsid w:val="006E31AE"/>
    <w:rsid w:val="006E4984"/>
    <w:rsid w:val="006E5E71"/>
    <w:rsid w:val="006F32BF"/>
    <w:rsid w:val="006F38F6"/>
    <w:rsid w:val="006F3989"/>
    <w:rsid w:val="006F4219"/>
    <w:rsid w:val="006F55D6"/>
    <w:rsid w:val="006F575A"/>
    <w:rsid w:val="006F79D7"/>
    <w:rsid w:val="00700A73"/>
    <w:rsid w:val="007015E9"/>
    <w:rsid w:val="00702A10"/>
    <w:rsid w:val="0070484E"/>
    <w:rsid w:val="00704ED8"/>
    <w:rsid w:val="0070601C"/>
    <w:rsid w:val="00706787"/>
    <w:rsid w:val="00706C45"/>
    <w:rsid w:val="00707008"/>
    <w:rsid w:val="00710993"/>
    <w:rsid w:val="00712884"/>
    <w:rsid w:val="00713C6D"/>
    <w:rsid w:val="00715090"/>
    <w:rsid w:val="00715379"/>
    <w:rsid w:val="0071587A"/>
    <w:rsid w:val="007159EB"/>
    <w:rsid w:val="007160E0"/>
    <w:rsid w:val="00716E3F"/>
    <w:rsid w:val="00717DE7"/>
    <w:rsid w:val="00720629"/>
    <w:rsid w:val="00720B16"/>
    <w:rsid w:val="007219C5"/>
    <w:rsid w:val="007223FC"/>
    <w:rsid w:val="00723E51"/>
    <w:rsid w:val="00725F23"/>
    <w:rsid w:val="007267EB"/>
    <w:rsid w:val="0072737A"/>
    <w:rsid w:val="00730159"/>
    <w:rsid w:val="00730AC8"/>
    <w:rsid w:val="00730C0D"/>
    <w:rsid w:val="0073129C"/>
    <w:rsid w:val="007339DB"/>
    <w:rsid w:val="007356FC"/>
    <w:rsid w:val="00735CE3"/>
    <w:rsid w:val="00736DD5"/>
    <w:rsid w:val="0074101E"/>
    <w:rsid w:val="0074150A"/>
    <w:rsid w:val="00741FEC"/>
    <w:rsid w:val="007433D3"/>
    <w:rsid w:val="00743A86"/>
    <w:rsid w:val="00743F1B"/>
    <w:rsid w:val="0074430F"/>
    <w:rsid w:val="007448B9"/>
    <w:rsid w:val="007468E9"/>
    <w:rsid w:val="00746BED"/>
    <w:rsid w:val="00747D71"/>
    <w:rsid w:val="00750288"/>
    <w:rsid w:val="00751BF1"/>
    <w:rsid w:val="007537F1"/>
    <w:rsid w:val="00756643"/>
    <w:rsid w:val="007567FF"/>
    <w:rsid w:val="00756DA9"/>
    <w:rsid w:val="0075794D"/>
    <w:rsid w:val="007608C8"/>
    <w:rsid w:val="00761696"/>
    <w:rsid w:val="00761834"/>
    <w:rsid w:val="00761D56"/>
    <w:rsid w:val="007620D8"/>
    <w:rsid w:val="007631A8"/>
    <w:rsid w:val="0076420A"/>
    <w:rsid w:val="0076492F"/>
    <w:rsid w:val="00764D0F"/>
    <w:rsid w:val="00764ED5"/>
    <w:rsid w:val="007665AE"/>
    <w:rsid w:val="007665E7"/>
    <w:rsid w:val="00767809"/>
    <w:rsid w:val="00773845"/>
    <w:rsid w:val="0077605D"/>
    <w:rsid w:val="00780896"/>
    <w:rsid w:val="00780E48"/>
    <w:rsid w:val="00780FF2"/>
    <w:rsid w:val="007815A1"/>
    <w:rsid w:val="00783BF6"/>
    <w:rsid w:val="0078501F"/>
    <w:rsid w:val="00785229"/>
    <w:rsid w:val="00791744"/>
    <w:rsid w:val="0079186B"/>
    <w:rsid w:val="007919EE"/>
    <w:rsid w:val="00793312"/>
    <w:rsid w:val="00794B5C"/>
    <w:rsid w:val="00796A9E"/>
    <w:rsid w:val="00796D05"/>
    <w:rsid w:val="00797687"/>
    <w:rsid w:val="007A0BE3"/>
    <w:rsid w:val="007A25AF"/>
    <w:rsid w:val="007A30A5"/>
    <w:rsid w:val="007A5FB9"/>
    <w:rsid w:val="007A664A"/>
    <w:rsid w:val="007A70C6"/>
    <w:rsid w:val="007B11D0"/>
    <w:rsid w:val="007B1CB5"/>
    <w:rsid w:val="007B27E9"/>
    <w:rsid w:val="007B2987"/>
    <w:rsid w:val="007B6A8F"/>
    <w:rsid w:val="007B70D3"/>
    <w:rsid w:val="007C1116"/>
    <w:rsid w:val="007C3AA6"/>
    <w:rsid w:val="007C4EF2"/>
    <w:rsid w:val="007C55D4"/>
    <w:rsid w:val="007D093F"/>
    <w:rsid w:val="007D0BE8"/>
    <w:rsid w:val="007D0D6D"/>
    <w:rsid w:val="007D36CA"/>
    <w:rsid w:val="007D4C02"/>
    <w:rsid w:val="007D5920"/>
    <w:rsid w:val="007D6496"/>
    <w:rsid w:val="007D6731"/>
    <w:rsid w:val="007D6837"/>
    <w:rsid w:val="007D7001"/>
    <w:rsid w:val="007D782F"/>
    <w:rsid w:val="007D7E87"/>
    <w:rsid w:val="007E1666"/>
    <w:rsid w:val="007E1ECC"/>
    <w:rsid w:val="007E2A09"/>
    <w:rsid w:val="007E40DD"/>
    <w:rsid w:val="007E4D5F"/>
    <w:rsid w:val="007E5A59"/>
    <w:rsid w:val="007E7C73"/>
    <w:rsid w:val="007F0225"/>
    <w:rsid w:val="007F0AC8"/>
    <w:rsid w:val="007F10CE"/>
    <w:rsid w:val="007F167C"/>
    <w:rsid w:val="007F2066"/>
    <w:rsid w:val="007F2B93"/>
    <w:rsid w:val="007F4005"/>
    <w:rsid w:val="007F64E9"/>
    <w:rsid w:val="007F7EFE"/>
    <w:rsid w:val="007F7F51"/>
    <w:rsid w:val="00800D68"/>
    <w:rsid w:val="0080100B"/>
    <w:rsid w:val="00801BBC"/>
    <w:rsid w:val="00802684"/>
    <w:rsid w:val="00804380"/>
    <w:rsid w:val="00804490"/>
    <w:rsid w:val="00805FBA"/>
    <w:rsid w:val="00806655"/>
    <w:rsid w:val="00806B2A"/>
    <w:rsid w:val="008071EA"/>
    <w:rsid w:val="00810DA4"/>
    <w:rsid w:val="00813597"/>
    <w:rsid w:val="00814221"/>
    <w:rsid w:val="00814A29"/>
    <w:rsid w:val="00825793"/>
    <w:rsid w:val="008259B8"/>
    <w:rsid w:val="00825ADA"/>
    <w:rsid w:val="00825DEA"/>
    <w:rsid w:val="0082667C"/>
    <w:rsid w:val="008269BB"/>
    <w:rsid w:val="00827362"/>
    <w:rsid w:val="008279A8"/>
    <w:rsid w:val="00827E59"/>
    <w:rsid w:val="0083160C"/>
    <w:rsid w:val="0083338A"/>
    <w:rsid w:val="00833923"/>
    <w:rsid w:val="00834848"/>
    <w:rsid w:val="00834CDA"/>
    <w:rsid w:val="00835A8D"/>
    <w:rsid w:val="008362EF"/>
    <w:rsid w:val="008367C0"/>
    <w:rsid w:val="00840F68"/>
    <w:rsid w:val="00843EBB"/>
    <w:rsid w:val="008443EB"/>
    <w:rsid w:val="00844E1C"/>
    <w:rsid w:val="00847A9C"/>
    <w:rsid w:val="00855674"/>
    <w:rsid w:val="0086291A"/>
    <w:rsid w:val="00862D4F"/>
    <w:rsid w:val="00871456"/>
    <w:rsid w:val="00871856"/>
    <w:rsid w:val="00872ABA"/>
    <w:rsid w:val="00872FCE"/>
    <w:rsid w:val="00874EBD"/>
    <w:rsid w:val="008761FC"/>
    <w:rsid w:val="00877D2F"/>
    <w:rsid w:val="008800C1"/>
    <w:rsid w:val="00881137"/>
    <w:rsid w:val="00882933"/>
    <w:rsid w:val="00883A75"/>
    <w:rsid w:val="00883F98"/>
    <w:rsid w:val="00884396"/>
    <w:rsid w:val="008843FC"/>
    <w:rsid w:val="008862BD"/>
    <w:rsid w:val="008917E7"/>
    <w:rsid w:val="008962E9"/>
    <w:rsid w:val="0089653C"/>
    <w:rsid w:val="00896CA9"/>
    <w:rsid w:val="0089766E"/>
    <w:rsid w:val="00897AEF"/>
    <w:rsid w:val="008A0DE6"/>
    <w:rsid w:val="008A1FF5"/>
    <w:rsid w:val="008A233D"/>
    <w:rsid w:val="008A237E"/>
    <w:rsid w:val="008A447D"/>
    <w:rsid w:val="008A4AF5"/>
    <w:rsid w:val="008A4EFA"/>
    <w:rsid w:val="008A62A5"/>
    <w:rsid w:val="008A7E2E"/>
    <w:rsid w:val="008B3124"/>
    <w:rsid w:val="008B5749"/>
    <w:rsid w:val="008B6744"/>
    <w:rsid w:val="008B72A5"/>
    <w:rsid w:val="008B7762"/>
    <w:rsid w:val="008C0421"/>
    <w:rsid w:val="008C1918"/>
    <w:rsid w:val="008C1A51"/>
    <w:rsid w:val="008C2A4A"/>
    <w:rsid w:val="008C2F29"/>
    <w:rsid w:val="008C421B"/>
    <w:rsid w:val="008C4AD0"/>
    <w:rsid w:val="008C6B30"/>
    <w:rsid w:val="008D3033"/>
    <w:rsid w:val="008D493B"/>
    <w:rsid w:val="008D4A7C"/>
    <w:rsid w:val="008D51DA"/>
    <w:rsid w:val="008D53A9"/>
    <w:rsid w:val="008D5615"/>
    <w:rsid w:val="008D5F0D"/>
    <w:rsid w:val="008D683A"/>
    <w:rsid w:val="008E0359"/>
    <w:rsid w:val="008E0805"/>
    <w:rsid w:val="008E0FFB"/>
    <w:rsid w:val="008E12B9"/>
    <w:rsid w:val="008E2B4D"/>
    <w:rsid w:val="008E3094"/>
    <w:rsid w:val="008E3295"/>
    <w:rsid w:val="008E55EA"/>
    <w:rsid w:val="008E5926"/>
    <w:rsid w:val="008E75C5"/>
    <w:rsid w:val="008E7887"/>
    <w:rsid w:val="008E7E6E"/>
    <w:rsid w:val="008F1194"/>
    <w:rsid w:val="008F1884"/>
    <w:rsid w:val="008F237A"/>
    <w:rsid w:val="008F2796"/>
    <w:rsid w:val="008F34D3"/>
    <w:rsid w:val="008F6A2F"/>
    <w:rsid w:val="008F6B5E"/>
    <w:rsid w:val="008F755E"/>
    <w:rsid w:val="008F79D0"/>
    <w:rsid w:val="009008B1"/>
    <w:rsid w:val="00902015"/>
    <w:rsid w:val="00903531"/>
    <w:rsid w:val="00904A65"/>
    <w:rsid w:val="00905793"/>
    <w:rsid w:val="00907263"/>
    <w:rsid w:val="009123F6"/>
    <w:rsid w:val="00913A85"/>
    <w:rsid w:val="00913E2A"/>
    <w:rsid w:val="0091468D"/>
    <w:rsid w:val="0091475E"/>
    <w:rsid w:val="009163B6"/>
    <w:rsid w:val="00916B61"/>
    <w:rsid w:val="00917ED2"/>
    <w:rsid w:val="00917F42"/>
    <w:rsid w:val="009205E3"/>
    <w:rsid w:val="009217A9"/>
    <w:rsid w:val="00922F29"/>
    <w:rsid w:val="009231E6"/>
    <w:rsid w:val="00924926"/>
    <w:rsid w:val="00924ED9"/>
    <w:rsid w:val="009277E9"/>
    <w:rsid w:val="0093042C"/>
    <w:rsid w:val="00931316"/>
    <w:rsid w:val="00933086"/>
    <w:rsid w:val="00934A0F"/>
    <w:rsid w:val="00935CA2"/>
    <w:rsid w:val="00937ED6"/>
    <w:rsid w:val="009406E7"/>
    <w:rsid w:val="00940B04"/>
    <w:rsid w:val="00944AB3"/>
    <w:rsid w:val="009465F6"/>
    <w:rsid w:val="009469A2"/>
    <w:rsid w:val="00950141"/>
    <w:rsid w:val="00950FC7"/>
    <w:rsid w:val="00951D07"/>
    <w:rsid w:val="00953FB3"/>
    <w:rsid w:val="0095455D"/>
    <w:rsid w:val="0095482D"/>
    <w:rsid w:val="009563AA"/>
    <w:rsid w:val="009623A4"/>
    <w:rsid w:val="00963229"/>
    <w:rsid w:val="0096515A"/>
    <w:rsid w:val="00965C79"/>
    <w:rsid w:val="00966601"/>
    <w:rsid w:val="00967094"/>
    <w:rsid w:val="00970079"/>
    <w:rsid w:val="009700A9"/>
    <w:rsid w:val="00970A79"/>
    <w:rsid w:val="00973C9C"/>
    <w:rsid w:val="009752BD"/>
    <w:rsid w:val="009758CF"/>
    <w:rsid w:val="0098672A"/>
    <w:rsid w:val="00990141"/>
    <w:rsid w:val="00990D6F"/>
    <w:rsid w:val="0099157D"/>
    <w:rsid w:val="00993A67"/>
    <w:rsid w:val="00994D7F"/>
    <w:rsid w:val="009962A0"/>
    <w:rsid w:val="0099644E"/>
    <w:rsid w:val="00996F8C"/>
    <w:rsid w:val="009A0627"/>
    <w:rsid w:val="009A0875"/>
    <w:rsid w:val="009A24C3"/>
    <w:rsid w:val="009A44CB"/>
    <w:rsid w:val="009A454D"/>
    <w:rsid w:val="009A472B"/>
    <w:rsid w:val="009A5C14"/>
    <w:rsid w:val="009A7763"/>
    <w:rsid w:val="009A7A9E"/>
    <w:rsid w:val="009A7B95"/>
    <w:rsid w:val="009B05E8"/>
    <w:rsid w:val="009B05F1"/>
    <w:rsid w:val="009B126C"/>
    <w:rsid w:val="009B1A69"/>
    <w:rsid w:val="009B2CF2"/>
    <w:rsid w:val="009B45E7"/>
    <w:rsid w:val="009B493A"/>
    <w:rsid w:val="009B4DE3"/>
    <w:rsid w:val="009B62CB"/>
    <w:rsid w:val="009B6612"/>
    <w:rsid w:val="009B6A55"/>
    <w:rsid w:val="009C158C"/>
    <w:rsid w:val="009C196E"/>
    <w:rsid w:val="009C3B52"/>
    <w:rsid w:val="009C4A6F"/>
    <w:rsid w:val="009C55F9"/>
    <w:rsid w:val="009C6025"/>
    <w:rsid w:val="009D161B"/>
    <w:rsid w:val="009D18A0"/>
    <w:rsid w:val="009D1EF0"/>
    <w:rsid w:val="009D478F"/>
    <w:rsid w:val="009D479C"/>
    <w:rsid w:val="009D5125"/>
    <w:rsid w:val="009D705F"/>
    <w:rsid w:val="009D7772"/>
    <w:rsid w:val="009D7E79"/>
    <w:rsid w:val="009E0B76"/>
    <w:rsid w:val="009E1143"/>
    <w:rsid w:val="009E2925"/>
    <w:rsid w:val="009E409E"/>
    <w:rsid w:val="009E63C4"/>
    <w:rsid w:val="009E7131"/>
    <w:rsid w:val="009F0065"/>
    <w:rsid w:val="009F0651"/>
    <w:rsid w:val="009F0908"/>
    <w:rsid w:val="009F0DCA"/>
    <w:rsid w:val="009F1BCB"/>
    <w:rsid w:val="009F2488"/>
    <w:rsid w:val="009F3650"/>
    <w:rsid w:val="009F6E81"/>
    <w:rsid w:val="009F7321"/>
    <w:rsid w:val="00A00194"/>
    <w:rsid w:val="00A001C6"/>
    <w:rsid w:val="00A00244"/>
    <w:rsid w:val="00A02BF2"/>
    <w:rsid w:val="00A031F9"/>
    <w:rsid w:val="00A05A0B"/>
    <w:rsid w:val="00A05E0C"/>
    <w:rsid w:val="00A12FE6"/>
    <w:rsid w:val="00A14944"/>
    <w:rsid w:val="00A2017E"/>
    <w:rsid w:val="00A2337E"/>
    <w:rsid w:val="00A24A28"/>
    <w:rsid w:val="00A24FA6"/>
    <w:rsid w:val="00A2547A"/>
    <w:rsid w:val="00A261BA"/>
    <w:rsid w:val="00A26D65"/>
    <w:rsid w:val="00A37578"/>
    <w:rsid w:val="00A403A8"/>
    <w:rsid w:val="00A404B2"/>
    <w:rsid w:val="00A406D2"/>
    <w:rsid w:val="00A41901"/>
    <w:rsid w:val="00A428F3"/>
    <w:rsid w:val="00A44630"/>
    <w:rsid w:val="00A446D4"/>
    <w:rsid w:val="00A4582E"/>
    <w:rsid w:val="00A466C5"/>
    <w:rsid w:val="00A472C5"/>
    <w:rsid w:val="00A50CD1"/>
    <w:rsid w:val="00A513F1"/>
    <w:rsid w:val="00A528CC"/>
    <w:rsid w:val="00A52EF0"/>
    <w:rsid w:val="00A5472F"/>
    <w:rsid w:val="00A54C4F"/>
    <w:rsid w:val="00A560DE"/>
    <w:rsid w:val="00A565E9"/>
    <w:rsid w:val="00A56F02"/>
    <w:rsid w:val="00A57FD5"/>
    <w:rsid w:val="00A61B87"/>
    <w:rsid w:val="00A62028"/>
    <w:rsid w:val="00A6320B"/>
    <w:rsid w:val="00A640E4"/>
    <w:rsid w:val="00A6444C"/>
    <w:rsid w:val="00A64491"/>
    <w:rsid w:val="00A66DA4"/>
    <w:rsid w:val="00A7441C"/>
    <w:rsid w:val="00A75036"/>
    <w:rsid w:val="00A7606A"/>
    <w:rsid w:val="00A7702A"/>
    <w:rsid w:val="00A80332"/>
    <w:rsid w:val="00A80D18"/>
    <w:rsid w:val="00A82F73"/>
    <w:rsid w:val="00A84413"/>
    <w:rsid w:val="00A85069"/>
    <w:rsid w:val="00A851D3"/>
    <w:rsid w:val="00A85C99"/>
    <w:rsid w:val="00A86059"/>
    <w:rsid w:val="00A8682A"/>
    <w:rsid w:val="00A877EA"/>
    <w:rsid w:val="00A90434"/>
    <w:rsid w:val="00A90848"/>
    <w:rsid w:val="00A90D5D"/>
    <w:rsid w:val="00A919A8"/>
    <w:rsid w:val="00A94817"/>
    <w:rsid w:val="00A95E04"/>
    <w:rsid w:val="00A9702D"/>
    <w:rsid w:val="00AA084D"/>
    <w:rsid w:val="00AA09CE"/>
    <w:rsid w:val="00AA109A"/>
    <w:rsid w:val="00AA184D"/>
    <w:rsid w:val="00AA21D4"/>
    <w:rsid w:val="00AA3ADF"/>
    <w:rsid w:val="00AA4945"/>
    <w:rsid w:val="00AA4F18"/>
    <w:rsid w:val="00AA7490"/>
    <w:rsid w:val="00AA7EB9"/>
    <w:rsid w:val="00AB0321"/>
    <w:rsid w:val="00AB21EA"/>
    <w:rsid w:val="00AB29DA"/>
    <w:rsid w:val="00AB2D5C"/>
    <w:rsid w:val="00AB3BFD"/>
    <w:rsid w:val="00AB51C0"/>
    <w:rsid w:val="00AB538D"/>
    <w:rsid w:val="00AB70F7"/>
    <w:rsid w:val="00AB7AD4"/>
    <w:rsid w:val="00AC12F5"/>
    <w:rsid w:val="00AC1749"/>
    <w:rsid w:val="00AC2A9D"/>
    <w:rsid w:val="00AC56CE"/>
    <w:rsid w:val="00AC59CF"/>
    <w:rsid w:val="00AC604F"/>
    <w:rsid w:val="00AC71B2"/>
    <w:rsid w:val="00AD2F15"/>
    <w:rsid w:val="00AD34FD"/>
    <w:rsid w:val="00AD4224"/>
    <w:rsid w:val="00AD4E75"/>
    <w:rsid w:val="00AD6DC7"/>
    <w:rsid w:val="00AD74C8"/>
    <w:rsid w:val="00AD757C"/>
    <w:rsid w:val="00AE3181"/>
    <w:rsid w:val="00AE357C"/>
    <w:rsid w:val="00AE6795"/>
    <w:rsid w:val="00AE6ED6"/>
    <w:rsid w:val="00AE7EDF"/>
    <w:rsid w:val="00AF07F9"/>
    <w:rsid w:val="00AF165B"/>
    <w:rsid w:val="00AF16C9"/>
    <w:rsid w:val="00AF3257"/>
    <w:rsid w:val="00AF4186"/>
    <w:rsid w:val="00B01969"/>
    <w:rsid w:val="00B04BED"/>
    <w:rsid w:val="00B06EDD"/>
    <w:rsid w:val="00B10470"/>
    <w:rsid w:val="00B10AEC"/>
    <w:rsid w:val="00B12515"/>
    <w:rsid w:val="00B1367C"/>
    <w:rsid w:val="00B16963"/>
    <w:rsid w:val="00B2044E"/>
    <w:rsid w:val="00B234B3"/>
    <w:rsid w:val="00B24FA2"/>
    <w:rsid w:val="00B27D31"/>
    <w:rsid w:val="00B30BB7"/>
    <w:rsid w:val="00B3130A"/>
    <w:rsid w:val="00B320FF"/>
    <w:rsid w:val="00B32B9E"/>
    <w:rsid w:val="00B32FB1"/>
    <w:rsid w:val="00B3348F"/>
    <w:rsid w:val="00B35AFE"/>
    <w:rsid w:val="00B40329"/>
    <w:rsid w:val="00B40B8D"/>
    <w:rsid w:val="00B4103B"/>
    <w:rsid w:val="00B432A2"/>
    <w:rsid w:val="00B45440"/>
    <w:rsid w:val="00B53BE1"/>
    <w:rsid w:val="00B5466A"/>
    <w:rsid w:val="00B546E5"/>
    <w:rsid w:val="00B54E07"/>
    <w:rsid w:val="00B565C8"/>
    <w:rsid w:val="00B56E68"/>
    <w:rsid w:val="00B575ED"/>
    <w:rsid w:val="00B57F78"/>
    <w:rsid w:val="00B62F9E"/>
    <w:rsid w:val="00B6326B"/>
    <w:rsid w:val="00B66F7A"/>
    <w:rsid w:val="00B67ED0"/>
    <w:rsid w:val="00B70E53"/>
    <w:rsid w:val="00B71451"/>
    <w:rsid w:val="00B74278"/>
    <w:rsid w:val="00B74705"/>
    <w:rsid w:val="00B74730"/>
    <w:rsid w:val="00B75149"/>
    <w:rsid w:val="00B803D6"/>
    <w:rsid w:val="00B83257"/>
    <w:rsid w:val="00B903E3"/>
    <w:rsid w:val="00B911C2"/>
    <w:rsid w:val="00B91DF8"/>
    <w:rsid w:val="00B93396"/>
    <w:rsid w:val="00B95300"/>
    <w:rsid w:val="00B9543E"/>
    <w:rsid w:val="00B9594C"/>
    <w:rsid w:val="00B96F03"/>
    <w:rsid w:val="00B9734C"/>
    <w:rsid w:val="00BA0B05"/>
    <w:rsid w:val="00BA1C6F"/>
    <w:rsid w:val="00BA314C"/>
    <w:rsid w:val="00BA6C1F"/>
    <w:rsid w:val="00BA6D21"/>
    <w:rsid w:val="00BB1E94"/>
    <w:rsid w:val="00BB57F4"/>
    <w:rsid w:val="00BB64DA"/>
    <w:rsid w:val="00BB7712"/>
    <w:rsid w:val="00BC177D"/>
    <w:rsid w:val="00BC1A41"/>
    <w:rsid w:val="00BC2114"/>
    <w:rsid w:val="00BC2908"/>
    <w:rsid w:val="00BC3FC3"/>
    <w:rsid w:val="00BC5224"/>
    <w:rsid w:val="00BC6BAB"/>
    <w:rsid w:val="00BC6FDF"/>
    <w:rsid w:val="00BC7AE4"/>
    <w:rsid w:val="00BC7D79"/>
    <w:rsid w:val="00BD02DD"/>
    <w:rsid w:val="00BD09E2"/>
    <w:rsid w:val="00BD4A4B"/>
    <w:rsid w:val="00BD4C27"/>
    <w:rsid w:val="00BD626E"/>
    <w:rsid w:val="00BD6E92"/>
    <w:rsid w:val="00BE05BB"/>
    <w:rsid w:val="00BE0CF7"/>
    <w:rsid w:val="00BE0F25"/>
    <w:rsid w:val="00BE207E"/>
    <w:rsid w:val="00BE274E"/>
    <w:rsid w:val="00BE336C"/>
    <w:rsid w:val="00BE4D2C"/>
    <w:rsid w:val="00BE5519"/>
    <w:rsid w:val="00BE7988"/>
    <w:rsid w:val="00BE7F6B"/>
    <w:rsid w:val="00BF0382"/>
    <w:rsid w:val="00BF082E"/>
    <w:rsid w:val="00BF0FC4"/>
    <w:rsid w:val="00BF1E0A"/>
    <w:rsid w:val="00BF27E9"/>
    <w:rsid w:val="00BF6F76"/>
    <w:rsid w:val="00C02978"/>
    <w:rsid w:val="00C034A9"/>
    <w:rsid w:val="00C03859"/>
    <w:rsid w:val="00C03DBF"/>
    <w:rsid w:val="00C04FA0"/>
    <w:rsid w:val="00C05E01"/>
    <w:rsid w:val="00C05E42"/>
    <w:rsid w:val="00C06075"/>
    <w:rsid w:val="00C063F1"/>
    <w:rsid w:val="00C078BD"/>
    <w:rsid w:val="00C13805"/>
    <w:rsid w:val="00C15CA6"/>
    <w:rsid w:val="00C16807"/>
    <w:rsid w:val="00C2025F"/>
    <w:rsid w:val="00C214FA"/>
    <w:rsid w:val="00C2167D"/>
    <w:rsid w:val="00C21BCC"/>
    <w:rsid w:val="00C228FA"/>
    <w:rsid w:val="00C23C07"/>
    <w:rsid w:val="00C2403A"/>
    <w:rsid w:val="00C24CC2"/>
    <w:rsid w:val="00C266D3"/>
    <w:rsid w:val="00C266DA"/>
    <w:rsid w:val="00C26FE9"/>
    <w:rsid w:val="00C27BD3"/>
    <w:rsid w:val="00C27D03"/>
    <w:rsid w:val="00C31095"/>
    <w:rsid w:val="00C31607"/>
    <w:rsid w:val="00C32321"/>
    <w:rsid w:val="00C32332"/>
    <w:rsid w:val="00C349F0"/>
    <w:rsid w:val="00C34A1E"/>
    <w:rsid w:val="00C3720B"/>
    <w:rsid w:val="00C41423"/>
    <w:rsid w:val="00C43335"/>
    <w:rsid w:val="00C4334F"/>
    <w:rsid w:val="00C43E9F"/>
    <w:rsid w:val="00C4434A"/>
    <w:rsid w:val="00C44974"/>
    <w:rsid w:val="00C44E9E"/>
    <w:rsid w:val="00C46098"/>
    <w:rsid w:val="00C46439"/>
    <w:rsid w:val="00C46B32"/>
    <w:rsid w:val="00C47A26"/>
    <w:rsid w:val="00C50E1F"/>
    <w:rsid w:val="00C516EC"/>
    <w:rsid w:val="00C53DC9"/>
    <w:rsid w:val="00C571A9"/>
    <w:rsid w:val="00C57A73"/>
    <w:rsid w:val="00C615A7"/>
    <w:rsid w:val="00C616BF"/>
    <w:rsid w:val="00C62C5D"/>
    <w:rsid w:val="00C64873"/>
    <w:rsid w:val="00C65A0A"/>
    <w:rsid w:val="00C66628"/>
    <w:rsid w:val="00C71BA5"/>
    <w:rsid w:val="00C73961"/>
    <w:rsid w:val="00C7422F"/>
    <w:rsid w:val="00C751BF"/>
    <w:rsid w:val="00C7651A"/>
    <w:rsid w:val="00C77280"/>
    <w:rsid w:val="00C812AA"/>
    <w:rsid w:val="00C81AD1"/>
    <w:rsid w:val="00C83111"/>
    <w:rsid w:val="00C84265"/>
    <w:rsid w:val="00C84ED5"/>
    <w:rsid w:val="00C9070B"/>
    <w:rsid w:val="00C94791"/>
    <w:rsid w:val="00C96465"/>
    <w:rsid w:val="00C96D0A"/>
    <w:rsid w:val="00CA001B"/>
    <w:rsid w:val="00CA01AD"/>
    <w:rsid w:val="00CA1A52"/>
    <w:rsid w:val="00CA2625"/>
    <w:rsid w:val="00CA3024"/>
    <w:rsid w:val="00CA3524"/>
    <w:rsid w:val="00CA3E46"/>
    <w:rsid w:val="00CA5475"/>
    <w:rsid w:val="00CA6FE3"/>
    <w:rsid w:val="00CB0E61"/>
    <w:rsid w:val="00CB19DA"/>
    <w:rsid w:val="00CB1BF5"/>
    <w:rsid w:val="00CB3AF4"/>
    <w:rsid w:val="00CB3F45"/>
    <w:rsid w:val="00CB40A0"/>
    <w:rsid w:val="00CB44F6"/>
    <w:rsid w:val="00CB51FF"/>
    <w:rsid w:val="00CB7F06"/>
    <w:rsid w:val="00CC0334"/>
    <w:rsid w:val="00CC1692"/>
    <w:rsid w:val="00CC1B8B"/>
    <w:rsid w:val="00CC1DF5"/>
    <w:rsid w:val="00CC3A59"/>
    <w:rsid w:val="00CC4253"/>
    <w:rsid w:val="00CC4804"/>
    <w:rsid w:val="00CC5133"/>
    <w:rsid w:val="00CC59AB"/>
    <w:rsid w:val="00CC5F27"/>
    <w:rsid w:val="00CC63FE"/>
    <w:rsid w:val="00CC7437"/>
    <w:rsid w:val="00CD1841"/>
    <w:rsid w:val="00CD20E1"/>
    <w:rsid w:val="00CD3BBB"/>
    <w:rsid w:val="00CD3C54"/>
    <w:rsid w:val="00CD492D"/>
    <w:rsid w:val="00CE3521"/>
    <w:rsid w:val="00CE3BC2"/>
    <w:rsid w:val="00CE5723"/>
    <w:rsid w:val="00CE6ED8"/>
    <w:rsid w:val="00CE74C3"/>
    <w:rsid w:val="00CF1168"/>
    <w:rsid w:val="00CF1C88"/>
    <w:rsid w:val="00CF3FC7"/>
    <w:rsid w:val="00CF4841"/>
    <w:rsid w:val="00CF5493"/>
    <w:rsid w:val="00CF67D8"/>
    <w:rsid w:val="00CF694E"/>
    <w:rsid w:val="00CF6BF4"/>
    <w:rsid w:val="00CF7DE9"/>
    <w:rsid w:val="00D01398"/>
    <w:rsid w:val="00D0189D"/>
    <w:rsid w:val="00D04528"/>
    <w:rsid w:val="00D050BA"/>
    <w:rsid w:val="00D05E32"/>
    <w:rsid w:val="00D06FC6"/>
    <w:rsid w:val="00D106A3"/>
    <w:rsid w:val="00D11CE7"/>
    <w:rsid w:val="00D12281"/>
    <w:rsid w:val="00D14D03"/>
    <w:rsid w:val="00D174F0"/>
    <w:rsid w:val="00D17707"/>
    <w:rsid w:val="00D26B1B"/>
    <w:rsid w:val="00D2713F"/>
    <w:rsid w:val="00D2772F"/>
    <w:rsid w:val="00D3079F"/>
    <w:rsid w:val="00D30C5E"/>
    <w:rsid w:val="00D3100A"/>
    <w:rsid w:val="00D312EB"/>
    <w:rsid w:val="00D3348F"/>
    <w:rsid w:val="00D3413F"/>
    <w:rsid w:val="00D3483B"/>
    <w:rsid w:val="00D3497A"/>
    <w:rsid w:val="00D373B0"/>
    <w:rsid w:val="00D40C75"/>
    <w:rsid w:val="00D40F22"/>
    <w:rsid w:val="00D4142C"/>
    <w:rsid w:val="00D4229B"/>
    <w:rsid w:val="00D42F0B"/>
    <w:rsid w:val="00D45C32"/>
    <w:rsid w:val="00D462AD"/>
    <w:rsid w:val="00D46FF7"/>
    <w:rsid w:val="00D47AD5"/>
    <w:rsid w:val="00D47D4C"/>
    <w:rsid w:val="00D518C3"/>
    <w:rsid w:val="00D51C09"/>
    <w:rsid w:val="00D532C6"/>
    <w:rsid w:val="00D5426B"/>
    <w:rsid w:val="00D5599A"/>
    <w:rsid w:val="00D55B21"/>
    <w:rsid w:val="00D569AD"/>
    <w:rsid w:val="00D605E5"/>
    <w:rsid w:val="00D62A8B"/>
    <w:rsid w:val="00D71595"/>
    <w:rsid w:val="00D71B33"/>
    <w:rsid w:val="00D72158"/>
    <w:rsid w:val="00D740F4"/>
    <w:rsid w:val="00D802FD"/>
    <w:rsid w:val="00D8162D"/>
    <w:rsid w:val="00D869C5"/>
    <w:rsid w:val="00D932E1"/>
    <w:rsid w:val="00D937A6"/>
    <w:rsid w:val="00D94A5A"/>
    <w:rsid w:val="00D95166"/>
    <w:rsid w:val="00D97721"/>
    <w:rsid w:val="00DA0427"/>
    <w:rsid w:val="00DA05B7"/>
    <w:rsid w:val="00DA127D"/>
    <w:rsid w:val="00DA266F"/>
    <w:rsid w:val="00DA26A7"/>
    <w:rsid w:val="00DA2928"/>
    <w:rsid w:val="00DA30E8"/>
    <w:rsid w:val="00DA3AE2"/>
    <w:rsid w:val="00DA3B33"/>
    <w:rsid w:val="00DA42A3"/>
    <w:rsid w:val="00DA5B4D"/>
    <w:rsid w:val="00DA7075"/>
    <w:rsid w:val="00DA74A2"/>
    <w:rsid w:val="00DB121B"/>
    <w:rsid w:val="00DB6664"/>
    <w:rsid w:val="00DB73FB"/>
    <w:rsid w:val="00DB7CD4"/>
    <w:rsid w:val="00DC0DBE"/>
    <w:rsid w:val="00DC429D"/>
    <w:rsid w:val="00DC6E17"/>
    <w:rsid w:val="00DC6F8F"/>
    <w:rsid w:val="00DD26B7"/>
    <w:rsid w:val="00DD35D4"/>
    <w:rsid w:val="00DD4DCA"/>
    <w:rsid w:val="00DD5181"/>
    <w:rsid w:val="00DD5CCB"/>
    <w:rsid w:val="00DD6003"/>
    <w:rsid w:val="00DD7B1D"/>
    <w:rsid w:val="00DE1A4C"/>
    <w:rsid w:val="00DE285A"/>
    <w:rsid w:val="00DE2F3F"/>
    <w:rsid w:val="00DE4AFA"/>
    <w:rsid w:val="00DE5417"/>
    <w:rsid w:val="00DE5630"/>
    <w:rsid w:val="00DE7227"/>
    <w:rsid w:val="00DE76FC"/>
    <w:rsid w:val="00DF3789"/>
    <w:rsid w:val="00DF3F22"/>
    <w:rsid w:val="00DF4241"/>
    <w:rsid w:val="00DF45B4"/>
    <w:rsid w:val="00DF4BAB"/>
    <w:rsid w:val="00DF5D14"/>
    <w:rsid w:val="00DF608E"/>
    <w:rsid w:val="00DF6CC5"/>
    <w:rsid w:val="00DF6DEE"/>
    <w:rsid w:val="00DF6FF1"/>
    <w:rsid w:val="00DF76E0"/>
    <w:rsid w:val="00E0139A"/>
    <w:rsid w:val="00E015A9"/>
    <w:rsid w:val="00E02883"/>
    <w:rsid w:val="00E04029"/>
    <w:rsid w:val="00E04242"/>
    <w:rsid w:val="00E10861"/>
    <w:rsid w:val="00E120BC"/>
    <w:rsid w:val="00E1376C"/>
    <w:rsid w:val="00E15635"/>
    <w:rsid w:val="00E16BEE"/>
    <w:rsid w:val="00E21B02"/>
    <w:rsid w:val="00E23869"/>
    <w:rsid w:val="00E26156"/>
    <w:rsid w:val="00E27323"/>
    <w:rsid w:val="00E3099D"/>
    <w:rsid w:val="00E333FB"/>
    <w:rsid w:val="00E3345C"/>
    <w:rsid w:val="00E36150"/>
    <w:rsid w:val="00E36F7B"/>
    <w:rsid w:val="00E40778"/>
    <w:rsid w:val="00E41FE9"/>
    <w:rsid w:val="00E4501A"/>
    <w:rsid w:val="00E4586E"/>
    <w:rsid w:val="00E45DE5"/>
    <w:rsid w:val="00E45DEB"/>
    <w:rsid w:val="00E464B9"/>
    <w:rsid w:val="00E469E8"/>
    <w:rsid w:val="00E46BFA"/>
    <w:rsid w:val="00E47194"/>
    <w:rsid w:val="00E477BE"/>
    <w:rsid w:val="00E47B62"/>
    <w:rsid w:val="00E51517"/>
    <w:rsid w:val="00E51F74"/>
    <w:rsid w:val="00E5403A"/>
    <w:rsid w:val="00E54533"/>
    <w:rsid w:val="00E55868"/>
    <w:rsid w:val="00E60C14"/>
    <w:rsid w:val="00E61815"/>
    <w:rsid w:val="00E63C50"/>
    <w:rsid w:val="00E653EB"/>
    <w:rsid w:val="00E65D86"/>
    <w:rsid w:val="00E66967"/>
    <w:rsid w:val="00E67E1C"/>
    <w:rsid w:val="00E70E2A"/>
    <w:rsid w:val="00E72C1A"/>
    <w:rsid w:val="00E745C5"/>
    <w:rsid w:val="00E74BBE"/>
    <w:rsid w:val="00E75451"/>
    <w:rsid w:val="00E763CD"/>
    <w:rsid w:val="00E76A0F"/>
    <w:rsid w:val="00E7711B"/>
    <w:rsid w:val="00E807D4"/>
    <w:rsid w:val="00E8114F"/>
    <w:rsid w:val="00E828F9"/>
    <w:rsid w:val="00E82B64"/>
    <w:rsid w:val="00E83E08"/>
    <w:rsid w:val="00E850A3"/>
    <w:rsid w:val="00E8528B"/>
    <w:rsid w:val="00E86A15"/>
    <w:rsid w:val="00E87034"/>
    <w:rsid w:val="00E90733"/>
    <w:rsid w:val="00E90F26"/>
    <w:rsid w:val="00E931A2"/>
    <w:rsid w:val="00E93D9A"/>
    <w:rsid w:val="00E96340"/>
    <w:rsid w:val="00EA38D5"/>
    <w:rsid w:val="00EA4363"/>
    <w:rsid w:val="00EA5409"/>
    <w:rsid w:val="00EA5F10"/>
    <w:rsid w:val="00EA5F30"/>
    <w:rsid w:val="00EA6EA0"/>
    <w:rsid w:val="00EA6F59"/>
    <w:rsid w:val="00EA789A"/>
    <w:rsid w:val="00EA7F85"/>
    <w:rsid w:val="00EB219C"/>
    <w:rsid w:val="00EB321E"/>
    <w:rsid w:val="00EB62A2"/>
    <w:rsid w:val="00EB64FC"/>
    <w:rsid w:val="00EB7B3E"/>
    <w:rsid w:val="00EC0FC7"/>
    <w:rsid w:val="00EC3466"/>
    <w:rsid w:val="00EC37C6"/>
    <w:rsid w:val="00EC3CEA"/>
    <w:rsid w:val="00EC744B"/>
    <w:rsid w:val="00EC778D"/>
    <w:rsid w:val="00EC7B5A"/>
    <w:rsid w:val="00ED0894"/>
    <w:rsid w:val="00ED1573"/>
    <w:rsid w:val="00ED1966"/>
    <w:rsid w:val="00ED419B"/>
    <w:rsid w:val="00ED4DA5"/>
    <w:rsid w:val="00ED5AAA"/>
    <w:rsid w:val="00ED5AF3"/>
    <w:rsid w:val="00ED6E55"/>
    <w:rsid w:val="00ED71E9"/>
    <w:rsid w:val="00ED7419"/>
    <w:rsid w:val="00EE050F"/>
    <w:rsid w:val="00EE067F"/>
    <w:rsid w:val="00EE081A"/>
    <w:rsid w:val="00EE1EB5"/>
    <w:rsid w:val="00EE243B"/>
    <w:rsid w:val="00EE2FB7"/>
    <w:rsid w:val="00EE60DB"/>
    <w:rsid w:val="00EE7E38"/>
    <w:rsid w:val="00EE7EEA"/>
    <w:rsid w:val="00EF1D7E"/>
    <w:rsid w:val="00EF2D5D"/>
    <w:rsid w:val="00EF39FC"/>
    <w:rsid w:val="00EF449C"/>
    <w:rsid w:val="00EF4CEE"/>
    <w:rsid w:val="00EF5638"/>
    <w:rsid w:val="00EF6801"/>
    <w:rsid w:val="00EF7F09"/>
    <w:rsid w:val="00F016CA"/>
    <w:rsid w:val="00F01E4F"/>
    <w:rsid w:val="00F04143"/>
    <w:rsid w:val="00F0482C"/>
    <w:rsid w:val="00F0740D"/>
    <w:rsid w:val="00F07750"/>
    <w:rsid w:val="00F07780"/>
    <w:rsid w:val="00F106C0"/>
    <w:rsid w:val="00F10988"/>
    <w:rsid w:val="00F10A86"/>
    <w:rsid w:val="00F12149"/>
    <w:rsid w:val="00F13587"/>
    <w:rsid w:val="00F16387"/>
    <w:rsid w:val="00F203C7"/>
    <w:rsid w:val="00F210E0"/>
    <w:rsid w:val="00F21646"/>
    <w:rsid w:val="00F21917"/>
    <w:rsid w:val="00F27A4B"/>
    <w:rsid w:val="00F27BB1"/>
    <w:rsid w:val="00F31BEE"/>
    <w:rsid w:val="00F32B0E"/>
    <w:rsid w:val="00F33DC4"/>
    <w:rsid w:val="00F35946"/>
    <w:rsid w:val="00F359C0"/>
    <w:rsid w:val="00F37DBE"/>
    <w:rsid w:val="00F421EA"/>
    <w:rsid w:val="00F430AC"/>
    <w:rsid w:val="00F462D5"/>
    <w:rsid w:val="00F46975"/>
    <w:rsid w:val="00F477B9"/>
    <w:rsid w:val="00F51502"/>
    <w:rsid w:val="00F53604"/>
    <w:rsid w:val="00F54A39"/>
    <w:rsid w:val="00F54B2D"/>
    <w:rsid w:val="00F54BBB"/>
    <w:rsid w:val="00F55625"/>
    <w:rsid w:val="00F55FAE"/>
    <w:rsid w:val="00F60171"/>
    <w:rsid w:val="00F6086F"/>
    <w:rsid w:val="00F613FA"/>
    <w:rsid w:val="00F6631F"/>
    <w:rsid w:val="00F72112"/>
    <w:rsid w:val="00F723D6"/>
    <w:rsid w:val="00F724AB"/>
    <w:rsid w:val="00F77E87"/>
    <w:rsid w:val="00F804E3"/>
    <w:rsid w:val="00F806A9"/>
    <w:rsid w:val="00F81620"/>
    <w:rsid w:val="00F8217F"/>
    <w:rsid w:val="00F83113"/>
    <w:rsid w:val="00F83C22"/>
    <w:rsid w:val="00F84521"/>
    <w:rsid w:val="00F87451"/>
    <w:rsid w:val="00F906AB"/>
    <w:rsid w:val="00F91766"/>
    <w:rsid w:val="00F91A6E"/>
    <w:rsid w:val="00F96B7D"/>
    <w:rsid w:val="00FA0537"/>
    <w:rsid w:val="00FA25EA"/>
    <w:rsid w:val="00FA2ECA"/>
    <w:rsid w:val="00FA2FA8"/>
    <w:rsid w:val="00FA65E5"/>
    <w:rsid w:val="00FA6A63"/>
    <w:rsid w:val="00FB1348"/>
    <w:rsid w:val="00FB1EA0"/>
    <w:rsid w:val="00FB2144"/>
    <w:rsid w:val="00FB2DA4"/>
    <w:rsid w:val="00FB45C2"/>
    <w:rsid w:val="00FB5FCF"/>
    <w:rsid w:val="00FB6B51"/>
    <w:rsid w:val="00FC1E49"/>
    <w:rsid w:val="00FC2786"/>
    <w:rsid w:val="00FC36CB"/>
    <w:rsid w:val="00FC3779"/>
    <w:rsid w:val="00FC400D"/>
    <w:rsid w:val="00FC58AA"/>
    <w:rsid w:val="00FC7979"/>
    <w:rsid w:val="00FC7CE2"/>
    <w:rsid w:val="00FD1489"/>
    <w:rsid w:val="00FD15A5"/>
    <w:rsid w:val="00FD2169"/>
    <w:rsid w:val="00FD245E"/>
    <w:rsid w:val="00FD24D9"/>
    <w:rsid w:val="00FD2B4A"/>
    <w:rsid w:val="00FD43CA"/>
    <w:rsid w:val="00FD4B6C"/>
    <w:rsid w:val="00FD7C6C"/>
    <w:rsid w:val="00FE1CB9"/>
    <w:rsid w:val="00FE54A8"/>
    <w:rsid w:val="00FE6741"/>
    <w:rsid w:val="00FE6B1A"/>
    <w:rsid w:val="00FF06F9"/>
    <w:rsid w:val="00FF0FB4"/>
    <w:rsid w:val="00FF1A88"/>
    <w:rsid w:val="00FF2B2A"/>
    <w:rsid w:val="00FF2B97"/>
    <w:rsid w:val="00FF4EE6"/>
    <w:rsid w:val="00FF683E"/>
    <w:rsid w:val="027F2009"/>
    <w:rsid w:val="045565FB"/>
    <w:rsid w:val="04A652FF"/>
    <w:rsid w:val="05B86E99"/>
    <w:rsid w:val="05C24554"/>
    <w:rsid w:val="07731EDA"/>
    <w:rsid w:val="099D0555"/>
    <w:rsid w:val="0BA66D62"/>
    <w:rsid w:val="0DAF4280"/>
    <w:rsid w:val="10462666"/>
    <w:rsid w:val="10E55ACF"/>
    <w:rsid w:val="15CF287D"/>
    <w:rsid w:val="161607F5"/>
    <w:rsid w:val="1A4E3859"/>
    <w:rsid w:val="1A682F18"/>
    <w:rsid w:val="1BF45EF1"/>
    <w:rsid w:val="1CD77CF3"/>
    <w:rsid w:val="1E370F59"/>
    <w:rsid w:val="21EF6081"/>
    <w:rsid w:val="2A3744FF"/>
    <w:rsid w:val="2BC035CC"/>
    <w:rsid w:val="2E3A68D3"/>
    <w:rsid w:val="2EB879E5"/>
    <w:rsid w:val="2F4C7247"/>
    <w:rsid w:val="2FC73FD7"/>
    <w:rsid w:val="2FD10999"/>
    <w:rsid w:val="32690DD7"/>
    <w:rsid w:val="32C82642"/>
    <w:rsid w:val="34622BDD"/>
    <w:rsid w:val="34EC5AF9"/>
    <w:rsid w:val="39E8758E"/>
    <w:rsid w:val="3ABF7DB8"/>
    <w:rsid w:val="3B0B130E"/>
    <w:rsid w:val="3B6C5966"/>
    <w:rsid w:val="3E5206FE"/>
    <w:rsid w:val="3F8225F3"/>
    <w:rsid w:val="45EB52C6"/>
    <w:rsid w:val="482B6C56"/>
    <w:rsid w:val="49AE47A5"/>
    <w:rsid w:val="4AC35087"/>
    <w:rsid w:val="4B43165C"/>
    <w:rsid w:val="4C194B78"/>
    <w:rsid w:val="4DE250C0"/>
    <w:rsid w:val="4F40507F"/>
    <w:rsid w:val="51C95C5F"/>
    <w:rsid w:val="52020F9B"/>
    <w:rsid w:val="527D382B"/>
    <w:rsid w:val="54BC1155"/>
    <w:rsid w:val="55170CA3"/>
    <w:rsid w:val="554B526C"/>
    <w:rsid w:val="5D0143FE"/>
    <w:rsid w:val="5F3F314C"/>
    <w:rsid w:val="629B7BA9"/>
    <w:rsid w:val="639B4440"/>
    <w:rsid w:val="63CD2A95"/>
    <w:rsid w:val="64BB56D1"/>
    <w:rsid w:val="697A02E4"/>
    <w:rsid w:val="69C04ABB"/>
    <w:rsid w:val="6ACE4D37"/>
    <w:rsid w:val="6DA25949"/>
    <w:rsid w:val="6FBE2CF9"/>
    <w:rsid w:val="6FF36009"/>
    <w:rsid w:val="70CD39E7"/>
    <w:rsid w:val="7396760B"/>
    <w:rsid w:val="74966354"/>
    <w:rsid w:val="76816DDF"/>
    <w:rsid w:val="77667C2A"/>
    <w:rsid w:val="794F4865"/>
    <w:rsid w:val="7B0A6242"/>
    <w:rsid w:val="7B4D1255"/>
    <w:rsid w:val="7EDA59E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9" w:semiHidden="0" w:name="heading 2"/>
    <w:lsdException w:qFormat="1" w:unhideWhenUsed="0" w:uiPriority="1"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72"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19"/>
    <w:qFormat/>
    <w:uiPriority w:val="1"/>
    <w:pPr>
      <w:autoSpaceDE w:val="0"/>
      <w:autoSpaceDN w:val="0"/>
      <w:adjustRightInd w:val="0"/>
      <w:spacing w:before="17"/>
      <w:ind w:left="1144"/>
      <w:jc w:val="left"/>
      <w:outlineLvl w:val="0"/>
    </w:pPr>
    <w:rPr>
      <w:rFonts w:ascii="黑体" w:hAnsi="Times New Roman" w:eastAsia="黑体"/>
      <w:b/>
      <w:bCs/>
      <w:kern w:val="0"/>
      <w:sz w:val="36"/>
      <w:szCs w:val="36"/>
    </w:rPr>
  </w:style>
  <w:style w:type="paragraph" w:styleId="4">
    <w:name w:val="heading 2"/>
    <w:basedOn w:val="1"/>
    <w:next w:val="1"/>
    <w:link w:val="20"/>
    <w:qFormat/>
    <w:uiPriority w:val="9"/>
    <w:pPr>
      <w:keepNext/>
      <w:keepLines/>
      <w:spacing w:before="260" w:after="260" w:line="416" w:lineRule="auto"/>
      <w:outlineLvl w:val="1"/>
    </w:pPr>
    <w:rPr>
      <w:rFonts w:ascii="Cambria" w:hAnsi="Cambria"/>
      <w:b/>
      <w:bCs/>
      <w:kern w:val="0"/>
      <w:sz w:val="32"/>
      <w:szCs w:val="32"/>
    </w:rPr>
  </w:style>
  <w:style w:type="paragraph" w:styleId="5">
    <w:name w:val="heading 3"/>
    <w:basedOn w:val="1"/>
    <w:next w:val="1"/>
    <w:link w:val="21"/>
    <w:qFormat/>
    <w:uiPriority w:val="1"/>
    <w:pPr>
      <w:autoSpaceDE w:val="0"/>
      <w:autoSpaceDN w:val="0"/>
      <w:adjustRightInd w:val="0"/>
      <w:spacing w:before="34"/>
      <w:ind w:left="120"/>
      <w:jc w:val="left"/>
      <w:outlineLvl w:val="2"/>
    </w:pPr>
    <w:rPr>
      <w:rFonts w:ascii="宋体" w:hAnsi="Times New Roman"/>
      <w:b/>
      <w:bCs/>
      <w:kern w:val="0"/>
      <w:sz w:val="20"/>
      <w:szCs w:val="21"/>
    </w:rPr>
  </w:style>
  <w:style w:type="character" w:default="1" w:styleId="15">
    <w:name w:val="Default Paragraph Font"/>
    <w:unhideWhenUsed/>
    <w:qFormat/>
    <w:uiPriority w:val="1"/>
  </w:style>
  <w:style w:type="table" w:default="1" w:styleId="13">
    <w:name w:val="Normal Table"/>
    <w:unhideWhenUsed/>
    <w:qFormat/>
    <w:uiPriority w:val="99"/>
    <w:tblPr>
      <w:tblCellMar>
        <w:top w:w="0" w:type="dxa"/>
        <w:left w:w="108" w:type="dxa"/>
        <w:bottom w:w="0" w:type="dxa"/>
        <w:right w:w="108" w:type="dxa"/>
      </w:tblCellMar>
    </w:tblPr>
  </w:style>
  <w:style w:type="paragraph" w:styleId="2">
    <w:name w:val="Body Text"/>
    <w:basedOn w:val="1"/>
    <w:link w:val="23"/>
    <w:qFormat/>
    <w:uiPriority w:val="1"/>
    <w:pPr>
      <w:autoSpaceDE w:val="0"/>
      <w:autoSpaceDN w:val="0"/>
      <w:adjustRightInd w:val="0"/>
      <w:spacing w:before="162"/>
      <w:ind w:left="120"/>
      <w:jc w:val="left"/>
    </w:pPr>
    <w:rPr>
      <w:rFonts w:ascii="宋体" w:hAnsi="Times New Roman"/>
      <w:kern w:val="0"/>
      <w:sz w:val="20"/>
      <w:szCs w:val="21"/>
    </w:rPr>
  </w:style>
  <w:style w:type="paragraph" w:styleId="6">
    <w:name w:val="annotation text"/>
    <w:basedOn w:val="1"/>
    <w:link w:val="22"/>
    <w:unhideWhenUsed/>
    <w:qFormat/>
    <w:uiPriority w:val="99"/>
    <w:pPr>
      <w:jc w:val="left"/>
    </w:pPr>
  </w:style>
  <w:style w:type="paragraph" w:styleId="7">
    <w:name w:val="Date"/>
    <w:basedOn w:val="1"/>
    <w:next w:val="1"/>
    <w:link w:val="24"/>
    <w:unhideWhenUsed/>
    <w:qFormat/>
    <w:uiPriority w:val="99"/>
    <w:pPr>
      <w:ind w:left="100" w:leftChars="2500"/>
    </w:pPr>
  </w:style>
  <w:style w:type="paragraph" w:styleId="8">
    <w:name w:val="Balloon Text"/>
    <w:basedOn w:val="1"/>
    <w:link w:val="25"/>
    <w:unhideWhenUsed/>
    <w:qFormat/>
    <w:uiPriority w:val="99"/>
    <w:rPr>
      <w:kern w:val="0"/>
      <w:sz w:val="18"/>
      <w:szCs w:val="18"/>
    </w:rPr>
  </w:style>
  <w:style w:type="paragraph" w:styleId="9">
    <w:name w:val="footer"/>
    <w:basedOn w:val="1"/>
    <w:link w:val="26"/>
    <w:unhideWhenUsed/>
    <w:qFormat/>
    <w:uiPriority w:val="99"/>
    <w:pPr>
      <w:tabs>
        <w:tab w:val="center" w:pos="4153"/>
        <w:tab w:val="right" w:pos="8306"/>
      </w:tabs>
      <w:snapToGrid w:val="0"/>
      <w:jc w:val="left"/>
    </w:pPr>
    <w:rPr>
      <w:kern w:val="0"/>
      <w:sz w:val="18"/>
      <w:szCs w:val="18"/>
    </w:rPr>
  </w:style>
  <w:style w:type="paragraph" w:styleId="10">
    <w:name w:val="header"/>
    <w:basedOn w:val="1"/>
    <w:link w:val="27"/>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1">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2">
    <w:name w:val="annotation subject"/>
    <w:basedOn w:val="6"/>
    <w:next w:val="6"/>
    <w:link w:val="28"/>
    <w:unhideWhenUsed/>
    <w:qFormat/>
    <w:uiPriority w:val="99"/>
    <w:rPr>
      <w:b/>
      <w:bCs/>
    </w:rPr>
  </w:style>
  <w:style w:type="table" w:styleId="14">
    <w:name w:val="Table Grid"/>
    <w:basedOn w:val="1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qFormat/>
    <w:uiPriority w:val="22"/>
    <w:rPr>
      <w:b/>
      <w:bCs/>
    </w:rPr>
  </w:style>
  <w:style w:type="character" w:styleId="17">
    <w:name w:val="Hyperlink"/>
    <w:unhideWhenUsed/>
    <w:qFormat/>
    <w:uiPriority w:val="99"/>
    <w:rPr>
      <w:color w:val="0000FF"/>
      <w:u w:val="single"/>
    </w:rPr>
  </w:style>
  <w:style w:type="character" w:styleId="18">
    <w:name w:val="annotation reference"/>
    <w:unhideWhenUsed/>
    <w:qFormat/>
    <w:uiPriority w:val="99"/>
    <w:rPr>
      <w:sz w:val="21"/>
      <w:szCs w:val="21"/>
    </w:rPr>
  </w:style>
  <w:style w:type="character" w:customStyle="1" w:styleId="19">
    <w:name w:val="标题 1 Char"/>
    <w:link w:val="3"/>
    <w:qFormat/>
    <w:uiPriority w:val="1"/>
    <w:rPr>
      <w:rFonts w:ascii="黑体" w:hAnsi="Times New Roman" w:eastAsia="黑体" w:cs="黑体"/>
      <w:b/>
      <w:bCs/>
      <w:kern w:val="0"/>
      <w:sz w:val="36"/>
      <w:szCs w:val="36"/>
    </w:rPr>
  </w:style>
  <w:style w:type="character" w:customStyle="1" w:styleId="20">
    <w:name w:val="标题 2 Char"/>
    <w:link w:val="4"/>
    <w:qFormat/>
    <w:uiPriority w:val="9"/>
    <w:rPr>
      <w:rFonts w:ascii="Cambria" w:hAnsi="Cambria" w:eastAsia="宋体" w:cs="Times New Roman"/>
      <w:b/>
      <w:bCs/>
      <w:sz w:val="32"/>
      <w:szCs w:val="32"/>
    </w:rPr>
  </w:style>
  <w:style w:type="character" w:customStyle="1" w:styleId="21">
    <w:name w:val="标题 3 Char"/>
    <w:link w:val="5"/>
    <w:qFormat/>
    <w:uiPriority w:val="1"/>
    <w:rPr>
      <w:rFonts w:ascii="宋体" w:hAnsi="Times New Roman" w:eastAsia="宋体" w:cs="宋体"/>
      <w:b/>
      <w:bCs/>
      <w:kern w:val="0"/>
      <w:szCs w:val="21"/>
    </w:rPr>
  </w:style>
  <w:style w:type="character" w:customStyle="1" w:styleId="22">
    <w:name w:val="批注文字 Char"/>
    <w:link w:val="6"/>
    <w:qFormat/>
    <w:uiPriority w:val="99"/>
    <w:rPr>
      <w:kern w:val="2"/>
      <w:sz w:val="21"/>
      <w:szCs w:val="22"/>
    </w:rPr>
  </w:style>
  <w:style w:type="character" w:customStyle="1" w:styleId="23">
    <w:name w:val="正文文本 Char"/>
    <w:link w:val="2"/>
    <w:qFormat/>
    <w:uiPriority w:val="1"/>
    <w:rPr>
      <w:rFonts w:ascii="宋体" w:hAnsi="Times New Roman" w:eastAsia="宋体" w:cs="宋体"/>
      <w:kern w:val="0"/>
      <w:szCs w:val="21"/>
    </w:rPr>
  </w:style>
  <w:style w:type="character" w:customStyle="1" w:styleId="24">
    <w:name w:val="日期 Char"/>
    <w:link w:val="7"/>
    <w:semiHidden/>
    <w:qFormat/>
    <w:uiPriority w:val="99"/>
  </w:style>
  <w:style w:type="character" w:customStyle="1" w:styleId="25">
    <w:name w:val="批注框文本 Char"/>
    <w:link w:val="8"/>
    <w:semiHidden/>
    <w:qFormat/>
    <w:uiPriority w:val="99"/>
    <w:rPr>
      <w:sz w:val="18"/>
      <w:szCs w:val="18"/>
    </w:rPr>
  </w:style>
  <w:style w:type="character" w:customStyle="1" w:styleId="26">
    <w:name w:val="页脚 Char"/>
    <w:link w:val="9"/>
    <w:qFormat/>
    <w:uiPriority w:val="99"/>
    <w:rPr>
      <w:sz w:val="18"/>
      <w:szCs w:val="18"/>
    </w:rPr>
  </w:style>
  <w:style w:type="character" w:customStyle="1" w:styleId="27">
    <w:name w:val="页眉 Char"/>
    <w:link w:val="10"/>
    <w:qFormat/>
    <w:uiPriority w:val="99"/>
    <w:rPr>
      <w:sz w:val="18"/>
      <w:szCs w:val="18"/>
    </w:rPr>
  </w:style>
  <w:style w:type="character" w:customStyle="1" w:styleId="28">
    <w:name w:val="批注主题 Char"/>
    <w:link w:val="12"/>
    <w:semiHidden/>
    <w:qFormat/>
    <w:uiPriority w:val="99"/>
    <w:rPr>
      <w:b/>
      <w:bCs/>
      <w:kern w:val="2"/>
      <w:sz w:val="21"/>
      <w:szCs w:val="22"/>
    </w:rPr>
  </w:style>
  <w:style w:type="paragraph" w:customStyle="1" w:styleId="29">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paragraph" w:styleId="30">
    <w:name w:val="List Paragraph"/>
    <w:basedOn w:val="1"/>
    <w:qFormat/>
    <w:uiPriority w:val="72"/>
    <w:pPr>
      <w:ind w:firstLine="420" w:firstLineChars="200"/>
    </w:pPr>
  </w:style>
  <w:style w:type="paragraph" w:customStyle="1" w:styleId="31">
    <w:name w:val="_Style 29"/>
    <w:semiHidden/>
    <w:qFormat/>
    <w:uiPriority w:val="99"/>
    <w:rPr>
      <w:rFonts w:ascii="Calibri" w:hAnsi="Calibri" w:eastAsia="宋体" w:cs="Times New Roman"/>
      <w:kern w:val="2"/>
      <w:sz w:val="21"/>
      <w:szCs w:val="22"/>
      <w:lang w:val="en-US" w:eastAsia="zh-CN" w:bidi="ar-SA"/>
    </w:rPr>
  </w:style>
  <w:style w:type="paragraph" w:customStyle="1" w:styleId="32">
    <w:name w:val="Table Paragraph"/>
    <w:basedOn w:val="1"/>
    <w:qFormat/>
    <w:uiPriority w:val="1"/>
    <w:pPr>
      <w:autoSpaceDE w:val="0"/>
      <w:autoSpaceDN w:val="0"/>
      <w:adjustRightInd w:val="0"/>
      <w:jc w:val="left"/>
    </w:pPr>
    <w:rPr>
      <w:rFonts w:ascii="Times New Roman" w:hAnsi="Times New Roman" w:cs="Times New Roman"/>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Pages>
  <Words>310</Words>
  <Characters>339</Characters>
  <Lines>2</Lines>
  <Paragraphs>1</Paragraphs>
  <TotalTime>4</TotalTime>
  <ScaleCrop>false</ScaleCrop>
  <LinksUpToDate>false</LinksUpToDate>
  <CharactersWithSpaces>343</CharactersWithSpaces>
  <Application>WPS Office_11.8.2.11734_F1E327BC-269C-435d-A152-05C5408002CA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2021-11-25T11:20:00Z</dcterms:created>
  <dc:creator>JSYH</dc:creator>
  <cp:lastModifiedBy>lhy</cp:lastModifiedBy>
  <cp:lastPrinted>2022-06-20T06:27:00Z</cp:lastPrinted>
  <dcterms:modified xsi:type="dcterms:W3CDTF">2026-01-29T10:33:46Z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2052-11.8.2.11734</vt:lpwstr>
  </property>
  <property fmtid="{D5CDD505-2E9C-101B-9397-08002B2CF9AE}" pid="3" name="ICV">
    <vt:lpwstr>1E0DB185450F407EA6ADD1F2725EDA44</vt:lpwstr>
  </property>
</Properties>
</file>