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苏银理财恒源1年定开2013期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苏银理财恒源1年定开2013期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（2026年2月版）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苏银理财恒源1年定开2013期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苏银理财恒源1年定开2013期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Z7003121000083，</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A份额:苏银理财恒源1年定开2013期A/J210601SA301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B份额:苏银理财恒源1年定开2013期B/J02212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C份额:苏银理财恒源1年定开2013期C/J14015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D份额:苏银理财恒源1年定开2013期D/J03046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F份额:苏银理财恒源1年定开2013期F/J03047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G份额:苏银理财恒源1年定开2013期G/J03048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J份额:苏银理财恒源1年定开2013期J/J03049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R份额:苏银理财恒源1年定开2013期R/J14016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P份额:苏银理财恒源1年定开2013期P/J14017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O份额:苏银理财恒源1年定开2013期O（兰州银行开门红专属）/J14018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U份额:苏银理财恒源1年定开2013期U/J14019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Z份额:苏银理财恒源1年定开2013期Z/J14020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ZA份额:苏银理财恒源1年定开2013期ZA鑫福款（自动赎回）/J03050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ZF份额:苏银理财恒源1年定开2013期ZF（自动赎回）/J03051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ZF2份额:苏银理财恒源1年定开2013期ZF2（自动赎回）/J14386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ZN份额:苏银理财恒源1年定开2013期ZN（自动赎回）/J03743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ZC份额:苏银理财恒源1年定开2013期ZC鑫福优享（自动赎回）/J14021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ZK份额:苏银理财恒源1年定开2013期ZK鑫福尊享（自动赎回）/J14022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:20</w:t>
            </w:r>
            <w:r>
              <w:rPr>
                <w:rFonts w:hint="eastAsia" w:ascii="楷体" w:hAnsi="楷体" w:eastAsia="楷体"/>
                <w:sz w:val="18"/>
                <w:szCs w:val="18"/>
                <w:highlight w:val="none"/>
              </w:rPr>
              <w:t>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R份额: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ZF2份额: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0</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30</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5</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6</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1</w:t>
            </w:r>
            <w:r>
              <w:rPr>
                <w:rFonts w:hint="eastAsia" w:ascii="楷体" w:hAnsi="楷体" w:eastAsia="楷体" w:cs="宋体"/>
                <w:color w:val="auto"/>
                <w:spacing w:val="-2"/>
                <w:sz w:val="18"/>
                <w:szCs w:val="18"/>
                <w:lang w:eastAsia="zh-CN"/>
              </w:rPr>
              <w:t>年1</w:t>
            </w:r>
            <w:r>
              <w:rPr>
                <w:rFonts w:hint="eastAsia" w:ascii="楷体" w:hAnsi="楷体" w:eastAsia="楷体" w:cs="宋体"/>
                <w:color w:val="auto"/>
                <w:spacing w:val="-2"/>
                <w:sz w:val="18"/>
                <w:szCs w:val="18"/>
                <w:lang w:val="en-US" w:eastAsia="zh-CN"/>
              </w:rPr>
              <w:t>2</w:t>
            </w:r>
            <w:r>
              <w:rPr>
                <w:rFonts w:hint="eastAsia" w:ascii="楷体" w:hAnsi="楷体" w:eastAsia="楷体" w:cs="宋体"/>
                <w:color w:val="auto"/>
                <w:spacing w:val="-2"/>
                <w:sz w:val="18"/>
                <w:szCs w:val="18"/>
                <w:lang w:eastAsia="zh-CN"/>
              </w:rPr>
              <w:t>月</w:t>
            </w:r>
            <w:r>
              <w:rPr>
                <w:rFonts w:hint="eastAsia" w:ascii="楷体" w:hAnsi="楷体" w:eastAsia="楷体" w:cs="宋体"/>
                <w:color w:val="auto"/>
                <w:spacing w:val="-2"/>
                <w:sz w:val="18"/>
                <w:szCs w:val="18"/>
                <w:lang w:val="en-US" w:eastAsia="zh-CN"/>
              </w:rPr>
              <w:t>30</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最新投资周期（2026年2月27日-2027年3月18日）开放申购与赎回时间为：</w:t>
            </w:r>
            <w:r>
              <w:rPr>
                <w:rFonts w:hint="eastAsia" w:ascii="楷体" w:hAnsi="楷体" w:eastAsia="楷体" w:cs="宋体"/>
                <w:b/>
                <w:bCs/>
                <w:spacing w:val="-2"/>
                <w:sz w:val="18"/>
                <w:szCs w:val="18"/>
                <w:highlight w:val="none"/>
                <w:lang w:val="en-US" w:eastAsia="zh-CN"/>
              </w:rPr>
              <w:t>2026年2月11日至2026年2月26日（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2026年2月27日-2027年3月18日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b w:val="0"/>
                      <w:bCs w:val="0"/>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b w:val="0"/>
                      <w:bCs w:val="0"/>
                      <w:sz w:val="18"/>
                      <w:szCs w:val="18"/>
                      <w:lang w:val="en-US" w:eastAsia="zh-CN"/>
                    </w:rPr>
                    <w:t>2021年1月6日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b w:val="0"/>
                      <w:bCs w:val="0"/>
                      <w:sz w:val="18"/>
                      <w:szCs w:val="18"/>
                      <w:highlight w:val="none"/>
                      <w:lang w:eastAsia="zh-CN"/>
                    </w:rPr>
                    <w:t>2022年1月11日</w:t>
                  </w:r>
                </w:p>
              </w:tc>
              <w:tc>
                <w:tcPr>
                  <w:tcW w:w="2701"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jc w:val="center"/>
                    <w:textAlignment w:val="auto"/>
                    <w:rPr>
                      <w:rFonts w:hint="eastAsia" w:ascii="楷体" w:hAnsi="楷体" w:eastAsia="楷体"/>
                      <w:sz w:val="18"/>
                      <w:szCs w:val="18"/>
                      <w:lang w:val="en-US" w:eastAsia="zh-CN"/>
                    </w:rPr>
                  </w:pPr>
                  <w:r>
                    <w:rPr>
                      <w:rFonts w:hint="eastAsia" w:ascii="楷体" w:hAnsi="楷体" w:eastAsia="楷体"/>
                      <w:b w:val="0"/>
                      <w:bCs w:val="0"/>
                      <w:sz w:val="18"/>
                      <w:szCs w:val="18"/>
                      <w:lang w:val="en-US" w:eastAsia="zh-CN"/>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2022年1月12日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2023年1月17日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highlight w:val="none"/>
                      <w:lang w:eastAsia="zh-CN"/>
                    </w:rPr>
                    <w:t>2023年1月18日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eastAsia="zh-CN"/>
                    </w:rPr>
                    <w:t>2024年1月23日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A份额4.</w:t>
                  </w:r>
                  <w:r>
                    <w:rPr>
                      <w:rFonts w:hint="eastAsia" w:ascii="楷体" w:hAnsi="楷体" w:eastAsia="楷体"/>
                      <w:sz w:val="18"/>
                      <w:szCs w:val="18"/>
                      <w:lang w:val="en-US" w:eastAsia="zh-CN"/>
                    </w:rPr>
                    <w:t>1</w:t>
                  </w:r>
                  <w:r>
                    <w:rPr>
                      <w:rFonts w:hint="default" w:ascii="楷体" w:hAnsi="楷体" w:eastAsia="楷体"/>
                      <w:sz w:val="18"/>
                      <w:szCs w:val="18"/>
                      <w:lang w:val="en-US" w:eastAsia="zh-CN"/>
                    </w:rPr>
                    <w:t>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B份额4.</w:t>
                  </w:r>
                  <w:r>
                    <w:rPr>
                      <w:rFonts w:hint="eastAsia" w:ascii="楷体" w:hAnsi="楷体" w:eastAsia="楷体"/>
                      <w:sz w:val="18"/>
                      <w:szCs w:val="18"/>
                      <w:lang w:val="en-US" w:eastAsia="zh-CN"/>
                    </w:rPr>
                    <w:t>1</w:t>
                  </w:r>
                  <w:r>
                    <w:rPr>
                      <w:rFonts w:hint="default" w:ascii="楷体" w:hAnsi="楷体" w:eastAsia="楷体"/>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2024年1月24日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2025年2月6日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5</w:t>
                  </w:r>
                </w:p>
              </w:tc>
              <w:tc>
                <w:tcPr>
                  <w:tcW w:w="1871" w:type="dxa"/>
                  <w:vAlign w:val="center"/>
                </w:tcPr>
                <w:p>
                  <w:pPr>
                    <w:jc w:val="center"/>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2025年2月7日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2026年2月26日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2.68</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28</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2.75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3.35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额2.65</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25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ZN份额2.80%-3.40%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6</w:t>
                  </w:r>
                </w:p>
              </w:tc>
              <w:tc>
                <w:tcPr>
                  <w:tcW w:w="1871" w:type="dxa"/>
                  <w:vAlign w:val="center"/>
                </w:tcPr>
                <w:p>
                  <w:pPr>
                    <w:jc w:val="center"/>
                    <w:rPr>
                      <w:rFonts w:hint="eastAsia" w:ascii="楷体" w:hAnsi="楷体" w:eastAsia="楷体" w:cs="宋体"/>
                      <w:spacing w:val="-2"/>
                      <w:sz w:val="18"/>
                      <w:szCs w:val="18"/>
                      <w:lang w:val="en-US" w:eastAsia="zh-CN"/>
                    </w:rPr>
                  </w:pPr>
                  <w:r>
                    <w:rPr>
                      <w:rFonts w:hint="eastAsia" w:ascii="楷体" w:hAnsi="楷体" w:eastAsia="楷体"/>
                      <w:sz w:val="18"/>
                      <w:szCs w:val="18"/>
                      <w:lang w:val="en-US" w:eastAsia="zh-CN"/>
                    </w:rPr>
                    <w:t>2026年2月27日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2027年3月18日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R份额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ZF2份额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0.50%，R份额 0.50%，P份额 0.45%，O份额 0.55%，U份额 0.60%，Z份额 0.65%，ZA份额 0.65%，ZF份额 0.65%，ZF2份额 0.60%，ZN份额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0.70%，R份额 0.65%，P份额 0.65%，O份额 0.65%，U份额 0.70%，Z份额 0.65%，ZA份额 0.65%，ZF份额 0.65%，ZF2份额 0.60%，ZN份额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临海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萧山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R份额：郑州银行股份有限公司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南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金湖农村商业银行股份有限公司/江苏靖江农村商业银行股份有限公司/江苏句容农村商业银行股份有限公司/江苏溧水农村商业银行股份有限公司/江苏南通农村商业银行股份有限公司/江苏邳州农村商业银行股份有限公司/江苏启东农村商业银行股份有限公司/江苏如东农村商业银行股份有限公司/江苏沭阳农村商业银行股份有限公司/江苏泗洪农村商业银行股份有限公司/江苏泗阳农村商业银行股份有限公司/江苏苏州农村商业银行股份有限公司/江苏睢宁农村商业银行股份有限公司/江苏泰兴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余姚农村商业银行股份有限公司/宁波镇海农村商业银行股份有限公司/厦门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兰溪农村商业银行股份有限公司/浙江临安农村商业银行股份有限公司/浙江临海农村商业银行股份有限公司/浙江民泰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中山农村商业银行股份有限公司</w:t>
      </w:r>
    </w:p>
    <w:p>
      <w:pPr>
        <w:ind w:left="0" w:leftChars="0"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ZF2份额：石嘴山银行股份有限公司</w:t>
      </w:r>
    </w:p>
    <w:p>
      <w:pPr>
        <w:ind w:left="0" w:leftChars="0"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ZN份额：广西北部湾银行股份有限公司/河北银行股份有限公司/宁波通商银行股份有限公司/浙江萧山农村商业银行股份有限公司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高淳农村商业银行股份有限公司/江苏灌南农村商业银行股份有限公司/江苏海安农村商业银行股份有限公司/江苏姜堰农村商业银行股份有限公司/江苏如东农村商业银行股份有限公司/江苏泗阳农村商业银行股份有限公司/江苏紫金农村商业银行股份有限公司/连云港东方农村商业银行股份有限公司/江苏溧水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高淳农村商业银行股份有限公司/江苏灌南农村商业银行股份有限公司/江苏海安农村商业银行股份有限公司/江苏姜堰农村商业银行股份有限公司/江苏南通农村商业银行股份有限公司/江苏如东农村商业银行股份有限公司/江苏泗阳农村商业银行股份有限公司/江苏紫金农村商业银行股份有限公司/连云港东方农村商业银行股份有限公司/江苏溧水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firstLine="558" w:firstLineChars="266"/>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徐州金龙湖控股集团有限公司。融资人经营正常，是依法设立的国有公司，主要股东为徐州市产业发展控股集团有限公司，实际控制人为徐州市人民政府国有资产监督管理委员会。（4）非标准化债权类资产：融资人为长兴城市建设投资集团有限公司。融资人经营正常，是依法设立的国有公司，主要股东为浙江长兴国有资产投资控股集团有限公司、浙江长兴金融控股集团有限公司、浙江省财务开发有限责任公司，实际控制人为长兴县财政局(长兴县人民政府国有资产监督管理办公室)。（5）非标准化债权类资产：融资人为诸暨市城乡投资集团有限公司。融资人经营正常，是依法设立的国有公司，主要股东为诸暨市建设集团有限公司，实际控制人为诸暨市财政局。（6）非标准化债权类资产：融资人为南通圆宏控股集团有限公司。融资人经营正常，是依法设立的国有公司，主要股东为南通市通州区人民政府，实际控制人为南通市通州区人民政府。（7）非标准化债权类资产：融资人为扬州市邗江国有资产经营有限公司。融资人经营正常，是依法设立的国有公司，主要股东为扬州市邗江城市建设发展有限公司，扬州市正本溯源建设发展有限公司，实际控制人为扬州市人民政府。（8）非标准化债权类资产：融资人为溱湖文化旅游集团有限公司。融资人经营正常，是依法设立的国有公司，主要股东为泰州市康旅文化产业集团有限公司、江苏东润数字科技有限公司、江苏金姜城投资集团有限公司，实际控制人为泰州市姜堰区人民政府国有资产监督管理办公室。（9）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10）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11）非标准化债权类资产：融资人为江苏瑞海投资控股集团有限公司。融资人经营正常，是依法设立的国有公司，主要股东为海安市国有资产管理中心，实际控制人为海安市国有资产管理中心。（12）非标准化债权类资产：融资人为桐庐县城市建设投资集团有限公司。融资人经营正常，是依法设立的国有公司，主要股东为桐庐投资建设发展集团有限公司，实际控制人为桐庐县人民政府国有资产监督管理委员会。（13）非标准化债权类资产：融资人为绍兴市越城区城市发展建设集团有限公司。融资人经营正常，是依法设立的国有公司，主要股东为绍兴市越城区财政局，实际控制人为绍兴市越城区财政局。（14）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15）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16）非标准化债权类资产：融资人为兰溪市城市投资集团有限公司。融资人经营正常，是依法设立的国有公司，主要股东为兰溪市城市发展集团有限公司，实际控制人为兰溪市人民政府国有资产监督管理办公室。（17）非标准化债权类资产：融资人为苏皖合作示范区建设发展集团有限公司。融资人经营正常，是依法设立的国有公司，主要股东为溧阳市国有资产管理中心，实际控制人为溧阳市财政局。（18）非标准化债权类资产：融资人为江苏云港发展集团有限公司。融资人经营正常，是依法设立的国有公司，主要股东为江苏海州湾控股集团有限公司，实际控制人为连云港市连云区人民政府。（19）非标准化债权类资产：融资人为盐城市大丰区谐城实业发展有限公司。融资人经营正常，是依法设立的国有公司，主要股东为盐城市大丰区城市建设集团有限公司，实际控制人为江苏省盐城市大丰区人民政府。（20）非标准化债权类资产：融资人为盐城市城镇化建设投资集团有限公司。融资人经营正常，是依法设立的国有公司，主要股东为盐城市人民政府，实际控制人为盐城市人民政府。（21）非标准化债权类资产：融资人为南京市高淳区建设发展集团有限公司。融资人经营正常，是依法设立的国有公司，主要股东为南京市高淳区人民政府国有资产监督管理办公室，实际控制人为南京市高淳区人民政府国有资产监督管理办公室。（22）非标准化债权类资产：融资人为宿迁市运河港区开发集团有限公司。融资人经营正常，是依法设立的国有公司，主要股东为宿迁产业发展集团有限公司、宿迁市惠农产业发展股份有限公司，实际控制人为宿迁市人民政府。（23）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24）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25）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26）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27）收益凭证：融资人为华泰证券股份有限公司。融资人经营正常，是依法设立的国有公司，主要股东为江苏省国信集团有限公司、香港中央结算（代理人）有限公司、江苏交通控股有限公司，无实际控制人。（28）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29）收益凭证：融资人为申万宏源证券有限公司。融资人经营正常，是依法设立的国有公司，主要股东为申万宏源集团股份有限公司，实际控制人为中央汇金投资有限责任公司。（30）收益凭证：融资人为东方证券股份有限公司。融资人经营正常，是依法设立的国有公司，主要股东为申能（集团）有限公司、香港中央结算（代理人）有限公司、上海海烟投资管理有限公司，实际控制人为上海市国有资产监督管理委员会。（31）收益凭证：融资人为浙商证券股份有限公司。融资人经营正常，是依法设立的国有公司，主要股东为浙江上三高速公路有限公司、台州市金融投资集团有限公司，实际控制人为浙江省交通投资集团有限公司。（32）融资人为国投证券股份有限公司。融资人经营正常，是依法设立的国有公司，主要股东为国投资本股份有限公司、上海毅胜投资有限公司，实际控制人为国家开发投资集团有限公司。</w:t>
      </w:r>
    </w:p>
    <w:p>
      <w:pPr>
        <w:numPr>
          <w:ilvl w:val="-1"/>
          <w:numId w:val="0"/>
        </w:numPr>
        <w:ind w:firstLine="558" w:firstLineChars="266"/>
        <w:rPr>
          <w:rFonts w:hint="eastAsia" w:ascii="楷体" w:hAnsi="楷体" w:eastAsia="楷体"/>
          <w:sz w:val="21"/>
          <w:szCs w:val="21"/>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22）各资产到期日不超过理财产品投资周期终止日，定期付息、到期一次性还本；（23）-（32）各资产到期日不超过理财产品投资周期终止日，到期一次性还本付息。</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lang w:val="en-US" w:eastAsia="zh-CN"/>
        </w:rPr>
      </w:pP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lang w:val="en-US" w:eastAsia="zh-CN"/>
        </w:rPr>
      </w:pP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F9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2026-02-04T10:42:56Z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