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【兴银理财丰收封闭式301号固收类理财产品】</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序号</w:t>
            </w:r>
          </w:p>
        </w:tc>
        <w:tc>
          <w:tcPr>
            <w:tcW w:w="5689"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1</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1" w:edGrp="everyone"/>
            <w:r>
              <w:rPr>
                <w:rFonts w:hint="eastAsia" w:ascii="宋体" w:hAnsi="宋体"/>
                <w:kern w:val="0"/>
                <w:sz w:val="20"/>
                <w:szCs w:val="21"/>
              </w:rPr>
              <w:t>【兴银理财丰收封闭式301号固收类理财产品】</w:t>
            </w:r>
            <w:permEnd w:id="1"/>
            <w:r>
              <w:rPr>
                <w:rFonts w:hint="eastAsia" w:ascii="宋体" w:hAnsi="宋体"/>
                <w:kern w:val="0"/>
                <w:sz w:val="20"/>
                <w:szCs w:val="21"/>
              </w:rPr>
              <w:t>投资协议书</w:t>
            </w:r>
            <w:r>
              <w:rPr>
                <w:rFonts w:hint="default" w:ascii="宋体" w:hAnsi="宋体"/>
                <w:kern w:val="0"/>
                <w:sz w:val="20"/>
                <w:szCs w:val="21"/>
              </w:rPr>
              <w:t xml:space="preserve"> </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2</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2" w:edGrp="everyone"/>
            <w:r>
              <w:rPr>
                <w:rFonts w:hint="eastAsia" w:ascii="宋体" w:hAnsi="宋体"/>
                <w:kern w:val="0"/>
                <w:sz w:val="20"/>
                <w:szCs w:val="21"/>
              </w:rPr>
              <w:t>【兴银理财丰收封闭式301号固收类理财产品】</w:t>
            </w:r>
            <w:permEnd w:id="2"/>
            <w:r>
              <w:rPr>
                <w:rFonts w:hint="eastAsia" w:ascii="宋体" w:hAnsi="宋体"/>
                <w:kern w:val="0"/>
                <w:sz w:val="20"/>
                <w:szCs w:val="21"/>
              </w:rPr>
              <w:t>产品说明书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default" w:ascii="宋体" w:hAnsi="宋体"/>
                <w:kern w:val="0"/>
                <w:sz w:val="20"/>
                <w:szCs w:val="21"/>
              </w:rPr>
              <w:t>3</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3" w:edGrp="everyone"/>
            <w:r>
              <w:rPr>
                <w:rFonts w:hint="eastAsia" w:ascii="宋体" w:hAnsi="宋体"/>
                <w:kern w:val="0"/>
                <w:sz w:val="20"/>
                <w:szCs w:val="21"/>
              </w:rPr>
              <w:t>【兴银理财丰收封闭式301号固收类理财产品】</w:t>
            </w:r>
            <w:permEnd w:id="3"/>
            <w:r>
              <w:rPr>
                <w:rFonts w:hint="eastAsia" w:ascii="宋体" w:hAnsi="宋体"/>
                <w:kern w:val="0"/>
                <w:sz w:val="20"/>
                <w:szCs w:val="21"/>
              </w:rPr>
              <w:t>（代理）销售协议书</w:t>
            </w:r>
          </w:p>
        </w:tc>
        <w:tc>
          <w:tcPr>
            <w:tcW w:w="2107"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 w:val="20"/>
                <w:szCs w:val="21"/>
              </w:rPr>
            </w:pPr>
            <w:r>
              <w:rPr>
                <w:rFonts w:hint="eastAsia" w:ascii="宋体" w:hAnsi="宋体"/>
                <w:kern w:val="0"/>
                <w:sz w:val="20"/>
                <w:szCs w:val="21"/>
              </w:rPr>
              <w:t>（代理）销售</w:t>
            </w:r>
            <w:r>
              <w:rPr>
                <w:rFonts w:hint="default"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4</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szCs w:val="21"/>
              </w:rPr>
            </w:pPr>
            <w:permStart w:id="4" w:edGrp="everyone"/>
            <w:r>
              <w:rPr>
                <w:rFonts w:hint="eastAsia" w:ascii="宋体" w:hAnsi="宋体"/>
                <w:kern w:val="0"/>
                <w:sz w:val="20"/>
                <w:szCs w:val="21"/>
              </w:rPr>
              <w:t>【兴银理财丰收封闭式301号固收类理财产品】</w:t>
            </w:r>
            <w:permEnd w:id="4"/>
            <w:r>
              <w:rPr>
                <w:rFonts w:hint="eastAsia" w:ascii="宋体" w:hAnsi="宋体"/>
                <w:kern w:val="0"/>
                <w:sz w:val="20"/>
                <w:szCs w:val="21"/>
              </w:rPr>
              <w:t>风险揭示书</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keepNext w:val="0"/>
              <w:keepLines w:val="0"/>
              <w:widowControl/>
              <w:suppressLineNumbers w:val="0"/>
              <w:spacing w:before="0" w:beforeAutospacing="0" w:after="0" w:afterAutospacing="0" w:line="360" w:lineRule="auto"/>
              <w:ind w:left="0" w:right="0" w:firstLine="0" w:firstLineChars="0"/>
              <w:jc w:val="center"/>
              <w:rPr>
                <w:rFonts w:hint="default" w:ascii="宋体" w:hAnsi="宋体"/>
                <w:kern w:val="0"/>
                <w:szCs w:val="21"/>
              </w:rPr>
            </w:pPr>
            <w:r>
              <w:rPr>
                <w:rFonts w:hint="default" w:ascii="宋体" w:hAnsi="宋体"/>
                <w:kern w:val="0"/>
                <w:sz w:val="20"/>
                <w:szCs w:val="21"/>
              </w:rPr>
              <w:t>5</w:t>
            </w:r>
          </w:p>
        </w:tc>
        <w:tc>
          <w:tcPr>
            <w:tcW w:w="5689" w:type="dxa"/>
          </w:tcPr>
          <w:p>
            <w:pPr>
              <w:keepNext w:val="0"/>
              <w:keepLines w:val="0"/>
              <w:widowControl/>
              <w:suppressLineNumbers w:val="0"/>
              <w:spacing w:before="0" w:beforeAutospacing="0" w:after="0" w:afterAutospacing="0" w:line="360" w:lineRule="auto"/>
              <w:ind w:left="0" w:right="0"/>
              <w:rPr>
                <w:rFonts w:hint="default" w:ascii="宋体" w:hAnsi="宋体"/>
                <w:kern w:val="0"/>
                <w:sz w:val="20"/>
                <w:szCs w:val="21"/>
              </w:rPr>
            </w:pPr>
            <w:permStart w:id="5" w:edGrp="everyone"/>
            <w:r>
              <w:rPr>
                <w:rFonts w:hint="eastAsia" w:ascii="宋体" w:hAnsi="宋体"/>
                <w:kern w:val="0"/>
                <w:sz w:val="20"/>
                <w:szCs w:val="21"/>
              </w:rPr>
              <w:t>【兴银理财丰收封闭式301号固收类理财产品】</w:t>
            </w:r>
            <w:permEnd w:id="5"/>
            <w:r>
              <w:rPr>
                <w:rFonts w:hint="eastAsia" w:ascii="宋体" w:hAnsi="宋体"/>
                <w:kern w:val="0"/>
                <w:sz w:val="20"/>
                <w:szCs w:val="21"/>
              </w:rPr>
              <w:t>投资者权益须知</w:t>
            </w:r>
          </w:p>
        </w:tc>
        <w:tc>
          <w:tcPr>
            <w:tcW w:w="2107" w:type="dxa"/>
          </w:tcPr>
          <w:p>
            <w:pPr>
              <w:keepNext w:val="0"/>
              <w:keepLines w:val="0"/>
              <w:widowControl/>
              <w:suppressLineNumbers w:val="0"/>
              <w:spacing w:before="0" w:beforeAutospacing="0" w:after="0" w:afterAutospacing="0" w:line="360" w:lineRule="auto"/>
              <w:ind w:left="0" w:right="0"/>
              <w:jc w:val="center"/>
              <w:rPr>
                <w:rFonts w:hint="default"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rPr>
        <w:t>【兴银理财丰收封闭式301号固收类理财产品】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701383"/>
      <w:bookmarkStart w:id="1" w:name="_Toc139991726"/>
      <w:bookmarkStart w:id="2" w:name="_Toc123112263"/>
      <w:bookmarkStart w:id="3" w:name="_Toc139992301"/>
      <w:bookmarkStart w:id="4" w:name="_Toc123112224"/>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1727"/>
      <w:bookmarkStart w:id="6" w:name="_Toc123701384"/>
      <w:bookmarkStart w:id="7" w:name="_Toc123112264"/>
      <w:bookmarkStart w:id="8" w:name="_Toc139992302"/>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【2026】年【1】月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line="360" w:lineRule="auto"/>
              <w:ind w:left="0" w:right="0"/>
              <w:jc w:val="center"/>
              <w:rPr>
                <w:rFonts w:hint="default"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hint="default" w:ascii="黑体" w:hAnsi="黑体" w:eastAsia="黑体"/>
                <w:bCs/>
                <w:sz w:val="18"/>
                <w:szCs w:val="18"/>
              </w:rPr>
              <w:t>收益</w:t>
            </w:r>
            <w:r>
              <w:rPr>
                <w:rFonts w:hint="eastAsia" w:ascii="黑体" w:hAnsi="黑体" w:eastAsia="黑体"/>
                <w:bCs/>
                <w:sz w:val="18"/>
                <w:szCs w:val="18"/>
              </w:rPr>
              <w:t>，投资须谨慎。</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271" w:right="0" w:hanging="271"/>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本产品的业绩比较基准或业绩</w:t>
            </w:r>
            <w:r>
              <w:rPr>
                <w:rFonts w:hint="default"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1.</w:t>
            </w:r>
            <w:r>
              <w:rPr>
                <w:rFonts w:hint="eastAsia" w:ascii="黑体" w:hAnsi="黑体" w:eastAsia="黑体"/>
                <w:bCs/>
                <w:sz w:val="18"/>
                <w:szCs w:val="18"/>
              </w:rPr>
              <w:t>销售文件的组成</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《投资协议书》《产品说明书》《（代理）销售协议</w:t>
            </w:r>
            <w:r>
              <w:rPr>
                <w:rFonts w:hint="default"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2.</w:t>
            </w:r>
            <w:r>
              <w:rPr>
                <w:rFonts w:hint="eastAsia" w:ascii="黑体" w:hAnsi="黑体" w:eastAsia="黑体"/>
                <w:bCs/>
                <w:sz w:val="18"/>
                <w:szCs w:val="18"/>
              </w:rPr>
              <w:t>销售文件的编制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根据《理财公司理财产品销售管理暂行办法》（</w:t>
            </w:r>
            <w:r>
              <w:rPr>
                <w:rFonts w:hint="default"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关于投资者适当性的提示</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default" w:ascii="黑体" w:hAnsi="黑体" w:eastAsia="黑体"/>
                <w:bCs/>
                <w:sz w:val="18"/>
                <w:szCs w:val="18"/>
              </w:rPr>
              <w:t xml:space="preserve"> </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关于投资者信息的提示</w:t>
            </w:r>
          </w:p>
          <w:p>
            <w:pPr>
              <w:keepNext w:val="0"/>
              <w:keepLines w:val="0"/>
              <w:suppressLineNumbers w:val="0"/>
              <w:tabs>
                <w:tab w:val="left" w:pos="704"/>
                <w:tab w:val="left" w:pos="1995"/>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hint="default"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keepNext w:val="0"/>
              <w:keepLines w:val="0"/>
              <w:suppressLineNumbers w:val="0"/>
              <w:snapToGrid w:val="0"/>
              <w:spacing w:before="0" w:beforeAutospacing="0" w:after="0" w:afterAutospacing="0" w:line="360" w:lineRule="auto"/>
              <w:ind w:left="0" w:right="0"/>
              <w:jc w:val="both"/>
              <w:rPr>
                <w:rFonts w:hint="default" w:ascii="黑体" w:hAnsi="黑体" w:eastAsia="黑体"/>
                <w:bCs/>
                <w:sz w:val="18"/>
                <w:szCs w:val="18"/>
              </w:rPr>
            </w:pPr>
          </w:p>
          <w:p>
            <w:pPr>
              <w:keepNext w:val="0"/>
              <w:keepLines w:val="0"/>
              <w:suppressLineNumbers w:val="0"/>
              <w:spacing w:before="0" w:beforeAutospacing="0" w:after="0" w:afterAutospacing="0"/>
              <w:ind w:left="0" w:right="0"/>
              <w:rPr>
                <w:rFonts w:hint="default" w:ascii="黑体" w:hAnsi="黑体" w:eastAsia="黑体"/>
                <w:bCs/>
                <w:kern w:val="0"/>
                <w:sz w:val="18"/>
                <w:szCs w:val="18"/>
              </w:rPr>
            </w:pPr>
            <w:r>
              <w:rPr>
                <w:rFonts w:hint="eastAsia" w:ascii="黑体" w:hAnsi="黑体" w:eastAsia="黑体"/>
                <w:bCs/>
                <w:kern w:val="0"/>
                <w:sz w:val="18"/>
                <w:szCs w:val="18"/>
              </w:rPr>
              <w:t>★</w:t>
            </w:r>
            <w:r>
              <w:rPr>
                <w:rFonts w:hint="default"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keepNext w:val="0"/>
              <w:keepLines w:val="0"/>
              <w:suppressLineNumbers w:val="0"/>
              <w:spacing w:before="0" w:beforeAutospacing="0" w:after="0" w:afterAutospacing="0"/>
              <w:ind w:left="0" w:right="0"/>
              <w:rPr>
                <w:rFonts w:hint="default"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keepNext w:val="0"/>
              <w:keepLines w:val="0"/>
              <w:suppressLineNumbers w:val="0"/>
              <w:snapToGrid w:val="0"/>
              <w:spacing w:before="0" w:beforeAutospacing="0" w:after="0" w:afterAutospacing="0"/>
              <w:ind w:left="0" w:right="0"/>
              <w:jc w:val="both"/>
              <w:rPr>
                <w:rFonts w:hint="default" w:ascii="黑体" w:hAnsi="黑体" w:eastAsia="黑体"/>
                <w:bCs/>
                <w:sz w:val="18"/>
                <w:szCs w:val="18"/>
              </w:rPr>
            </w:pPr>
          </w:p>
          <w:p>
            <w:pPr>
              <w:pStyle w:val="21"/>
              <w:keepNext w:val="0"/>
              <w:keepLines w:val="0"/>
              <w:numPr>
                <w:ilvl w:val="255"/>
                <w:numId w:val="0"/>
              </w:numPr>
              <w:suppressLineNumbers w:val="0"/>
              <w:snapToGrid w:val="0"/>
              <w:spacing w:before="0" w:beforeAutospacing="0" w:after="0" w:afterAutospacing="0"/>
              <w:ind w:left="0" w:right="0"/>
              <w:jc w:val="both"/>
              <w:rPr>
                <w:rFonts w:hint="default" w:ascii="黑体" w:hAnsi="黑体" w:eastAsia="黑体"/>
                <w:bCs/>
                <w:sz w:val="18"/>
                <w:szCs w:val="18"/>
              </w:rPr>
            </w:pPr>
            <w:r>
              <w:rPr>
                <w:rFonts w:hint="eastAsia" w:ascii="黑体" w:hAnsi="黑体" w:eastAsia="黑体"/>
                <w:bCs/>
                <w:sz w:val="18"/>
                <w:szCs w:val="18"/>
              </w:rPr>
              <w:t>★</w:t>
            </w:r>
            <w:r>
              <w:rPr>
                <w:rFonts w:hint="default" w:ascii="黑体" w:hAnsi="黑体" w:eastAsia="黑体"/>
                <w:bCs/>
                <w:sz w:val="18"/>
                <w:szCs w:val="18"/>
              </w:rPr>
              <w:t xml:space="preserve"> </w:t>
            </w:r>
            <w:r>
              <w:rPr>
                <w:rFonts w:hint="eastAsia" w:ascii="黑体" w:hAnsi="黑体" w:eastAsia="黑体"/>
                <w:bCs/>
                <w:sz w:val="18"/>
                <w:szCs w:val="18"/>
              </w:rPr>
              <w:t>关于理财产品咨询的提示</w:t>
            </w:r>
          </w:p>
          <w:p>
            <w:pPr>
              <w:keepNext w:val="0"/>
              <w:keepLines w:val="0"/>
              <w:suppressLineNumbers w:val="0"/>
              <w:tabs>
                <w:tab w:val="left" w:pos="8070"/>
                <w:tab w:val="right" w:pos="8306"/>
              </w:tabs>
              <w:autoSpaceDE w:val="0"/>
              <w:autoSpaceDN w:val="0"/>
              <w:adjustRightInd w:val="0"/>
              <w:snapToGrid w:val="0"/>
              <w:spacing w:before="156" w:beforeLines="50" w:beforeAutospacing="0" w:after="0" w:afterAutospacing="0"/>
              <w:ind w:left="0" w:right="0"/>
              <w:rPr>
                <w:rFonts w:hint="default"/>
                <w:bCs/>
                <w:sz w:val="32"/>
                <w:szCs w:val="20"/>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23112227"/>
      <w:bookmarkStart w:id="12" w:name="_Toc12370138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keepNext w:val="0"/>
              <w:keepLines w:val="0"/>
              <w:suppressLineNumbers w:val="0"/>
              <w:pBdr>
                <w:bottom w:val="single" w:color="auto" w:sz="6" w:space="1"/>
              </w:pBdr>
              <w:snapToGrid w:val="0"/>
              <w:spacing w:before="0" w:beforeAutospacing="0" w:after="0" w:afterAutospacing="0" w:line="360" w:lineRule="auto"/>
              <w:ind w:left="0" w:right="0"/>
              <w:jc w:val="center"/>
              <w:rPr>
                <w:rFonts w:hint="default" w:ascii="宋体" w:hAnsi="宋体"/>
                <w:b/>
                <w:bCs/>
                <w:sz w:val="28"/>
                <w:szCs w:val="28"/>
              </w:rPr>
            </w:pPr>
            <w:r>
              <w:rPr>
                <w:rFonts w:hint="eastAsia" w:ascii="宋体" w:hAnsi="宋体"/>
                <w:b/>
                <w:bCs/>
                <w:sz w:val="28"/>
                <w:szCs w:val="28"/>
              </w:rPr>
              <w:t>信息栏</w:t>
            </w:r>
          </w:p>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keepNext w:val="0"/>
              <w:keepLines w:val="0"/>
              <w:suppressLineNumbers w:val="0"/>
              <w:spacing w:before="0" w:beforeAutospacing="0" w:after="0" w:afterAutospacing="0" w:line="360" w:lineRule="auto"/>
              <w:ind w:left="0" w:right="0"/>
              <w:rPr>
                <w:rFonts w:hint="default"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4"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5" w:edGrp="everyone" w:colFirst="3" w:colLast="3"/>
          </w:p>
        </w:tc>
        <w:tc>
          <w:tcPr>
            <w:tcW w:w="708"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w:t>
            </w:r>
            <w:r>
              <w:rPr>
                <w:rFonts w:hint="default"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keepNext w:val="0"/>
              <w:keepLines w:val="0"/>
              <w:suppressLineNumbers w:val="0"/>
              <w:pBdr>
                <w:bottom w:val="none" w:color="auto" w:sz="0" w:space="0"/>
              </w:pBdr>
              <w:spacing w:before="0" w:beforeAutospacing="0" w:after="0" w:afterAutospacing="0" w:line="360" w:lineRule="auto"/>
              <w:ind w:left="0" w:right="0"/>
              <w:rPr>
                <w:rFonts w:hint="default"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hint="default" w:ascii="宋体" w:hAnsi="宋体"/>
                <w:bCs/>
                <w:sz w:val="18"/>
                <w:szCs w:val="18"/>
              </w:rPr>
              <w:t>CIB Wealth Management Co.,Ltd. ”</w:t>
            </w:r>
            <w:r>
              <w:rPr>
                <w:rFonts w:hint="eastAsia" w:ascii="宋体" w:hAnsi="宋体"/>
                <w:bCs/>
                <w:sz w:val="18"/>
                <w:szCs w:val="18"/>
              </w:rPr>
              <w:t>。公司成立于</w:t>
            </w:r>
            <w:r>
              <w:rPr>
                <w:rFonts w:hint="default" w:ascii="宋体" w:hAnsi="宋体"/>
                <w:bCs/>
                <w:sz w:val="18"/>
                <w:szCs w:val="18"/>
              </w:rPr>
              <w:t>2019年12月，公司注册资本为50亿元人民币，全部由兴业银行股份有限公司以货币资金认购并一次</w:t>
            </w:r>
            <w:bookmarkStart w:id="66" w:name="_GoBack"/>
            <w:bookmarkEnd w:id="66"/>
            <w:r>
              <w:rPr>
                <w:rFonts w:hint="default" w:ascii="宋体" w:hAnsi="宋体"/>
                <w:bCs/>
                <w:sz w:val="18"/>
                <w:szCs w:val="18"/>
              </w:rPr>
              <w:t>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【兴银理财丰收封闭式301号固收类理财产品】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kern w:val="2"/>
                <w:sz w:val="18"/>
                <w:szCs w:val="18"/>
                <w:lang w:val="en-US" w:eastAsia="zh-CN" w:bidi="ar"/>
              </w:rPr>
              <w:t>【丰收封闭式301号A】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keepNext w:val="0"/>
              <w:keepLines w:val="0"/>
              <w:widowControl w:val="0"/>
              <w:suppressLineNumbers w:val="0"/>
              <w:spacing w:before="0" w:beforeAutospacing="0" w:after="0" w:afterAutospacing="0"/>
              <w:ind w:left="0" w:right="0"/>
              <w:jc w:val="both"/>
              <w:rPr>
                <w:rFonts w:hint="default" w:ascii="宋体" w:hAnsi="宋体"/>
                <w:bCs/>
                <w:sz w:val="18"/>
                <w:szCs w:val="18"/>
              </w:rPr>
            </w:pPr>
            <w:r>
              <w:rPr>
                <w:rFonts w:hint="eastAsia" w:ascii="宋体" w:hAnsi="宋体"/>
                <w:bCs/>
                <w:sz w:val="18"/>
                <w:szCs w:val="18"/>
              </w:rPr>
              <w:t>【</w:t>
            </w:r>
            <w:r>
              <w:rPr>
                <w:rFonts w:hint="eastAsia" w:ascii="宋体" w:hAnsi="宋体" w:eastAsia="宋体" w:cs="宋体"/>
                <w:bCs/>
                <w:kern w:val="2"/>
                <w:sz w:val="18"/>
                <w:szCs w:val="18"/>
                <w:lang w:val="en-US" w:eastAsia="zh-CN" w:bidi="ar"/>
              </w:rPr>
              <w:t>Z7002026000073</w:t>
            </w:r>
            <w:r>
              <w:rPr>
                <w:rFonts w:hint="eastAsia" w:ascii="宋体" w:hAnsi="宋体"/>
                <w:bCs/>
                <w:sz w:val="18"/>
                <w:szCs w:val="18"/>
              </w:rPr>
              <w:t>】注：投资者可依据理财产品登记编码在中国理财网查询产品信息</w:t>
            </w:r>
            <w:r>
              <w:rPr>
                <w:rFonts w:hint="default"/>
                <w:szCs w:val="20"/>
              </w:rPr>
              <w:fldChar w:fldCharType="begin"/>
            </w:r>
            <w:r>
              <w:rPr>
                <w:rFonts w:hint="default"/>
                <w:szCs w:val="20"/>
              </w:rPr>
              <w:instrText xml:space="preserve"> HYPERLINK "http://www.chinawealth.com.cn" </w:instrText>
            </w:r>
            <w:r>
              <w:rPr>
                <w:rFonts w:hint="default"/>
                <w:szCs w:val="20"/>
              </w:rPr>
              <w:fldChar w:fldCharType="separate"/>
            </w:r>
            <w:r>
              <w:rPr>
                <w:rFonts w:hint="default" w:ascii="宋体" w:hAnsi="宋体"/>
                <w:bCs/>
                <w:sz w:val="18"/>
                <w:szCs w:val="18"/>
              </w:rPr>
              <w:t>www.chinawealth.com.cn</w:t>
            </w:r>
            <w:r>
              <w:rPr>
                <w:rFonts w:hint="default"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Cs/>
                <w:sz w:val="18"/>
                <w:szCs w:val="18"/>
              </w:rPr>
            </w:pPr>
            <w:r>
              <w:rPr>
                <w:rFonts w:hint="eastAsia" w:hAnsi="宋体"/>
                <w:sz w:val="18"/>
                <w:szCs w:val="18"/>
              </w:rPr>
              <w:t>★</w:t>
            </w:r>
            <w:r>
              <w:rPr>
                <w:rFonts w:hint="eastAsia" w:ascii="宋体" w:hAnsi="宋体"/>
                <w:bCs/>
                <w:sz w:val="18"/>
                <w:szCs w:val="18"/>
              </w:rPr>
              <w:t>产品</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60" w:lineRule="auto"/>
              <w:ind w:left="0" w:leftChars="0" w:right="0" w:rightChars="0"/>
              <w:jc w:val="left"/>
              <w:rPr>
                <w:rFonts w:hint="default" w:ascii="宋体" w:hAnsi="宋体"/>
                <w:bCs/>
                <w:sz w:val="18"/>
                <w:szCs w:val="18"/>
              </w:rPr>
            </w:pPr>
            <w:r>
              <w:rPr>
                <w:rFonts w:hint="eastAsia" w:ascii="宋体" w:hAnsi="宋体" w:eastAsia="宋体" w:cs="宋体"/>
                <w:bCs/>
                <w:color w:val="000000"/>
                <w:kern w:val="2"/>
                <w:sz w:val="18"/>
                <w:szCs w:val="18"/>
                <w:lang w:val="en-US" w:eastAsia="zh-CN" w:bidi="ar"/>
              </w:rPr>
              <w:t>【9C313010】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c>
          <w:tcPr>
            <w:tcW w:w="1690" w:type="dxa"/>
            <w:gridSpan w:val="2"/>
            <w:shd w:val="solid" w:color="FFFFFF" w:fill="FFFFFF"/>
            <w:vAlign w:val="center"/>
          </w:tcPr>
          <w:p>
            <w:pPr>
              <w:keepNext w:val="0"/>
              <w:keepLines w:val="0"/>
              <w:suppressLineNumbers w:val="0"/>
              <w:spacing w:before="0" w:beforeAutospacing="0" w:after="0" w:afterAutospacing="0" w:line="320" w:lineRule="exact"/>
              <w:ind w:left="0" w:right="0"/>
              <w:jc w:val="left"/>
              <w:rPr>
                <w:rFonts w:hint="default" w:hAnsi="宋体"/>
                <w:sz w:val="18"/>
                <w:szCs w:val="18"/>
              </w:rPr>
            </w:pPr>
            <w:r>
              <w:rPr>
                <w:rFonts w:hint="eastAsia" w:hAnsi="宋体"/>
                <w:sz w:val="18"/>
                <w:szCs w:val="18"/>
              </w:rPr>
              <w:t>★</w:t>
            </w:r>
            <w:r>
              <w:rPr>
                <w:rFonts w:hint="eastAsia" w:ascii="宋体" w:hAnsi="宋体"/>
                <w:bCs/>
                <w:sz w:val="18"/>
                <w:szCs w:val="18"/>
              </w:rPr>
              <w:t>销售</w:t>
            </w:r>
            <w:r>
              <w:rPr>
                <w:rFonts w:hint="default" w:ascii="宋体" w:hAnsi="宋体"/>
                <w:bCs/>
                <w:sz w:val="18"/>
                <w:szCs w:val="18"/>
              </w:rPr>
              <w:t>代码</w:t>
            </w:r>
          </w:p>
        </w:tc>
        <w:tc>
          <w:tcPr>
            <w:tcW w:w="6389" w:type="dxa"/>
            <w:gridSpan w:val="3"/>
            <w:shd w:val="solid" w:color="FFFFFF" w:fill="FFFFFF"/>
            <w:vAlign w:val="center"/>
          </w:tcPr>
          <w:p>
            <w:pPr>
              <w:keepNext w:val="0"/>
              <w:keepLines w:val="0"/>
              <w:widowControl w:val="0"/>
              <w:suppressLineNumbers w:val="0"/>
              <w:spacing w:before="0" w:beforeAutospacing="0" w:after="0" w:afterAutospacing="0" w:line="320" w:lineRule="exact"/>
              <w:ind w:left="0" w:leftChars="0" w:right="0" w:rightChars="0"/>
              <w:jc w:val="left"/>
              <w:rPr>
                <w:rFonts w:hint="default" w:ascii="宋体" w:hAnsi="宋体"/>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【9C31301A】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keepNext w:val="0"/>
              <w:keepLines w:val="0"/>
              <w:suppressLineNumbers w:val="0"/>
              <w:spacing w:before="0" w:beforeAutospacing="0" w:after="0" w:afterAutospacing="0" w:line="360" w:lineRule="auto"/>
              <w:ind w:left="0" w:right="0"/>
              <w:jc w:val="left"/>
              <w:rPr>
                <w:rFonts w:hint="default"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rPr>
                <w:rFonts w:hint="default"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keepNext w:val="0"/>
              <w:keepLines w:val="0"/>
              <w:suppressLineNumbers w:val="0"/>
              <w:pBdr>
                <w:bottom w:val="none" w:color="auto" w:sz="0" w:space="0"/>
              </w:pBdr>
              <w:tabs>
                <w:tab w:val="clear" w:pos="4153"/>
                <w:tab w:val="clear" w:pos="8306"/>
              </w:tabs>
              <w:snapToGrid/>
              <w:spacing w:before="0" w:beforeAutospacing="0" w:after="0" w:afterAutospacing="0" w:line="360" w:lineRule="auto"/>
              <w:ind w:left="0" w:right="0"/>
              <w:jc w:val="left"/>
              <w:rPr>
                <w:rFonts w:hint="default" w:ascii="宋体" w:hAnsi="宋体"/>
                <w:b/>
                <w:szCs w:val="18"/>
              </w:rPr>
            </w:pPr>
            <w:r>
              <w:rPr>
                <w:rFonts w:hint="eastAsia" w:ascii="宋体" w:hAnsi="宋体"/>
                <w:szCs w:val="18"/>
              </w:rPr>
              <w:t>投资者</w:t>
            </w:r>
            <w:r>
              <w:rPr>
                <w:rFonts w:hint="default"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hint="default" w:ascii="宋体" w:hAnsi="宋体"/>
                <w:szCs w:val="18"/>
              </w:rPr>
              <w:t>用于</w:t>
            </w:r>
            <w:r>
              <w:rPr>
                <w:rFonts w:hint="eastAsia" w:ascii="宋体" w:hAnsi="宋体"/>
                <w:szCs w:val="18"/>
              </w:rPr>
              <w:t>本产品的</w:t>
            </w:r>
            <w:r>
              <w:rPr>
                <w:rFonts w:hint="default" w:ascii="宋体" w:hAnsi="宋体"/>
                <w:szCs w:val="18"/>
              </w:rPr>
              <w:t>资金划转及</w:t>
            </w:r>
            <w:r>
              <w:rPr>
                <w:rFonts w:hint="eastAsia" w:ascii="宋体" w:hAnsi="宋体"/>
                <w:szCs w:val="18"/>
              </w:rPr>
              <w:t>产品分配，账号：</w:t>
            </w:r>
            <w:permStart w:id="25" w:edGrp="everyone"/>
            <w:r>
              <w:rPr>
                <w:rFonts w:hint="default"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32639"/>
      <w:bookmarkStart w:id="16" w:name="_Toc23386"/>
      <w:bookmarkStart w:id="17" w:name="_Toc123112268"/>
      <w:bookmarkStart w:id="18" w:name="_Toc4867"/>
      <w:bookmarkStart w:id="19" w:name="_Toc8727"/>
      <w:bookmarkStart w:id="20" w:name="_Toc139991730"/>
      <w:bookmarkStart w:id="21" w:name="_Toc123701389"/>
      <w:bookmarkStart w:id="22" w:name="_Toc26897"/>
      <w:bookmarkStart w:id="23" w:name="_Toc29629"/>
      <w:bookmarkStart w:id="24" w:name="_Toc6306"/>
      <w:bookmarkStart w:id="25" w:name="_Toc123112229"/>
      <w:bookmarkStart w:id="26" w:name="_Toc141703880"/>
      <w:bookmarkStart w:id="27" w:name="_Toc30935"/>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19592"/>
      <w:bookmarkStart w:id="34" w:name="_Toc21301"/>
      <w:bookmarkStart w:id="35" w:name="_Toc6617"/>
      <w:bookmarkStart w:id="36" w:name="_Toc24860"/>
      <w:bookmarkStart w:id="37" w:name="_Toc13020"/>
      <w:bookmarkStart w:id="38" w:name="_Toc2465"/>
      <w:bookmarkStart w:id="39" w:name="_Toc3224"/>
      <w:bookmarkStart w:id="40" w:name="_Toc22864"/>
      <w:bookmarkStart w:id="41" w:name="_Toc819"/>
      <w:bookmarkStart w:id="42" w:name="_Toc25882939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545"/>
      <w:bookmarkStart w:id="48" w:name="_Toc74065740"/>
      <w:bookmarkStart w:id="49" w:name="_Toc6149"/>
      <w:bookmarkStart w:id="50" w:name="_Toc733"/>
      <w:bookmarkStart w:id="51" w:name="_Toc20627"/>
      <w:bookmarkStart w:id="52" w:name="_Toc6683"/>
      <w:bookmarkStart w:id="53" w:name="_Toc18631"/>
      <w:bookmarkStart w:id="54" w:name="_Toc24571"/>
      <w:bookmarkStart w:id="55" w:name="_Toc22708"/>
      <w:bookmarkStart w:id="56" w:name="_Toc20318"/>
      <w:bookmarkStart w:id="57" w:name="_Toc1328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4" w:type="dxa"/>
            <w:gridSpan w:val="5"/>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理财产品名称</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产品份额</w:t>
            </w:r>
            <w:r>
              <w:rPr>
                <w:rFonts w:hint="default" w:ascii="宋体" w:hAnsi="宋体"/>
                <w:b/>
                <w:sz w:val="18"/>
                <w:szCs w:val="18"/>
              </w:rPr>
              <w:t>类别</w:t>
            </w:r>
          </w:p>
        </w:tc>
        <w:tc>
          <w:tcPr>
            <w:tcW w:w="7121" w:type="dxa"/>
            <w:gridSpan w:val="3"/>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permStart w:id="28" w:edGrp="everyone"/>
            <w:r>
              <w:rPr>
                <w:rFonts w:hint="eastAsia" w:ascii="宋体" w:hAnsi="宋体" w:cs="宋体"/>
                <w:sz w:val="18"/>
                <w:szCs w:val="18"/>
              </w:rPr>
              <w:t>【】类</w:t>
            </w:r>
            <w:r>
              <w:rPr>
                <w:rFonts w:hint="default"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27" w:hRule="atLeast"/>
        </w:trPr>
        <w:tc>
          <w:tcPr>
            <w:tcW w:w="1403" w:type="dxa"/>
            <w:gridSpan w:val="2"/>
            <w:vMerge w:val="restart"/>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bCs/>
                <w:sz w:val="18"/>
                <w:szCs w:val="18"/>
              </w:rPr>
              <w:t>认购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cs="宋体"/>
                <w:sz w:val="18"/>
                <w:szCs w:val="18"/>
              </w:rPr>
            </w:pPr>
            <w:r>
              <w:rPr>
                <w:rFonts w:hint="default" w:ascii="宋体" w:hAnsi="宋体"/>
                <w:bCs/>
                <w:sz w:val="18"/>
                <w:szCs w:val="18"/>
              </w:rPr>
              <w:t>金额：</w:t>
            </w:r>
            <w:r>
              <w:rPr>
                <w:rFonts w:hint="eastAsia" w:ascii="宋体" w:hAnsi="宋体"/>
                <w:bCs/>
                <w:sz w:val="18"/>
                <w:szCs w:val="18"/>
              </w:rPr>
              <w:t>小写：</w:t>
            </w:r>
            <w:r>
              <w:rPr>
                <w:rFonts w:hint="default" w:ascii="宋体" w:hAnsi="宋体"/>
                <w:bCs/>
                <w:sz w:val="18"/>
                <w:szCs w:val="18"/>
                <w:u w:val="single"/>
              </w:rPr>
              <w:t xml:space="preserve">　          </w:t>
            </w:r>
            <w:r>
              <w:rPr>
                <w:rFonts w:hint="default" w:ascii="宋体" w:hAnsi="宋体"/>
                <w:bCs/>
                <w:sz w:val="18"/>
                <w:szCs w:val="18"/>
              </w:rPr>
              <w:t>，大写：</w:t>
            </w:r>
            <w:r>
              <w:rPr>
                <w:rFonts w:hint="default"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0"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申购</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permStart w:id="31" w:edGrp="everyone" w:colFirst="2" w:colLast="2"/>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Cs/>
                <w:sz w:val="18"/>
                <w:szCs w:val="18"/>
              </w:rPr>
            </w:pPr>
            <w:r>
              <w:rPr>
                <w:rFonts w:hint="eastAsia" w:ascii="宋体" w:hAnsi="宋体"/>
                <w:bCs/>
                <w:sz w:val="18"/>
                <w:szCs w:val="18"/>
              </w:rPr>
              <w:t>赎回</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left"/>
              <w:rPr>
                <w:rFonts w:hint="default" w:ascii="宋体" w:hAnsi="宋体"/>
                <w:bCs/>
                <w:sz w:val="18"/>
                <w:szCs w:val="18"/>
              </w:rPr>
            </w:pPr>
            <w:r>
              <w:rPr>
                <w:rFonts w:hint="default"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交易时间</w:t>
            </w:r>
          </w:p>
        </w:tc>
        <w:tc>
          <w:tcPr>
            <w:tcW w:w="1134" w:type="dxa"/>
            <w:gridSpan w:val="2"/>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r>
              <w:rPr>
                <w:rFonts w:hint="eastAsia" w:ascii="宋体" w:hAnsi="宋体"/>
                <w:sz w:val="18"/>
                <w:szCs w:val="18"/>
              </w:rPr>
              <w:t>交易申请日</w:t>
            </w:r>
          </w:p>
        </w:tc>
        <w:tc>
          <w:tcPr>
            <w:tcW w:w="5987" w:type="dxa"/>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sz w:val="18"/>
                <w:szCs w:val="18"/>
              </w:rPr>
            </w:pPr>
            <w:permStart w:id="32" w:edGrp="everyone"/>
            <w:r>
              <w:rPr>
                <w:rFonts w:hint="eastAsia" w:asciiTheme="minorEastAsia" w:hAnsiTheme="minorEastAsia"/>
                <w:sz w:val="18"/>
                <w:szCs w:val="18"/>
              </w:rPr>
              <w:t>【</w:t>
            </w:r>
            <w:r>
              <w:rPr>
                <w:rFonts w:hint="default" w:asciiTheme="minorEastAsia" w:hAnsiTheme="minorEastAsia"/>
                <w:sz w:val="18"/>
                <w:szCs w:val="18"/>
              </w:rPr>
              <w:t xml:space="preserve"> 】年</w:t>
            </w:r>
            <w:r>
              <w:rPr>
                <w:rFonts w:hint="eastAsia" w:asciiTheme="minorEastAsia" w:hAnsiTheme="minorEastAsia"/>
                <w:sz w:val="18"/>
                <w:szCs w:val="18"/>
              </w:rPr>
              <w:t>【</w:t>
            </w:r>
            <w:r>
              <w:rPr>
                <w:rFonts w:hint="default" w:asciiTheme="minorEastAsia" w:hAnsiTheme="minorEastAsia"/>
                <w:sz w:val="18"/>
                <w:szCs w:val="18"/>
              </w:rPr>
              <w:t xml:space="preserve"> </w:t>
            </w:r>
            <w:r>
              <w:rPr>
                <w:rFonts w:hint="eastAsia" w:asciiTheme="minorEastAsia" w:hAnsiTheme="minorEastAsia"/>
                <w:sz w:val="18"/>
                <w:szCs w:val="18"/>
              </w:rPr>
              <w:t>】月【</w:t>
            </w:r>
            <w:r>
              <w:rPr>
                <w:rFonts w:hint="default"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keepNext w:val="0"/>
              <w:keepLines w:val="0"/>
              <w:suppressLineNumbers w:val="0"/>
              <w:autoSpaceDE w:val="0"/>
              <w:autoSpaceDN w:val="0"/>
              <w:adjustRightInd w:val="0"/>
              <w:snapToGrid w:val="0"/>
              <w:spacing w:before="0" w:beforeAutospacing="0" w:after="0" w:afterAutospacing="0" w:line="360" w:lineRule="auto"/>
              <w:ind w:left="0" w:right="0"/>
              <w:jc w:val="center"/>
              <w:rPr>
                <w:rFonts w:hint="default"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黑体" w:hAnsi="黑体" w:eastAsia="黑体"/>
                <w:sz w:val="18"/>
                <w:szCs w:val="18"/>
              </w:rPr>
            </w:pPr>
            <w:r>
              <w:rPr>
                <w:rFonts w:hint="eastAsia" w:ascii="黑体" w:hAnsi="黑体" w:eastAsia="黑体"/>
                <w:sz w:val="18"/>
                <w:szCs w:val="18"/>
              </w:rPr>
              <w:t>★</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jc w:val="center"/>
              <w:rPr>
                <w:rFonts w:hint="default" w:ascii="宋体" w:hAnsi="宋体" w:cs="宋体"/>
                <w:b/>
                <w:sz w:val="18"/>
                <w:szCs w:val="18"/>
              </w:rPr>
            </w:pPr>
            <w:r>
              <w:rPr>
                <w:rFonts w:hint="eastAsia" w:ascii="宋体" w:hAnsi="宋体"/>
                <w:b/>
                <w:sz w:val="18"/>
                <w:szCs w:val="18"/>
              </w:rPr>
              <w:t>签署声明</w:t>
            </w:r>
          </w:p>
        </w:tc>
        <w:tc>
          <w:tcPr>
            <w:tcW w:w="7849" w:type="dxa"/>
            <w:gridSpan w:val="4"/>
          </w:tcPr>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1.在签署本《</w:t>
            </w:r>
            <w:r>
              <w:rPr>
                <w:rFonts w:hint="eastAsia" w:ascii="黑体" w:hAnsi="黑体" w:eastAsia="黑体"/>
                <w:sz w:val="18"/>
                <w:szCs w:val="18"/>
              </w:rPr>
              <w:t>投资</w:t>
            </w:r>
            <w:r>
              <w:rPr>
                <w:rFonts w:hint="default"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hint="default" w:ascii="黑体" w:hAnsi="黑体" w:eastAsia="黑体"/>
                <w:sz w:val="18"/>
                <w:szCs w:val="18"/>
              </w:rPr>
              <w:t>协议书》《产品说明书》《</w:t>
            </w:r>
            <w:r>
              <w:rPr>
                <w:rFonts w:hint="eastAsia" w:ascii="黑体" w:hAnsi="黑体" w:eastAsia="黑体"/>
                <w:sz w:val="18"/>
                <w:szCs w:val="18"/>
              </w:rPr>
              <w:t>（代理）销售</w:t>
            </w:r>
            <w:r>
              <w:rPr>
                <w:rFonts w:hint="default" w:ascii="黑体" w:hAnsi="黑体" w:eastAsia="黑体"/>
                <w:sz w:val="18"/>
                <w:szCs w:val="18"/>
              </w:rPr>
              <w:t>协议书</w:t>
            </w:r>
            <w:r>
              <w:rPr>
                <w:rFonts w:hint="eastAsia" w:ascii="黑体" w:hAnsi="黑体" w:eastAsia="黑体"/>
                <w:sz w:val="18"/>
                <w:szCs w:val="18"/>
              </w:rPr>
              <w:t>》《</w:t>
            </w:r>
            <w:r>
              <w:rPr>
                <w:rFonts w:hint="default"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keepNext w:val="0"/>
              <w:keepLines w:val="0"/>
              <w:suppressLineNumbers w:val="0"/>
              <w:tabs>
                <w:tab w:val="left" w:pos="8070"/>
                <w:tab w:val="right" w:pos="8306"/>
              </w:tabs>
              <w:autoSpaceDE w:val="0"/>
              <w:autoSpaceDN w:val="0"/>
              <w:adjustRightInd w:val="0"/>
              <w:snapToGrid w:val="0"/>
              <w:spacing w:before="0" w:beforeAutospacing="0" w:after="0" w:afterAutospacing="0" w:line="360" w:lineRule="auto"/>
              <w:ind w:left="0" w:right="0"/>
              <w:rPr>
                <w:rFonts w:hint="default" w:ascii="黑体" w:hAnsi="黑体" w:eastAsia="黑体"/>
                <w:sz w:val="18"/>
                <w:szCs w:val="18"/>
              </w:rPr>
            </w:pPr>
            <w:r>
              <w:rPr>
                <w:rFonts w:hint="default" w:ascii="黑体" w:hAnsi="黑体" w:eastAsia="黑体"/>
                <w:sz w:val="18"/>
                <w:szCs w:val="18"/>
              </w:rPr>
              <w:t>3.投资者已认真阅读并充分理解包括但不限于《</w:t>
            </w:r>
            <w:r>
              <w:rPr>
                <w:rFonts w:hint="eastAsia" w:ascii="黑体" w:hAnsi="黑体" w:eastAsia="黑体"/>
                <w:sz w:val="18"/>
                <w:szCs w:val="18"/>
              </w:rPr>
              <w:t>投资</w:t>
            </w:r>
            <w:r>
              <w:rPr>
                <w:rFonts w:hint="default" w:ascii="黑体" w:hAnsi="黑体" w:eastAsia="黑体"/>
                <w:sz w:val="18"/>
                <w:szCs w:val="18"/>
              </w:rPr>
              <w:t>协议书》</w:t>
            </w:r>
            <w:r>
              <w:rPr>
                <w:rFonts w:hint="eastAsia" w:ascii="黑体" w:hAnsi="黑体" w:eastAsia="黑体"/>
                <w:sz w:val="18"/>
                <w:szCs w:val="18"/>
              </w:rPr>
              <w:t>等全套理财产品销售文件</w:t>
            </w:r>
            <w:r>
              <w:rPr>
                <w:rFonts w:hint="default"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hint="default"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hint="default"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keepNext w:val="0"/>
              <w:keepLines w:val="0"/>
              <w:suppressLineNumbers w:val="0"/>
              <w:spacing w:before="0" w:beforeAutospacing="0" w:after="0" w:afterAutospacing="0" w:line="360" w:lineRule="auto"/>
              <w:ind w:left="0" w:right="0"/>
              <w:jc w:val="center"/>
              <w:rPr>
                <w:rFonts w:hint="default"/>
                <w:b/>
                <w:sz w:val="18"/>
                <w:szCs w:val="18"/>
              </w:rPr>
            </w:pPr>
            <w:r>
              <w:rPr>
                <w:rFonts w:hint="eastAsia"/>
                <w:b/>
                <w:sz w:val="18"/>
                <w:szCs w:val="18"/>
              </w:rPr>
              <w:t>投资者签署栏</w:t>
            </w: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个人投资者适用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投资者（签名</w:t>
            </w:r>
            <w:r>
              <w:rPr>
                <w:rFonts w:hint="default"/>
                <w:sz w:val="18"/>
                <w:szCs w:val="18"/>
              </w:rPr>
              <w:t>/</w:t>
            </w:r>
            <w:r>
              <w:rPr>
                <w:rFonts w:hint="eastAsia"/>
                <w:sz w:val="18"/>
                <w:szCs w:val="18"/>
              </w:rPr>
              <w:t>线上确认）：</w:t>
            </w:r>
          </w:p>
          <w:p>
            <w:pPr>
              <w:keepNext w:val="0"/>
              <w:keepLines w:val="0"/>
              <w:suppressLineNumbers w:val="0"/>
              <w:spacing w:before="0" w:beforeAutospacing="0" w:after="0" w:afterAutospacing="0" w:line="360" w:lineRule="auto"/>
              <w:ind w:left="0" w:right="0"/>
              <w:rPr>
                <w:rFonts w:hint="default"/>
                <w:b/>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keepNext w:val="0"/>
              <w:keepLines w:val="0"/>
              <w:suppressLineNumbers w:val="0"/>
              <w:spacing w:before="0" w:beforeAutospacing="0" w:after="0" w:afterAutospacing="0" w:line="360" w:lineRule="auto"/>
              <w:ind w:left="0" w:right="0"/>
              <w:rPr>
                <w:rFonts w:hint="default"/>
                <w:b/>
                <w:sz w:val="18"/>
                <w:szCs w:val="18"/>
              </w:rPr>
            </w:pPr>
          </w:p>
        </w:tc>
        <w:tc>
          <w:tcPr>
            <w:tcW w:w="851" w:type="dxa"/>
            <w:gridSpan w:val="2"/>
          </w:tcPr>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机构投资者适用</w:t>
            </w:r>
          </w:p>
        </w:tc>
        <w:tc>
          <w:tcPr>
            <w:tcW w:w="6998" w:type="dxa"/>
            <w:gridSpan w:val="2"/>
          </w:tcPr>
          <w:p>
            <w:pPr>
              <w:keepNext w:val="0"/>
              <w:keepLines w:val="0"/>
              <w:suppressLineNumbers w:val="0"/>
              <w:spacing w:before="0" w:beforeAutospacing="0" w:after="0" w:afterAutospacing="0" w:line="360" w:lineRule="auto"/>
              <w:ind w:left="0" w:right="0"/>
              <w:rPr>
                <w:rFonts w:hint="default" w:cs="Arial"/>
                <w:sz w:val="18"/>
                <w:szCs w:val="18"/>
              </w:rPr>
            </w:pPr>
            <w:r>
              <w:rPr>
                <w:rFonts w:hint="eastAsia"/>
                <w:sz w:val="18"/>
                <w:szCs w:val="18"/>
              </w:rPr>
              <w:t>投资者</w:t>
            </w:r>
            <w:r>
              <w:rPr>
                <w:rFonts w:hint="eastAsia" w:cs="Arial"/>
                <w:sz w:val="18"/>
                <w:szCs w:val="18"/>
              </w:rPr>
              <w:t>（盖章</w:t>
            </w:r>
            <w:r>
              <w:rPr>
                <w:rFonts w:hint="default"/>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cs="Arial"/>
                <w:sz w:val="18"/>
                <w:szCs w:val="18"/>
              </w:rPr>
            </w:pPr>
          </w:p>
          <w:p>
            <w:pPr>
              <w:keepNext w:val="0"/>
              <w:keepLines w:val="0"/>
              <w:suppressLineNumbers w:val="0"/>
              <w:spacing w:before="0" w:beforeAutospacing="0" w:after="0" w:afterAutospacing="0" w:line="360" w:lineRule="auto"/>
              <w:ind w:left="0" w:right="0"/>
              <w:rPr>
                <w:rFonts w:hint="default"/>
                <w:b/>
                <w:sz w:val="18"/>
                <w:szCs w:val="18"/>
              </w:rPr>
            </w:pPr>
            <w:r>
              <w:rPr>
                <w:rFonts w:hint="eastAsia" w:cs="Arial"/>
                <w:sz w:val="18"/>
                <w:szCs w:val="18"/>
              </w:rPr>
              <w:t>投资者法定代表人或授权代理人（签名</w:t>
            </w:r>
            <w:r>
              <w:rPr>
                <w:rFonts w:hint="default" w:cs="Arial"/>
                <w:sz w:val="18"/>
                <w:szCs w:val="18"/>
              </w:rPr>
              <w:t>/</w:t>
            </w:r>
            <w:r>
              <w:rPr>
                <w:rFonts w:hint="eastAsia" w:cs="Arial"/>
                <w:sz w:val="18"/>
                <w:szCs w:val="18"/>
              </w:rPr>
              <w:t>盖章</w:t>
            </w:r>
            <w:r>
              <w:rPr>
                <w:rFonts w:hint="default" w:cs="Arial"/>
                <w:sz w:val="18"/>
                <w:szCs w:val="18"/>
              </w:rPr>
              <w:t>/</w:t>
            </w:r>
            <w:r>
              <w:rPr>
                <w:rFonts w:hint="eastAsia"/>
                <w:sz w:val="18"/>
                <w:szCs w:val="18"/>
              </w:rPr>
              <w:t>线上确认</w:t>
            </w:r>
            <w:r>
              <w:rPr>
                <w:rFonts w:hint="eastAsia" w:cs="Arial"/>
                <w:sz w:val="18"/>
                <w:szCs w:val="18"/>
              </w:rPr>
              <w:t>）：</w:t>
            </w:r>
          </w:p>
          <w:p>
            <w:pPr>
              <w:keepNext w:val="0"/>
              <w:keepLines w:val="0"/>
              <w:suppressLineNumbers w:val="0"/>
              <w:spacing w:before="0" w:beforeAutospacing="0" w:after="0" w:afterAutospacing="0" w:line="360" w:lineRule="auto"/>
              <w:ind w:left="0" w:right="0"/>
              <w:rPr>
                <w:rFonts w:hint="default"/>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dit="readOnly" w:enforcement="1" w:cryptProviderType="rsaFull" w:cryptAlgorithmClass="hash" w:cryptAlgorithmType="typeAny" w:cryptAlgorithmSid="4" w:cryptSpinCount="0" w:hash="Lz5hTh4T4hNkE5IvQxP1MNIxYow=" w:salt="lE3gPY+hEcuR9UMOHAGFhQ=="/>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3135F18"/>
    <w:rsid w:val="34616F39"/>
    <w:rsid w:val="35C863A1"/>
    <w:rsid w:val="3A6E5351"/>
    <w:rsid w:val="4069171A"/>
    <w:rsid w:val="431859F2"/>
    <w:rsid w:val="46A67526"/>
    <w:rsid w:val="487A428F"/>
    <w:rsid w:val="4F1262D5"/>
    <w:rsid w:val="4F9B33E8"/>
    <w:rsid w:val="56C22B29"/>
    <w:rsid w:val="5A517DAF"/>
    <w:rsid w:val="5F9422B9"/>
    <w:rsid w:val="64DE20E9"/>
    <w:rsid w:val="657411FF"/>
    <w:rsid w:val="6B0D7DB6"/>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2026-01-20T07:14:00Z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