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rPr>
        <w:t>【兴银理财丰收封闭式302号固收类理财产品】</w:t>
      </w:r>
      <w:permEnd w:id="0"/>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【2026】年【1】月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permStart w:id="2" w:edGrp="everyone"/>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兴业银行”）。兴业银行成立于1988年，于2005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lang w:eastAsia="zh-CN"/>
        </w:rPr>
        <w:t>【兴银理财丰收封闭式302号固收类理财产品】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lang w:eastAsia="zh-CN"/>
        </w:rPr>
        <w:t>【兴银理财丰收封闭式302号固收类理财产品】</w:t>
      </w:r>
      <w:permEnd w:id="5"/>
      <w:r>
        <w:rPr>
          <w:rFonts w:hint="eastAsia" w:asciiTheme="majorEastAsia" w:hAnsiTheme="majorEastAsia" w:eastAsiaTheme="majorEastAsia"/>
          <w:bCs/>
          <w:sz w:val="18"/>
          <w:szCs w:val="18"/>
        </w:rPr>
        <w:t>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lang w:eastAsia="zh-CN"/>
        </w:rPr>
        <w:t>【兴银理财丰收封闭式302号固收类理财产品】</w:t>
      </w:r>
      <w:permEnd w:id="6"/>
      <w:r>
        <w:rPr>
          <w:rFonts w:hint="eastAsia" w:asciiTheme="majorEastAsia" w:hAnsiTheme="majorEastAsia" w:eastAsiaTheme="majorEastAsia"/>
          <w:bCs/>
          <w:sz w:val="18"/>
          <w:szCs w:val="18"/>
        </w:rPr>
        <w:t>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lang w:eastAsia="zh-CN"/>
        </w:rPr>
        <w:t>【兴银理财丰收封闭式302号固收类理财产品】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lang w:eastAsia="zh-CN"/>
        </w:rPr>
        <w:t>【兴银理财丰收封闭式302号固收类理财产品】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lang w:eastAsia="zh-CN"/>
        </w:rPr>
        <w:t>【兴银理财丰收封闭式302号固收类理财产品】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lang w:eastAsia="zh-CN"/>
        </w:rPr>
        <w:t>【兴银理财丰收封闭式302号固收类理财产品】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lang w:eastAsia="zh-CN"/>
        </w:rPr>
        <w:t>【兴银理财丰收封闭式302号固收类理财产品】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lang w:eastAsia="zh-CN"/>
        </w:rPr>
        <w:t>【兴银理财丰收封闭式302号固收类理财产品】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76189754"/>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keepNext w:val="0"/>
              <w:keepLines w:val="0"/>
              <w:widowControl w:val="0"/>
              <w:suppressLineNumbers w:val="0"/>
              <w:spacing w:before="0" w:beforeAutospacing="0" w:after="0" w:afterAutospacing="0"/>
              <w:ind w:left="0" w:right="0"/>
              <w:jc w:val="both"/>
              <w:rPr>
                <w:rFonts w:hint="default" w:ascii="宋体" w:hAnsi="宋体"/>
                <w:bCs/>
                <w:sz w:val="18"/>
                <w:szCs w:val="18"/>
              </w:rPr>
            </w:pPr>
            <w:r>
              <w:rPr>
                <w:rFonts w:hint="eastAsia" w:asciiTheme="majorEastAsia" w:hAnsiTheme="majorEastAsia" w:eastAsiaTheme="majorEastAsia"/>
                <w:bCs/>
                <w:kern w:val="0"/>
                <w:sz w:val="18"/>
                <w:szCs w:val="18"/>
              </w:rPr>
              <w:t>【</w:t>
            </w:r>
            <w:r>
              <w:rPr>
                <w:rFonts w:hint="eastAsia" w:ascii="宋体" w:hAnsi="宋体" w:eastAsia="宋体" w:cs="宋体"/>
                <w:bCs/>
                <w:kern w:val="0"/>
                <w:sz w:val="18"/>
                <w:szCs w:val="18"/>
                <w:lang w:val="en-US" w:eastAsia="zh-CN" w:bidi="ar"/>
              </w:rPr>
              <w:t>兴银理财丰收封闭式302号固收类理财产品</w:t>
            </w:r>
            <w:r>
              <w:rPr>
                <w:rFonts w:hint="eastAsia" w:asciiTheme="majorEastAsia" w:hAnsiTheme="majorEastAsia" w:eastAsiaTheme="majorEastAsia"/>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keepNext w:val="0"/>
              <w:keepLines w:val="0"/>
              <w:widowControl w:val="0"/>
              <w:suppressLineNumbers w:val="0"/>
              <w:spacing w:before="0" w:beforeAutospacing="0" w:after="0" w:afterAutospacing="0"/>
              <w:ind w:left="0" w:right="0"/>
              <w:jc w:val="both"/>
              <w:rPr>
                <w:rFonts w:hint="default" w:ascii="宋体" w:hAnsi="宋体"/>
                <w:kern w:val="0"/>
                <w:sz w:val="22"/>
              </w:rPr>
            </w:pPr>
            <w:r>
              <w:rPr>
                <w:rFonts w:hint="eastAsia" w:ascii="宋体" w:hAnsi="宋体" w:eastAsia="宋体" w:cs="宋体"/>
                <w:bCs/>
                <w:kern w:val="2"/>
                <w:sz w:val="18"/>
                <w:szCs w:val="18"/>
                <w:lang w:val="en-US" w:eastAsia="zh-CN" w:bidi="ar"/>
              </w:rPr>
              <w:t>【丰收封闭式302号A】 (适用【A】类份额)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keepNext w:val="0"/>
              <w:keepLines w:val="0"/>
              <w:widowControl w:val="0"/>
              <w:suppressLineNumbers w:val="0"/>
              <w:spacing w:before="0" w:beforeAutospacing="0" w:after="0" w:afterAutospacing="0"/>
              <w:ind w:left="0" w:right="0"/>
              <w:jc w:val="both"/>
              <w:rPr>
                <w:rFonts w:hint="default" w:ascii="宋体" w:hAnsi="宋体"/>
                <w:b/>
                <w:sz w:val="18"/>
                <w:szCs w:val="18"/>
              </w:rPr>
            </w:pPr>
            <w:r>
              <w:rPr>
                <w:rFonts w:hint="eastAsia" w:asciiTheme="minorEastAsia" w:hAnsiTheme="minorEastAsia"/>
                <w:sz w:val="18"/>
                <w:szCs w:val="18"/>
              </w:rPr>
              <w:t>【</w:t>
            </w:r>
            <w:r>
              <w:rPr>
                <w:rFonts w:hint="eastAsia" w:ascii="宋体" w:hAnsi="宋体" w:eastAsia="宋体" w:cs="宋体"/>
                <w:bCs/>
                <w:kern w:val="2"/>
                <w:sz w:val="18"/>
                <w:szCs w:val="18"/>
                <w:lang w:val="en-US" w:eastAsia="zh-CN" w:bidi="ar"/>
              </w:rPr>
              <w:t>Z7002026000068</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hint="default" w:asciiTheme="majorEastAsia" w:hAnsiTheme="majorEastAsia" w:eastAsiaTheme="majorEastAsia"/>
                <w:sz w:val="18"/>
                <w:szCs w:val="18"/>
              </w:rPr>
              <w:t>(</w:t>
            </w:r>
            <w:r>
              <w:rPr>
                <w:rFonts w:hint="default"/>
              </w:rPr>
              <w:fldChar w:fldCharType="begin"/>
            </w:r>
            <w:r>
              <w:rPr>
                <w:rFonts w:hint="default"/>
              </w:rPr>
              <w:instrText xml:space="preserve"> HYPERLINK "http://www.chinawealth.com.cn" </w:instrText>
            </w:r>
            <w:r>
              <w:rPr>
                <w:rFonts w:hint="default"/>
              </w:rPr>
              <w:fldChar w:fldCharType="separate"/>
            </w:r>
            <w:r>
              <w:rPr>
                <w:rFonts w:hint="default" w:asciiTheme="majorEastAsia" w:hAnsiTheme="majorEastAsia" w:eastAsiaTheme="majorEastAsia"/>
                <w:sz w:val="18"/>
                <w:szCs w:val="18"/>
              </w:rPr>
              <w:t>www.chinawealth.com.cn</w:t>
            </w:r>
            <w:r>
              <w:rPr>
                <w:rFonts w:hint="default" w:asciiTheme="majorEastAsia" w:hAnsiTheme="majorEastAsia" w:eastAsiaTheme="majorEastAsia"/>
                <w:sz w:val="18"/>
                <w:szCs w:val="18"/>
              </w:rPr>
              <w:fldChar w:fldCharType="end"/>
            </w:r>
            <w:r>
              <w:rPr>
                <w:rFonts w:hint="default"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keepNext w:val="0"/>
              <w:keepLines w:val="0"/>
              <w:widowControl w:val="0"/>
              <w:suppressLineNumbers w:val="0"/>
              <w:spacing w:before="0" w:beforeAutospacing="0" w:after="0" w:afterAutospacing="0"/>
              <w:ind w:left="0" w:right="0"/>
              <w:jc w:val="both"/>
              <w:rPr>
                <w:rFonts w:hint="default" w:ascii="宋体" w:hAnsi="宋体"/>
                <w:bCs/>
                <w:sz w:val="18"/>
                <w:szCs w:val="18"/>
              </w:rPr>
            </w:pPr>
            <w:r>
              <w:rPr>
                <w:rFonts w:hint="eastAsia" w:ascii="宋体" w:hAnsi="宋体" w:eastAsia="宋体" w:cs="宋体"/>
                <w:bCs/>
                <w:color w:val="000000"/>
                <w:kern w:val="2"/>
                <w:sz w:val="18"/>
                <w:szCs w:val="18"/>
                <w:lang w:val="en-US" w:eastAsia="zh-CN" w:bidi="ar"/>
              </w:rPr>
              <w:t>【9C313020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keepNext w:val="0"/>
              <w:keepLines w:val="0"/>
              <w:suppressLineNumbers w:val="0"/>
              <w:spacing w:before="0" w:beforeAutospacing="0" w:after="0" w:afterAutospacing="0" w:line="360" w:lineRule="auto"/>
              <w:ind w:left="0" w:right="0"/>
              <w:jc w:val="left"/>
              <w:rPr>
                <w:rFonts w:hint="default" w:hAnsi="宋体"/>
                <w:b/>
                <w:sz w:val="18"/>
                <w:szCs w:val="18"/>
              </w:rPr>
            </w:pPr>
            <w:r>
              <w:rPr>
                <w:rFonts w:hint="eastAsia" w:hAnsi="宋体"/>
                <w:b/>
                <w:sz w:val="18"/>
                <w:szCs w:val="18"/>
              </w:rPr>
              <w:t>★销售代码</w:t>
            </w:r>
          </w:p>
        </w:tc>
        <w:tc>
          <w:tcPr>
            <w:tcW w:w="7674" w:type="dxa"/>
            <w:shd w:val="solid" w:color="FFFFFF" w:fill="FFFFFF"/>
          </w:tcPr>
          <w:p>
            <w:pPr>
              <w:keepNext w:val="0"/>
              <w:keepLines w:val="0"/>
              <w:widowControl w:val="0"/>
              <w:suppressLineNumbers w:val="0"/>
              <w:spacing w:before="0" w:beforeAutospacing="0" w:after="0" w:afterAutospacing="0"/>
              <w:ind w:left="0" w:right="0"/>
              <w:jc w:val="both"/>
              <w:rPr>
                <w:rFonts w:hint="default" w:hAnsi="宋体"/>
                <w:sz w:val="18"/>
                <w:szCs w:val="18"/>
              </w:rPr>
            </w:pPr>
            <w:r>
              <w:rPr>
                <w:rFonts w:hint="eastAsia" w:ascii="宋体" w:hAnsi="宋体" w:eastAsia="宋体" w:cs="宋体"/>
                <w:bCs/>
                <w:color w:val="000000"/>
                <w:kern w:val="2"/>
                <w:sz w:val="18"/>
                <w:szCs w:val="18"/>
                <w:lang w:val="en-US" w:eastAsia="zh-CN" w:bidi="ar"/>
              </w:rPr>
              <w:t>【9C31302A】 (适用【A】类份额)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hAnsi="宋体"/>
                <w:b/>
                <w:sz w:val="18"/>
                <w:szCs w:val="18"/>
              </w:rPr>
              <w:t>产品</w:t>
            </w:r>
            <w:r>
              <w:rPr>
                <w:rFonts w:hint="default" w:hAnsi="宋体"/>
                <w:b/>
                <w:sz w:val="18"/>
                <w:szCs w:val="18"/>
              </w:rPr>
              <w:t>份额类别</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1</w:t>
            </w:r>
            <w:r>
              <w:rPr>
                <w:rFonts w:hint="eastAsia" w:ascii="宋体" w:hAnsi="宋体"/>
                <w:bCs/>
                <w:sz w:val="18"/>
                <w:szCs w:val="18"/>
              </w:rPr>
              <w:t>.本产品根据投资者购买理财产品的金额、</w:t>
            </w:r>
            <w:r>
              <w:rPr>
                <w:rFonts w:hint="default" w:ascii="宋体" w:hAnsi="宋体"/>
                <w:bCs/>
                <w:sz w:val="18"/>
                <w:szCs w:val="18"/>
              </w:rPr>
              <w:t>投资者</w:t>
            </w:r>
            <w:r>
              <w:rPr>
                <w:rFonts w:hint="eastAsia" w:ascii="宋体" w:hAnsi="宋体"/>
                <w:bCs/>
                <w:sz w:val="18"/>
                <w:szCs w:val="18"/>
              </w:rPr>
              <w:t>类型、</w:t>
            </w:r>
            <w:r>
              <w:rPr>
                <w:rFonts w:hint="default"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2</w:t>
            </w:r>
            <w:r>
              <w:rPr>
                <w:rFonts w:hint="eastAsia" w:ascii="宋体" w:hAnsi="宋体"/>
                <w:bCs/>
                <w:sz w:val="18"/>
                <w:szCs w:val="18"/>
              </w:rPr>
              <w:t>.本产品设置不同的理财产品份额，每类理财产品份额以下内容</w:t>
            </w:r>
            <w:r>
              <w:rPr>
                <w:rFonts w:hint="default" w:ascii="宋体" w:hAnsi="宋体"/>
                <w:bCs/>
                <w:sz w:val="18"/>
                <w:szCs w:val="18"/>
              </w:rPr>
              <w:t>可能</w:t>
            </w:r>
            <w:r>
              <w:rPr>
                <w:rFonts w:hint="eastAsia" w:ascii="宋体" w:hAnsi="宋体"/>
                <w:bCs/>
                <w:sz w:val="18"/>
                <w:szCs w:val="18"/>
              </w:rPr>
              <w:t>单独设置：</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（1）销售名称</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（2）收费方式</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（3）销售服务费</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（4）销售代码</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（5）销售对象</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（6）销售起点金额（认购、申购的起点金额）</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（7）投资者认购、申购和赎回的数量限制</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（9）分别计算和公告产品份额净值</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3</w:t>
            </w:r>
            <w:r>
              <w:rPr>
                <w:rFonts w:hint="eastAsia" w:ascii="宋体" w:hAnsi="宋体"/>
                <w:bCs/>
                <w:sz w:val="18"/>
                <w:szCs w:val="18"/>
              </w:rPr>
              <w:t>.投资者可根据实际情况自行选择认购的产品份额类别。</w:t>
            </w:r>
          </w:p>
          <w:p>
            <w:pPr>
              <w:keepNext w:val="0"/>
              <w:keepLines w:val="0"/>
              <w:suppressLineNumbers w:val="0"/>
              <w:spacing w:before="0" w:beforeAutospacing="0" w:after="0" w:afterAutospacing="0" w:line="360" w:lineRule="auto"/>
              <w:ind w:left="0" w:right="0"/>
              <w:rPr>
                <w:rFonts w:hint="default"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bCs/>
                <w:sz w:val="18"/>
                <w:szCs w:val="18"/>
              </w:rPr>
            </w:pPr>
            <w:r>
              <w:rPr>
                <w:rFonts w:hint="eastAsia" w:ascii="黑体" w:hAnsi="黑体" w:eastAsia="黑体"/>
                <w:sz w:val="18"/>
                <w:szCs w:val="18"/>
              </w:rPr>
              <w:t>固定</w:t>
            </w:r>
            <w:r>
              <w:rPr>
                <w:rFonts w:hint="default" w:ascii="黑体" w:hAnsi="黑体" w:eastAsia="黑体"/>
                <w:sz w:val="18"/>
                <w:szCs w:val="18"/>
              </w:rPr>
              <w:t>收益</w:t>
            </w:r>
            <w:r>
              <w:rPr>
                <w:rFonts w:hint="eastAsia" w:ascii="黑体" w:hAnsi="黑体" w:eastAsia="黑体"/>
                <w:sz w:val="18"/>
                <w:szCs w:val="18"/>
              </w:rPr>
              <w:t>类</w:t>
            </w:r>
            <w:r>
              <w:rPr>
                <w:rFonts w:hint="default" w:ascii="黑体" w:hAnsi="黑体" w:eastAsia="黑体"/>
                <w:sz w:val="18"/>
                <w:szCs w:val="18"/>
              </w:rPr>
              <w:t>产品是指根据监管</w:t>
            </w:r>
            <w:r>
              <w:rPr>
                <w:rFonts w:hint="eastAsia" w:ascii="黑体" w:hAnsi="黑体" w:eastAsia="黑体"/>
                <w:sz w:val="18"/>
                <w:szCs w:val="18"/>
              </w:rPr>
              <w:t>相关规定</w:t>
            </w:r>
            <w:r>
              <w:rPr>
                <w:rFonts w:hint="default" w:ascii="黑体" w:hAnsi="黑体" w:eastAsia="黑体"/>
                <w:sz w:val="18"/>
                <w:szCs w:val="18"/>
              </w:rPr>
              <w:t>，投资于债权类资产的</w:t>
            </w:r>
            <w:r>
              <w:rPr>
                <w:rFonts w:hint="eastAsia" w:ascii="黑体" w:hAnsi="黑体" w:eastAsia="黑体"/>
                <w:sz w:val="18"/>
                <w:szCs w:val="18"/>
              </w:rPr>
              <w:t>比例</w:t>
            </w:r>
            <w:r>
              <w:rPr>
                <w:rFonts w:hint="default"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hint="default" w:asciiTheme="majorEastAsia" w:hAnsiTheme="majorEastAsia" w:eastAsiaTheme="majorEastAsia"/>
                <w:b/>
                <w:sz w:val="18"/>
                <w:szCs w:val="18"/>
              </w:rPr>
              <w:t>收益特征</w:t>
            </w:r>
          </w:p>
        </w:tc>
        <w:tc>
          <w:tcPr>
            <w:tcW w:w="7674" w:type="dxa"/>
            <w:shd w:val="solid" w:color="FFFFFF" w:fill="FFFFFF"/>
            <w:vAlign w:val="center"/>
          </w:tcPr>
          <w:p>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非保本浮动收益</w:t>
            </w:r>
          </w:p>
          <w:p>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keepNext w:val="0"/>
              <w:keepLines w:val="0"/>
              <w:suppressLineNumbers w:val="0"/>
              <w:adjustRightInd w:val="0"/>
              <w:snapToGrid w:val="0"/>
              <w:spacing w:before="0" w:beforeAutospacing="0" w:after="0" w:afterAutospacing="0" w:line="360" w:lineRule="auto"/>
              <w:ind w:left="0" w:right="0"/>
              <w:rPr>
                <w:rFonts w:hint="default"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keepNext w:val="0"/>
              <w:keepLines w:val="0"/>
              <w:widowControl w:val="0"/>
              <w:suppressLineNumbers w:val="0"/>
              <w:spacing w:before="0" w:beforeAutospacing="0" w:after="0" w:afterAutospacing="0"/>
              <w:ind w:left="0" w:right="0"/>
              <w:jc w:val="both"/>
              <w:rPr>
                <w:rFonts w:hint="eastAsia" w:ascii="黑体" w:hAnsi="黑体" w:eastAsia="黑体" w:cs="黑体"/>
                <w:bCs/>
                <w:sz w:val="18"/>
                <w:szCs w:val="18"/>
              </w:rPr>
            </w:pPr>
            <w:r>
              <w:rPr>
                <w:rFonts w:hint="eastAsia" w:ascii="黑体" w:hAnsi="黑体" w:eastAsia="黑体" w:cs="黑体"/>
                <w:bCs/>
                <w:sz w:val="18"/>
                <w:szCs w:val="18"/>
              </w:rPr>
              <w:t>本产品属于【</w:t>
            </w:r>
            <w:r>
              <w:rPr>
                <w:rFonts w:hint="eastAsia" w:ascii="宋体" w:hAnsi="宋体" w:eastAsia="宋体" w:cs="宋体"/>
                <w:bCs/>
                <w:kern w:val="2"/>
                <w:sz w:val="18"/>
                <w:szCs w:val="18"/>
                <w:lang w:val="en-US" w:eastAsia="zh-CN" w:bidi="ar"/>
              </w:rPr>
              <w:t>□ R1、■ R2、□ R3、□ R4、□ R5</w:t>
            </w:r>
            <w:r>
              <w:rPr>
                <w:rFonts w:hint="eastAsia" w:ascii="黑体" w:hAnsi="黑体" w:eastAsia="黑体" w:cs="黑体"/>
                <w:bCs/>
                <w:sz w:val="18"/>
                <w:szCs w:val="18"/>
              </w:rPr>
              <w:t>】理财产品。</w:t>
            </w:r>
          </w:p>
          <w:p>
            <w:pPr>
              <w:keepNext w:val="0"/>
              <w:keepLines w:val="0"/>
              <w:suppressLineNumbers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本评级为理财产品管理人内部评级，仅供参考。</w:t>
            </w:r>
          </w:p>
          <w:p>
            <w:pPr>
              <w:keepNext w:val="0"/>
              <w:keepLines w:val="0"/>
              <w:suppressLineNumbers w:val="0"/>
              <w:spacing w:before="0" w:beforeAutospacing="0" w:after="0" w:afterAutospacing="0" w:line="360" w:lineRule="auto"/>
              <w:ind w:left="0" w:right="0"/>
              <w:rPr>
                <w:rFonts w:hint="default" w:ascii="宋体" w:hAnsi="宋体"/>
                <w:b/>
                <w:bCs/>
                <w:sz w:val="18"/>
                <w:szCs w:val="18"/>
              </w:rPr>
            </w:pPr>
            <w:r>
              <w:rPr>
                <w:rFonts w:hint="eastAsia" w:ascii="黑体" w:hAnsi="黑体" w:eastAsia="黑体"/>
                <w:bCs/>
                <w:sz w:val="18"/>
                <w:szCs w:val="18"/>
              </w:rPr>
              <w:t>注</w:t>
            </w:r>
            <w:r>
              <w:rPr>
                <w:rFonts w:hint="default" w:ascii="黑体" w:hAnsi="黑体" w:eastAsia="黑体"/>
                <w:bCs/>
                <w:sz w:val="18"/>
                <w:szCs w:val="18"/>
              </w:rPr>
              <w:t>：</w:t>
            </w:r>
            <w:r>
              <w:rPr>
                <w:rFonts w:hint="eastAsia" w:ascii="黑体" w:hAnsi="黑体" w:eastAsia="黑体"/>
                <w:bCs/>
                <w:sz w:val="18"/>
                <w:szCs w:val="18"/>
              </w:rPr>
              <w:t>若本</w:t>
            </w:r>
            <w:r>
              <w:rPr>
                <w:rFonts w:hint="default" w:ascii="黑体" w:hAnsi="黑体" w:eastAsia="黑体"/>
                <w:bCs/>
                <w:sz w:val="18"/>
                <w:szCs w:val="18"/>
              </w:rPr>
              <w:t>产品通过代理销售机构销售的，</w:t>
            </w:r>
            <w:r>
              <w:rPr>
                <w:rFonts w:hint="eastAsia" w:ascii="黑体" w:hAnsi="黑体" w:eastAsia="黑体"/>
                <w:bCs/>
                <w:sz w:val="18"/>
                <w:szCs w:val="18"/>
              </w:rPr>
              <w:t>理财产品</w:t>
            </w:r>
            <w:r>
              <w:rPr>
                <w:rFonts w:hint="default" w:ascii="黑体" w:hAnsi="黑体" w:eastAsia="黑体"/>
                <w:bCs/>
                <w:sz w:val="18"/>
                <w:szCs w:val="18"/>
              </w:rPr>
              <w:t>评级</w:t>
            </w:r>
            <w:r>
              <w:rPr>
                <w:rFonts w:hint="eastAsia" w:ascii="黑体" w:hAnsi="黑体" w:eastAsia="黑体"/>
                <w:bCs/>
                <w:sz w:val="18"/>
                <w:szCs w:val="18"/>
              </w:rPr>
              <w:t>以</w:t>
            </w:r>
            <w:r>
              <w:rPr>
                <w:rFonts w:hint="default"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color w:val="000000" w:themeColor="text1"/>
                <w:sz w:val="18"/>
                <w:szCs w:val="18"/>
                <w14:textFill>
                  <w14:solidFill>
                    <w14:schemeClr w14:val="tx1"/>
                  </w14:solidFill>
                </w14:textFill>
              </w:rPr>
            </w:pPr>
            <w:r>
              <w:rPr>
                <w:rFonts w:hint="default" w:asciiTheme="majorEastAsia" w:hAnsiTheme="majorEastAsia" w:eastAsiaTheme="majorEastAsia"/>
                <w:bCs/>
                <w:color w:val="000000" w:themeColor="text1"/>
                <w:sz w:val="18"/>
                <w:szCs w:val="18"/>
                <w14:textFill>
                  <w14:solidFill>
                    <w14:schemeClr w14:val="tx1"/>
                  </w14:solidFill>
                </w14:textFill>
              </w:rPr>
              <w:t>本产品适合以下类型投资者：</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Cs/>
                <w:color w:val="000000"/>
                <w:kern w:val="2"/>
                <w:sz w:val="18"/>
                <w:szCs w:val="18"/>
              </w:rPr>
            </w:pPr>
            <w:r>
              <w:rPr>
                <w:rFonts w:hint="eastAsia" w:ascii="宋体" w:hAnsi="宋体" w:eastAsia="宋体" w:cs="宋体"/>
                <w:bCs/>
                <w:color w:val="000000"/>
                <w:kern w:val="2"/>
                <w:sz w:val="18"/>
                <w:szCs w:val="18"/>
                <w:lang w:val="en-US" w:eastAsia="zh-CN" w:bidi="ar"/>
              </w:rPr>
              <w:t>■个人投资者</w:t>
            </w:r>
          </w:p>
          <w:p>
            <w:pPr>
              <w:keepNext w:val="0"/>
              <w:keepLines w:val="0"/>
              <w:widowControl w:val="0"/>
              <w:suppressLineNumbers w:val="0"/>
              <w:spacing w:before="0" w:beforeAutospacing="0" w:after="0" w:afterAutospacing="0"/>
              <w:ind w:left="0" w:right="0"/>
              <w:jc w:val="both"/>
              <w:rPr>
                <w:rFonts w:hint="default" w:asciiTheme="majorEastAsia" w:hAnsiTheme="majorEastAsia" w:eastAsiaTheme="majorEastAsia"/>
                <w:bCs/>
                <w:sz w:val="18"/>
                <w:szCs w:val="18"/>
              </w:rPr>
            </w:pPr>
            <w:r>
              <w:rPr>
                <w:rFonts w:hint="eastAsia" w:ascii="宋体" w:hAnsi="宋体" w:eastAsia="宋体" w:cs="宋体"/>
                <w:bCs/>
                <w:color w:val="000000"/>
                <w:kern w:val="2"/>
                <w:sz w:val="18"/>
                <w:szCs w:val="18"/>
                <w:lang w:val="en-US" w:eastAsia="zh-CN" w:bidi="ar"/>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 直销适用</w:t>
            </w:r>
          </w:p>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本产品由产品管理人销售。</w:t>
            </w:r>
          </w:p>
          <w:p>
            <w:pPr>
              <w:keepNext w:val="0"/>
              <w:keepLines w:val="0"/>
              <w:widowControl w:val="0"/>
              <w:suppressLineNumbers w:val="0"/>
              <w:spacing w:before="0" w:beforeAutospacing="0" w:after="0" w:afterAutospacing="0"/>
              <w:ind w:left="0" w:right="0"/>
              <w:jc w:val="both"/>
              <w:rPr>
                <w:rFonts w:hint="default" w:ascii="宋体" w:hAnsi="宋体"/>
                <w:sz w:val="18"/>
                <w:szCs w:val="18"/>
              </w:rPr>
            </w:pPr>
            <w:r>
              <w:rPr>
                <w:rFonts w:hint="eastAsia" w:ascii="宋体" w:hAnsi="宋体" w:eastAsia="宋体" w:cs="宋体"/>
                <w:bCs/>
                <w:kern w:val="2"/>
                <w:sz w:val="18"/>
                <w:szCs w:val="18"/>
                <w:lang w:val="en-US" w:eastAsia="zh-CN" w:bidi="ar"/>
              </w:rPr>
              <w:t>■</w:t>
            </w:r>
            <w:r>
              <w:rPr>
                <w:rFonts w:hint="eastAsia" w:ascii="宋体" w:hAnsi="宋体" w:eastAsia="宋体" w:cs="宋体"/>
                <w:kern w:val="2"/>
                <w:sz w:val="18"/>
                <w:szCs w:val="18"/>
                <w:lang w:val="en-US" w:eastAsia="zh-CN" w:bidi="ar"/>
              </w:rPr>
              <w:t xml:space="preserve"> </w:t>
            </w:r>
            <w:r>
              <w:rPr>
                <w:rFonts w:hint="eastAsia" w:ascii="宋体" w:hAnsi="宋体"/>
                <w:sz w:val="18"/>
                <w:szCs w:val="18"/>
              </w:rPr>
              <w:t>代销适用</w:t>
            </w:r>
          </w:p>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本产品由代理销售机构</w:t>
            </w:r>
            <w:r>
              <w:rPr>
                <w:rFonts w:hint="default" w:ascii="宋体" w:hAnsi="宋体"/>
                <w:sz w:val="18"/>
                <w:szCs w:val="18"/>
              </w:rPr>
              <w:t>销售</w:t>
            </w:r>
            <w:r>
              <w:rPr>
                <w:rFonts w:hint="eastAsia" w:ascii="宋体" w:hAnsi="宋体"/>
                <w:sz w:val="18"/>
                <w:szCs w:val="18"/>
              </w:rPr>
              <w:t>。</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宋体" w:hAnsi="宋体"/>
                <w:sz w:val="18"/>
                <w:szCs w:val="18"/>
              </w:rPr>
              <w:t>代理销售</w:t>
            </w:r>
            <w:r>
              <w:rPr>
                <w:rFonts w:hint="default" w:ascii="宋体" w:hAnsi="宋体"/>
                <w:sz w:val="18"/>
                <w:szCs w:val="18"/>
              </w:rPr>
              <w:t>机构</w:t>
            </w:r>
            <w:r>
              <w:rPr>
                <w:rFonts w:hint="eastAsia" w:ascii="宋体" w:hAnsi="宋体"/>
                <w:sz w:val="18"/>
                <w:szCs w:val="18"/>
              </w:rPr>
              <w:t>合作业务</w:t>
            </w:r>
            <w:r>
              <w:rPr>
                <w:rFonts w:hint="default" w:ascii="宋体" w:hAnsi="宋体"/>
                <w:sz w:val="18"/>
                <w:szCs w:val="18"/>
              </w:rPr>
              <w:t>情况</w:t>
            </w:r>
            <w:r>
              <w:rPr>
                <w:rFonts w:hint="eastAsia" w:ascii="宋体" w:hAnsi="宋体"/>
                <w:sz w:val="18"/>
                <w:szCs w:val="18"/>
              </w:rPr>
              <w:t>以</w:t>
            </w:r>
            <w:r>
              <w:rPr>
                <w:rFonts w:hint="default" w:ascii="宋体" w:hAnsi="宋体"/>
                <w:sz w:val="18"/>
                <w:szCs w:val="18"/>
              </w:rPr>
              <w:t>产品管理人</w:t>
            </w:r>
            <w:r>
              <w:rPr>
                <w:rFonts w:hint="eastAsia" w:ascii="宋体" w:hAnsi="宋体"/>
                <w:sz w:val="18"/>
                <w:szCs w:val="18"/>
              </w:rPr>
              <w:t>公告为准，</w:t>
            </w:r>
            <w:r>
              <w:rPr>
                <w:rFonts w:hint="default" w:ascii="宋体" w:hAnsi="宋体"/>
                <w:sz w:val="18"/>
                <w:szCs w:val="18"/>
              </w:rPr>
              <w:t>具体代理</w:t>
            </w:r>
            <w:r>
              <w:rPr>
                <w:rFonts w:hint="eastAsia" w:ascii="宋体" w:hAnsi="宋体"/>
                <w:sz w:val="18"/>
                <w:szCs w:val="18"/>
              </w:rPr>
              <w:t>销售机构</w:t>
            </w:r>
            <w:r>
              <w:rPr>
                <w:rFonts w:hint="default" w:ascii="宋体" w:hAnsi="宋体"/>
                <w:sz w:val="18"/>
                <w:szCs w:val="18"/>
              </w:rPr>
              <w:t>以《</w:t>
            </w:r>
            <w:r>
              <w:rPr>
                <w:rFonts w:hint="eastAsia" w:ascii="宋体" w:hAnsi="宋体"/>
                <w:sz w:val="18"/>
                <w:szCs w:val="18"/>
              </w:rPr>
              <w:t>（代理）</w:t>
            </w:r>
            <w:r>
              <w:rPr>
                <w:rFonts w:hint="default" w:ascii="宋体" w:hAnsi="宋体"/>
                <w:sz w:val="18"/>
                <w:szCs w:val="18"/>
              </w:rPr>
              <w:t>销售协议书》</w:t>
            </w:r>
            <w:r>
              <w:rPr>
                <w:rFonts w:hint="eastAsia" w:ascii="宋体" w:hAnsi="宋体"/>
                <w:sz w:val="18"/>
                <w:szCs w:val="18"/>
              </w:rPr>
              <w:t>为准</w:t>
            </w:r>
            <w:r>
              <w:rPr>
                <w:rFonts w:hint="default"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w:t>
            </w:r>
            <w:r>
              <w:rPr>
                <w:rFonts w:hint="default" w:asciiTheme="majorEastAsia" w:hAnsiTheme="majorEastAsia" w:eastAsiaTheme="majorEastAsia"/>
                <w:b/>
                <w:bCs/>
                <w:sz w:val="18"/>
                <w:szCs w:val="18"/>
              </w:rPr>
              <w:t>管理人</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keepNext w:val="0"/>
              <w:keepLines w:val="0"/>
              <w:widowControl w:val="0"/>
              <w:suppressLineNumbers w:val="0"/>
              <w:spacing w:before="0" w:beforeAutospacing="0" w:after="0" w:afterAutospacing="0"/>
              <w:ind w:left="0" w:right="0"/>
              <w:jc w:val="both"/>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hint="default"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宋体" w:hAnsi="宋体" w:eastAsia="宋体" w:cs="宋体"/>
                <w:bCs/>
                <w:kern w:val="2"/>
                <w:sz w:val="18"/>
                <w:szCs w:val="18"/>
                <w:lang w:val="en-US" w:eastAsia="zh-CN" w:bidi="ar"/>
              </w:rPr>
              <w:t>【2】亿元，最小成立规模为【/】亿元</w:t>
            </w:r>
            <w:r>
              <w:rPr>
                <w:rFonts w:hint="eastAsia" w:asciiTheme="majorEastAsia" w:hAnsiTheme="majorEastAsia" w:eastAsiaTheme="majorEastAsia"/>
                <w:bCs/>
                <w:sz w:val="18"/>
                <w:szCs w:val="18"/>
              </w:rPr>
              <w:t>。</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hint="default"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hint="default"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hint="default"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Cs/>
                <w:kern w:val="2"/>
                <w:sz w:val="18"/>
                <w:szCs w:val="18"/>
              </w:rPr>
            </w:pPr>
            <w:r>
              <w:rPr>
                <w:rFonts w:hint="eastAsia" w:ascii="宋体" w:hAnsi="宋体" w:eastAsia="宋体" w:cs="宋体"/>
                <w:bCs/>
                <w:kern w:val="2"/>
                <w:sz w:val="18"/>
                <w:szCs w:val="18"/>
                <w:lang w:val="en-US" w:eastAsia="zh-CN" w:bidi="ar"/>
              </w:rPr>
              <w:t>■有固定期限:【370天】</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Cs/>
                <w:kern w:val="2"/>
                <w:sz w:val="18"/>
                <w:szCs w:val="18"/>
              </w:rPr>
            </w:pPr>
            <w:r>
              <w:rPr>
                <w:rFonts w:hint="eastAsia" w:ascii="宋体" w:hAnsi="宋体" w:eastAsia="宋体" w:cs="宋体"/>
                <w:bCs/>
                <w:kern w:val="2"/>
                <w:sz w:val="18"/>
                <w:szCs w:val="18"/>
                <w:lang w:val="en-US" w:eastAsia="zh-CN" w:bidi="ar"/>
              </w:rPr>
              <w:t>□无固定期限</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keepNext w:val="0"/>
              <w:keepLines w:val="0"/>
              <w:widowControl w:val="0"/>
              <w:suppressLineNumbers w:val="0"/>
              <w:spacing w:before="0" w:beforeAutospacing="0" w:after="0" w:afterAutospacing="0"/>
              <w:ind w:left="0" w:right="0"/>
              <w:jc w:val="both"/>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w:t>
            </w:r>
            <w:r>
              <w:rPr>
                <w:rFonts w:hint="default" w:asciiTheme="minorEastAsia" w:hAnsiTheme="minorEastAsia"/>
                <w:bCs/>
                <w:sz w:val="18"/>
                <w:szCs w:val="18"/>
              </w:rPr>
              <w:t>本产品认购期/募集期为</w:t>
            </w:r>
            <w:r>
              <w:rPr>
                <w:rFonts w:hint="eastAsia" w:asciiTheme="minorEastAsia" w:hAnsiTheme="minorEastAsia"/>
                <w:bCs/>
                <w:sz w:val="18"/>
                <w:szCs w:val="18"/>
              </w:rPr>
              <w:t>：</w:t>
            </w:r>
            <w:r>
              <w:rPr>
                <w:rFonts w:hint="eastAsia" w:ascii="宋体" w:hAnsi="宋体" w:eastAsia="宋体" w:cs="宋体"/>
                <w:kern w:val="2"/>
                <w:sz w:val="18"/>
                <w:szCs w:val="18"/>
                <w:lang w:val="en-US" w:eastAsia="zh-CN" w:bidi="ar"/>
              </w:rPr>
              <w:t>【2026年02月04日】【09:00】至【2026年02月10日】【17:00】</w:t>
            </w:r>
            <w:r>
              <w:rPr>
                <w:rFonts w:hint="default" w:asciiTheme="majorEastAsia" w:hAnsiTheme="majorEastAsia" w:eastAsiaTheme="majorEastAsia"/>
                <w:sz w:val="18"/>
                <w:szCs w:val="18"/>
              </w:rPr>
              <w:t>。</w:t>
            </w:r>
          </w:p>
          <w:p>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keepNext w:val="0"/>
              <w:keepLines w:val="0"/>
              <w:suppressLineNumbers w:val="0"/>
              <w:spacing w:before="0" w:beforeAutospacing="0" w:after="0" w:afterAutospacing="0" w:line="360" w:lineRule="auto"/>
              <w:ind w:left="0" w:right="0"/>
              <w:rPr>
                <w:rFonts w:hint="default" w:ascii="宋体" w:hAnsi="宋体"/>
                <w:sz w:val="18"/>
              </w:rPr>
            </w:pPr>
            <w:r>
              <w:rPr>
                <w:rFonts w:hint="default"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认购期/募集期内资金产生的利息（如有）不计入本金份额</w:t>
            </w:r>
            <w:r>
              <w:rPr>
                <w:rFonts w:hint="eastAsia" w:ascii="宋体" w:hAnsi="宋体"/>
                <w:sz w:val="18"/>
              </w:rPr>
              <w:t>。</w:t>
            </w:r>
          </w:p>
          <w:p>
            <w:pPr>
              <w:keepNext w:val="0"/>
              <w:keepLines w:val="0"/>
              <w:suppressLineNumbers w:val="0"/>
              <w:spacing w:before="0" w:beforeAutospacing="0" w:after="0" w:afterAutospacing="0" w:line="360" w:lineRule="auto"/>
              <w:ind w:left="0" w:right="0"/>
              <w:rPr>
                <w:rFonts w:hint="default"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keepNext w:val="0"/>
              <w:keepLines w:val="0"/>
              <w:suppressLineNumbers w:val="0"/>
              <w:spacing w:before="0" w:beforeAutospacing="0" w:after="0" w:afterAutospacing="0" w:line="360" w:lineRule="auto"/>
              <w:ind w:left="0" w:right="0"/>
              <w:rPr>
                <w:rFonts w:hint="default"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keepNext w:val="0"/>
              <w:keepLines w:val="0"/>
              <w:widowControl w:val="0"/>
              <w:suppressLineNumbers w:val="0"/>
              <w:spacing w:before="0" w:beforeAutospacing="0" w:after="0" w:afterAutospacing="0"/>
              <w:ind w:left="0" w:right="0"/>
              <w:jc w:val="both"/>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.本产品的计划成立日为</w:t>
            </w:r>
            <w:r>
              <w:rPr>
                <w:rFonts w:hint="default" w:asciiTheme="minorEastAsia" w:hAnsiTheme="minorEastAsia"/>
                <w:bCs/>
                <w:sz w:val="18"/>
                <w:szCs w:val="18"/>
              </w:rPr>
              <w:t>：</w:t>
            </w:r>
            <w:r>
              <w:rPr>
                <w:rFonts w:hint="eastAsia" w:ascii="宋体" w:hAnsi="宋体" w:eastAsia="宋体" w:cs="宋体"/>
                <w:kern w:val="2"/>
                <w:sz w:val="18"/>
                <w:szCs w:val="18"/>
                <w:lang w:val="en-US" w:eastAsia="zh-CN" w:bidi="ar"/>
              </w:rPr>
              <w:t>【2026年02月11日】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default" w:asciiTheme="minorEastAsia" w:hAnsiTheme="minorEastAsia"/>
                <w:bCs/>
                <w:sz w:val="18"/>
                <w:szCs w:val="18"/>
              </w:rPr>
              <w:t>2</w:t>
            </w:r>
            <w:r>
              <w:rPr>
                <w:rFonts w:hint="eastAsia" w:asciiTheme="minorEastAsia" w:hAnsiTheme="minorEastAsia"/>
                <w:bCs/>
                <w:sz w:val="18"/>
                <w:szCs w:val="18"/>
              </w:rPr>
              <w:t>.</w:t>
            </w:r>
            <w:r>
              <w:rPr>
                <w:rFonts w:hint="default"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hint="default"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keepNext w:val="0"/>
              <w:keepLines w:val="0"/>
              <w:widowControl w:val="0"/>
              <w:suppressLineNumbers w:val="0"/>
              <w:spacing w:before="0" w:beforeAutospacing="0" w:after="0" w:afterAutospacing="0"/>
              <w:ind w:left="0" w:right="0"/>
              <w:jc w:val="both"/>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.本产品的计划终止日为</w:t>
            </w:r>
            <w:r>
              <w:rPr>
                <w:rFonts w:hint="default" w:asciiTheme="minorEastAsia" w:hAnsiTheme="minorEastAsia"/>
                <w:bCs/>
                <w:sz w:val="18"/>
                <w:szCs w:val="18"/>
              </w:rPr>
              <w:t>：</w:t>
            </w:r>
            <w:r>
              <w:rPr>
                <w:rFonts w:hint="eastAsia" w:ascii="宋体" w:hAnsi="宋体" w:eastAsia="宋体" w:cs="宋体"/>
                <w:kern w:val="2"/>
                <w:sz w:val="18"/>
                <w:szCs w:val="18"/>
                <w:lang w:val="en-US" w:eastAsia="zh-CN" w:bidi="ar"/>
              </w:rPr>
              <w:t>【2027年02月16日】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keepNext w:val="0"/>
              <w:keepLines w:val="0"/>
              <w:suppressLineNumbers w:val="0"/>
              <w:spacing w:before="0" w:beforeAutospacing="0" w:after="0" w:afterAutospacing="0" w:line="360" w:lineRule="auto"/>
              <w:ind w:left="0" w:right="0"/>
              <w:rPr>
                <w:rFonts w:hint="default"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hint="default" w:asciiTheme="majorEastAsia" w:hAnsiTheme="majorEastAsia" w:eastAsiaTheme="majorEastAsia"/>
                <w:b/>
                <w:bCs/>
                <w:sz w:val="18"/>
                <w:szCs w:val="18"/>
              </w:rPr>
              <w:t>递增金额</w:t>
            </w:r>
          </w:p>
        </w:tc>
        <w:tc>
          <w:tcPr>
            <w:tcW w:w="7674" w:type="dxa"/>
            <w:shd w:val="solid" w:color="FFFFFF" w:fill="FFFFFF"/>
            <w:vAlign w:val="center"/>
          </w:tcPr>
          <w:p>
            <w:pPr>
              <w:keepNext w:val="0"/>
              <w:keepLines w:val="0"/>
              <w:widowControl w:val="0"/>
              <w:suppressLineNumbers w:val="0"/>
              <w:spacing w:before="0" w:beforeAutospacing="0" w:after="0" w:afterAutospacing="0"/>
              <w:ind w:left="0" w:right="0"/>
              <w:jc w:val="both"/>
              <w:rPr>
                <w:rFonts w:hint="default" w:asciiTheme="majorEastAsia" w:hAnsiTheme="majorEastAsia" w:eastAsiaTheme="majorEastAsia"/>
                <w:bCs/>
                <w:sz w:val="18"/>
                <w:szCs w:val="18"/>
              </w:rPr>
            </w:pPr>
            <w:r>
              <w:rPr>
                <w:rFonts w:hint="eastAsia" w:ascii="宋体" w:hAnsi="宋体" w:eastAsia="宋体" w:cs="宋体"/>
                <w:bCs/>
                <w:kern w:val="2"/>
                <w:sz w:val="18"/>
                <w:szCs w:val="18"/>
                <w:lang w:val="en-US" w:eastAsia="zh-CN" w:bidi="ar"/>
              </w:rPr>
              <w:t>每笔购买起点金额为【1】元; 超出起点金额的部分以【0.01】元的整数倍递增。（适用【A】类份额)
</w:t>
            </w:r>
          </w:p>
          <w:p>
            <w:pPr>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hint="default"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hint="default"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hint="default"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hint="default"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keepNext w:val="0"/>
              <w:keepLines w:val="0"/>
              <w:suppressLineNumbers w:val="0"/>
              <w:spacing w:before="0" w:beforeAutospacing="0" w:after="0" w:afterAutospacing="0" w:line="360" w:lineRule="auto"/>
              <w:ind w:left="0" w:right="0"/>
              <w:jc w:val="left"/>
              <w:rPr>
                <w:rFonts w:hint="default"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hint="default"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hint="default"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hint="default"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b/>
                <w:sz w:val="18"/>
                <w:szCs w:val="18"/>
              </w:rPr>
              <w:t>★认购的数量限制</w:t>
            </w:r>
          </w:p>
        </w:tc>
        <w:tc>
          <w:tcPr>
            <w:tcW w:w="7674" w:type="dxa"/>
            <w:shd w:val="solid" w:color="FFFFFF" w:fill="FFFFFF"/>
            <w:vAlign w:val="center"/>
          </w:tcPr>
          <w:p>
            <w:pPr>
              <w:keepNext w:val="0"/>
              <w:keepLines w:val="0"/>
              <w:widowControl/>
              <w:suppressLineNumbers w:val="0"/>
              <w:spacing w:before="0" w:beforeAutospacing="0" w:after="0" w:afterAutospacing="0"/>
              <w:ind w:left="0" w:right="0"/>
              <w:jc w:val="left"/>
              <w:rPr>
                <w:rFonts w:hint="default" w:asciiTheme="minorEastAsia" w:hAnsiTheme="minorEastAsia" w:eastAsiaTheme="minorEastAsia"/>
                <w:color w:val="auto"/>
                <w:sz w:val="18"/>
                <w:szCs w:val="18"/>
              </w:rPr>
            </w:pPr>
            <w:r>
              <w:rPr>
                <w:rFonts w:hint="default" w:ascii="宋体" w:hAnsi="宋体" w:eastAsia="宋体" w:cs="宋体"/>
                <w:sz w:val="18"/>
              </w:rPr>
              <w:t>认购的数量限制</w:t>
            </w:r>
            <w:r>
              <w:rPr>
                <w:rFonts w:hint="default" w:ascii="宋体" w:hAnsi="宋体" w:eastAsia="宋体" w:cs="宋体"/>
                <w:sz w:val="18"/>
              </w:rPr>
              <w:br w:type="textWrapping"/>
            </w:r>
            <w:r>
              <w:rPr>
                <w:rFonts w:hint="default" w:ascii="宋体" w:hAnsi="宋体" w:eastAsia="宋体" w:cs="宋体"/>
                <w:sz w:val="18"/>
              </w:rPr>
              <w:t>（1）单一投资者认购上限为【/】元。（适用【A】类份额)</w:t>
            </w:r>
            <w:r>
              <w:rPr>
                <w:rFonts w:hint="default" w:ascii="宋体" w:hAnsi="宋体" w:eastAsia="宋体" w:cs="宋体"/>
                <w:sz w:val="18"/>
              </w:rPr>
              <w:br w:type="textWrapping"/>
            </w:r>
            <w:r>
              <w:rPr>
                <w:rFonts w:hint="default" w:ascii="宋体" w:hAnsi="宋体" w:eastAsia="宋体" w:cs="宋体"/>
                <w:sz w:val="18"/>
              </w:rPr>
              <w:t>（2）产品存续期间，单一投资者最高持有份额上限为【/】份，符合产品管理人流动性管理的稳定资金除外。（适用【A】类份额)</w:t>
            </w:r>
          </w:p>
          <w:p>
            <w:pPr>
              <w:pStyle w:val="34"/>
              <w:keepNext w:val="0"/>
              <w:keepLines w:val="0"/>
              <w:suppressLineNumbers w:val="0"/>
              <w:spacing w:before="0" w:beforeAutospacing="0" w:after="0" w:afterAutospacing="0" w:line="360" w:lineRule="auto"/>
              <w:ind w:left="0" w:right="0"/>
              <w:rPr>
                <w:rFonts w:hint="default"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keepNext w:val="0"/>
              <w:keepLines w:val="0"/>
              <w:widowControl w:val="0"/>
              <w:suppressLineNumbers w:val="0"/>
              <w:spacing w:before="0" w:beforeAutospacing="0" w:after="0" w:afterAutospacing="0"/>
              <w:ind w:left="0" w:right="0"/>
              <w:jc w:val="both"/>
              <w:rPr>
                <w:rFonts w:hint="default" w:asciiTheme="minorEastAsia" w:hAnsiTheme="minorEastAsia" w:eastAsiaTheme="minorEastAsia"/>
                <w:sz w:val="18"/>
                <w:szCs w:val="18"/>
              </w:rPr>
            </w:pPr>
            <w:r>
              <w:rPr>
                <w:rFonts w:hint="default" w:ascii="黑体" w:hAnsi="黑体" w:eastAsia="黑体" w:cs="黑体"/>
                <w:sz w:val="18"/>
              </w:rPr>
              <w:t>注：本产品单一投资者持有份额不得超过产品总份额50%。</w:t>
            </w:r>
            <w:r>
              <w:rPr>
                <w:rFonts w:hint="default" w:ascii="黑体" w:hAnsi="黑体" w:eastAsia="黑体" w:cs="黑体"/>
                <w:sz w:val="18"/>
              </w:rPr>
              <w:br w:type="textWrapping"/>
            </w:r>
            <w:r>
              <w:rPr>
                <w:rFonts w:hint="default" w:ascii="黑体" w:hAnsi="黑体" w:eastAsia="黑体" w:cs="黑体"/>
                <w:sz w:val="18"/>
              </w:rPr>
              <w:t>（1）投资者认购或申购确认后可能导致其持有份额超过产品总份额50%的，管理人有权拒绝或暂停认购、申购。</w:t>
            </w:r>
            <w:r>
              <w:rPr>
                <w:rFonts w:hint="default" w:ascii="黑体" w:hAnsi="黑体" w:eastAsia="黑体" w:cs="黑体"/>
                <w:sz w:val="18"/>
              </w:rPr>
              <w:br w:type="textWrapping"/>
            </w:r>
            <w:r>
              <w:rPr>
                <w:rFonts w:hint="default" w:ascii="黑体" w:hAnsi="黑体" w:eastAsia="黑体" w:cs="黑体"/>
                <w:sz w:val="18"/>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w:t>
            </w:r>
            <w:r>
              <w:rPr>
                <w:rFonts w:hint="default" w:asciiTheme="majorEastAsia" w:hAnsiTheme="majorEastAsia" w:eastAsiaTheme="majorEastAsia"/>
                <w:b/>
                <w:bCs/>
                <w:sz w:val="18"/>
                <w:szCs w:val="18"/>
              </w:rPr>
              <w:t>份额发售面值</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sz w:val="18"/>
                <w:szCs w:val="18"/>
              </w:rPr>
            </w:pPr>
            <w:r>
              <w:rPr>
                <w:rFonts w:hint="default"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hint="default" w:asciiTheme="majorEastAsia" w:hAnsiTheme="majorEastAsia" w:eastAsiaTheme="majorEastAsia"/>
                <w:color w:val="000000" w:themeColor="text1"/>
                <w:sz w:val="18"/>
                <w:szCs w:val="18"/>
                <w14:textFill>
                  <w14:solidFill>
                    <w14:schemeClr w14:val="tx1"/>
                  </w14:solidFill>
                </w14:textFill>
              </w:rPr>
              <w:t>.</w:t>
            </w:r>
            <w:r>
              <w:rPr>
                <w:rFonts w:hint="default"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分配所得以实际到账金额为准。</w:t>
            </w:r>
          </w:p>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hint="default"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hint="default" w:asciiTheme="majorEastAsia" w:hAnsiTheme="majorEastAsia" w:eastAsiaTheme="majorEastAsia"/>
                <w:bCs/>
                <w:sz w:val="18"/>
                <w:szCs w:val="18"/>
              </w:rPr>
              <w:t>的费用和税收。</w:t>
            </w:r>
          </w:p>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hint="default"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hint="default" w:asciiTheme="majorEastAsia" w:hAnsiTheme="majorEastAsia" w:eastAsiaTheme="majorEastAsia"/>
                <w:bCs/>
                <w:sz w:val="18"/>
                <w:szCs w:val="18"/>
              </w:rPr>
              <w:t>产品份额净值为基础进行利益分配。</w:t>
            </w:r>
          </w:p>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left"/>
              <w:rPr>
                <w:rFonts w:hint="default" w:asciiTheme="majorEastAsia" w:hAnsiTheme="majorEastAsia" w:eastAsiaTheme="majorEastAsia"/>
                <w:kern w:val="0"/>
                <w:sz w:val="18"/>
                <w:szCs w:val="18"/>
              </w:rPr>
            </w:pPr>
            <w:r>
              <w:rPr>
                <w:rFonts w:hint="default" w:ascii="宋体" w:hAnsi="宋体" w:eastAsia="宋体" w:cs="宋体"/>
                <w:sz w:val="18"/>
              </w:rPr>
              <w:t>1.业绩比较基准的设置</w:t>
            </w:r>
            <w:r>
              <w:rPr>
                <w:rFonts w:hint="default" w:ascii="宋体" w:hAnsi="宋体" w:eastAsia="宋体" w:cs="宋体"/>
                <w:sz w:val="18"/>
              </w:rPr>
              <w:br w:type="textWrapping"/>
            </w:r>
            <w:r>
              <w:rPr>
                <w:rFonts w:hint="default" w:ascii="宋体" w:hAnsi="宋体" w:eastAsia="宋体" w:cs="宋体"/>
                <w:sz w:val="18"/>
              </w:rPr>
              <w:t>■ 产品管理人设置业绩比较基准。</w:t>
            </w:r>
            <w:r>
              <w:rPr>
                <w:rFonts w:hint="default" w:ascii="宋体" w:hAnsi="宋体" w:eastAsia="宋体" w:cs="宋体"/>
                <w:sz w:val="18"/>
              </w:rPr>
              <w:br w:type="textWrapping"/>
            </w:r>
            <w:r>
              <w:rPr>
                <w:rFonts w:hint="default" w:ascii="宋体" w:hAnsi="宋体" w:eastAsia="宋体" w:cs="宋体"/>
                <w:sz w:val="18"/>
              </w:rPr>
              <w:t>（1）业绩比较基准的说明：【以一年期定期存款利率为无风险利率，基于当前对未来市场的判断，根据拟投资债权类资产的信用利差、久期敞口以及流动性溢价，预判组合的波动幅度】。</w:t>
            </w:r>
            <w:r>
              <w:rPr>
                <w:rFonts w:hint="default" w:ascii="宋体" w:hAnsi="宋体" w:eastAsia="宋体" w:cs="宋体"/>
                <w:sz w:val="18"/>
              </w:rPr>
              <w:br w:type="textWrapping"/>
            </w:r>
            <w:r>
              <w:rPr>
                <w:rFonts w:hint="default" w:ascii="宋体" w:hAnsi="宋体" w:eastAsia="宋体" w:cs="宋体"/>
                <w:sz w:val="18"/>
              </w:rPr>
              <w:t>（2）业绩比较基准的设定：管理人对本产品设定业绩比较基准：年化【2%-2.8%】。（适用【A】类份额)</w:t>
            </w:r>
            <w:r>
              <w:rPr>
                <w:rFonts w:hint="default" w:ascii="宋体" w:hAnsi="宋体" w:eastAsia="宋体" w:cs="宋体"/>
                <w:sz w:val="18"/>
              </w:rPr>
              <w:br w:type="textWrapping"/>
            </w:r>
            <w:r>
              <w:rPr>
                <w:rFonts w:hint="default" w:ascii="宋体" w:hAnsi="宋体" w:eastAsia="宋体" w:cs="宋体"/>
                <w:sz w:val="18"/>
              </w:rPr>
              <w:t>□ 产品管理人不设置业绩比较基准。</w:t>
            </w:r>
          </w:p>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2.业绩比较基准的提示：</w:t>
            </w:r>
          </w:p>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sz w:val="18"/>
                <w:szCs w:val="18"/>
              </w:rPr>
            </w:pPr>
            <w:r>
              <w:rPr>
                <w:rFonts w:hint="eastAsia"/>
                <w:sz w:val="18"/>
                <w:szCs w:val="18"/>
              </w:rPr>
              <w:t>★</w:t>
            </w:r>
            <w:r>
              <w:rPr>
                <w:rFonts w:hint="eastAsia"/>
                <w:b/>
                <w:sz w:val="18"/>
                <w:szCs w:val="18"/>
              </w:rPr>
              <w:t>业绩报酬计提</w:t>
            </w:r>
            <w:r>
              <w:rPr>
                <w:rFonts w:hint="default" w:ascii="宋体" w:hAnsi="宋体"/>
                <w:b/>
                <w:sz w:val="18"/>
                <w:szCs w:val="18"/>
              </w:rPr>
              <w:t>基准</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left"/>
              <w:rPr>
                <w:rFonts w:hint="default" w:ascii="宋体" w:hAnsi="宋体"/>
                <w:bCs/>
                <w:sz w:val="18"/>
                <w:szCs w:val="18"/>
              </w:rPr>
            </w:pPr>
            <w:r>
              <w:rPr>
                <w:rFonts w:hint="default" w:ascii="宋体" w:hAnsi="宋体" w:eastAsia="宋体" w:cs="宋体"/>
                <w:sz w:val="18"/>
              </w:rPr>
              <w:t>1.业绩报酬计提基准的设置</w:t>
            </w:r>
            <w:r>
              <w:rPr>
                <w:rFonts w:hint="default" w:ascii="宋体" w:hAnsi="宋体" w:eastAsia="宋体" w:cs="宋体"/>
                <w:sz w:val="18"/>
              </w:rPr>
              <w:br w:type="textWrapping"/>
            </w:r>
            <w:r>
              <w:rPr>
                <w:rFonts w:hint="default" w:ascii="宋体" w:hAnsi="宋体" w:eastAsia="宋体" w:cs="宋体"/>
                <w:sz w:val="18"/>
              </w:rPr>
              <w:t>□ 产品管理人设置业绩报酬计提基准。</w:t>
            </w:r>
            <w:r>
              <w:rPr>
                <w:rFonts w:hint="default" w:ascii="宋体" w:hAnsi="宋体" w:eastAsia="宋体" w:cs="宋体"/>
                <w:sz w:val="18"/>
              </w:rPr>
              <w:br w:type="textWrapping"/>
            </w:r>
            <w:r>
              <w:rPr>
                <w:rFonts w:hint="default" w:ascii="宋体" w:hAnsi="宋体" w:eastAsia="宋体" w:cs="宋体"/>
                <w:sz w:val="18"/>
              </w:rPr>
              <w:t>业绩报酬计提基准的设定：管理人对本产品设定业绩报酬计提基准：年化【】。（适用【A】类份额)</w:t>
            </w:r>
            <w:r>
              <w:rPr>
                <w:rFonts w:hint="default" w:ascii="宋体" w:hAnsi="宋体" w:eastAsia="宋体" w:cs="宋体"/>
                <w:sz w:val="18"/>
              </w:rPr>
              <w:br w:type="textWrapping"/>
            </w:r>
            <w:r>
              <w:rPr>
                <w:rFonts w:hint="default" w:ascii="宋体" w:hAnsi="宋体" w:eastAsia="宋体" w:cs="宋体"/>
                <w:sz w:val="18"/>
              </w:rPr>
              <w:t>■ 产品管理人不设置业绩报酬计提基准。</w:t>
            </w:r>
          </w:p>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default" w:ascii="宋体" w:hAnsi="宋体"/>
                <w:bCs/>
                <w:sz w:val="18"/>
                <w:szCs w:val="18"/>
              </w:rPr>
              <w:t>2.业绩报酬计提基准的提示</w:t>
            </w:r>
            <w:r>
              <w:rPr>
                <w:rFonts w:hint="eastAsia" w:ascii="宋体" w:hAnsi="宋体"/>
                <w:bCs/>
                <w:sz w:val="18"/>
                <w:szCs w:val="18"/>
              </w:rPr>
              <w:t>：</w:t>
            </w:r>
          </w:p>
          <w:p>
            <w:pPr>
              <w:keepNext w:val="0"/>
              <w:keepLines w:val="0"/>
              <w:suppressLineNumbers w:val="0"/>
              <w:autoSpaceDE w:val="0"/>
              <w:autoSpaceDN w:val="0"/>
              <w:adjustRightInd w:val="0"/>
              <w:spacing w:before="0" w:beforeAutospacing="0" w:after="0" w:afterAutospacing="0" w:line="360" w:lineRule="auto"/>
              <w:ind w:left="0" w:right="0"/>
              <w:jc w:val="left"/>
              <w:rPr>
                <w:rFonts w:hint="default" w:ascii="黑体" w:hAnsi="黑体" w:eastAsia="黑体"/>
                <w:sz w:val="18"/>
              </w:rPr>
            </w:pPr>
            <w:r>
              <w:rPr>
                <w:rFonts w:hint="eastAsia" w:ascii="黑体" w:hAnsi="黑体" w:eastAsia="黑体"/>
                <w:sz w:val="18"/>
              </w:rPr>
              <w:t>（</w:t>
            </w:r>
            <w:r>
              <w:rPr>
                <w:rFonts w:hint="default"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宋体" w:hAnsi="宋体"/>
                <w:bCs/>
                <w:sz w:val="18"/>
                <w:szCs w:val="18"/>
              </w:rPr>
              <w:t>（</w:t>
            </w:r>
            <w:r>
              <w:rPr>
                <w:rFonts w:hint="default"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bCs/>
                <w:sz w:val="18"/>
                <w:szCs w:val="18"/>
              </w:rPr>
            </w:pPr>
            <w:r>
              <w:rPr>
                <w:rFonts w:hint="eastAsia" w:hAnsi="宋体"/>
                <w:bCs/>
                <w:sz w:val="18"/>
                <w:szCs w:val="18"/>
              </w:rPr>
              <w:t>1</w:t>
            </w:r>
            <w:r>
              <w:rPr>
                <w:rFonts w:hint="default"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keepNext w:val="0"/>
              <w:keepLines w:val="0"/>
              <w:suppressLineNumbers w:val="0"/>
              <w:spacing w:before="0" w:beforeAutospacing="0" w:after="0" w:afterAutospacing="0" w:line="360" w:lineRule="auto"/>
              <w:ind w:left="0" w:right="0"/>
              <w:jc w:val="left"/>
              <w:rPr>
                <w:rFonts w:hint="default" w:hAnsi="宋体"/>
                <w:bCs/>
                <w:sz w:val="18"/>
                <w:szCs w:val="18"/>
              </w:rPr>
            </w:pPr>
            <w:r>
              <w:rPr>
                <w:rFonts w:hint="eastAsia" w:hAnsi="宋体"/>
                <w:bCs/>
                <w:sz w:val="18"/>
                <w:szCs w:val="18"/>
              </w:rPr>
              <w:t>2</w:t>
            </w:r>
            <w:r>
              <w:rPr>
                <w:rFonts w:hint="default"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keepNext w:val="0"/>
              <w:keepLines w:val="0"/>
              <w:widowControl/>
              <w:suppressLineNumbers w:val="0"/>
              <w:spacing w:before="0" w:beforeAutospacing="0" w:after="0" w:afterAutospacing="0" w:line="360" w:lineRule="auto"/>
              <w:ind w:left="0" w:right="0"/>
              <w:jc w:val="left"/>
              <w:rPr>
                <w:rFonts w:hint="eastAsia" w:ascii="黑体" w:hAnsi="黑体" w:eastAsia="黑体" w:cs="黑体"/>
                <w:sz w:val="18"/>
                <w:szCs w:val="18"/>
              </w:rPr>
            </w:pPr>
            <w:r>
              <w:rPr>
                <w:rFonts w:hint="default" w:ascii="黑体" w:hAnsi="黑体" w:eastAsia="黑体" w:cs="黑体"/>
                <w:sz w:val="18"/>
              </w:rPr>
              <w:t>1.理财产品的费率标准</w:t>
            </w:r>
            <w:r>
              <w:rPr>
                <w:rFonts w:hint="default" w:ascii="黑体" w:hAnsi="黑体" w:eastAsia="黑体" w:cs="黑体"/>
                <w:sz w:val="18"/>
              </w:rPr>
              <w:br w:type="textWrapping"/>
            </w:r>
            <w:r>
              <w:rPr>
                <w:rFonts w:hint="default" w:ascii="黑体" w:hAnsi="黑体" w:eastAsia="黑体" w:cs="黑体"/>
                <w:sz w:val="18"/>
              </w:rPr>
              <w:t>（1）认购费：【/】。（适用【A】类份额）</w:t>
            </w:r>
            <w:r>
              <w:rPr>
                <w:rFonts w:hint="default" w:ascii="黑体" w:hAnsi="黑体" w:eastAsia="黑体" w:cs="黑体"/>
                <w:sz w:val="18"/>
              </w:rPr>
              <w:br w:type="textWrapping"/>
            </w:r>
            <w:r>
              <w:rPr>
                <w:rFonts w:hint="default" w:ascii="黑体" w:hAnsi="黑体" w:eastAsia="黑体" w:cs="黑体"/>
                <w:sz w:val="18"/>
              </w:rPr>
              <w:t>（2）销售服务费：年化费率【0.2%】。（适用【A】类份额）</w:t>
            </w:r>
            <w:r>
              <w:rPr>
                <w:rFonts w:hint="default" w:ascii="黑体" w:hAnsi="黑体" w:eastAsia="黑体" w:cs="黑体"/>
                <w:sz w:val="18"/>
              </w:rPr>
              <w:br w:type="textWrapping"/>
            </w:r>
            <w:r>
              <w:rPr>
                <w:rFonts w:hint="default" w:ascii="黑体" w:hAnsi="黑体" w:eastAsia="黑体" w:cs="黑体"/>
                <w:sz w:val="18"/>
              </w:rPr>
              <w:t>（3）投资管理费：年化费率【0.1%】</w:t>
            </w:r>
            <w:r>
              <w:rPr>
                <w:rFonts w:hint="default" w:ascii="黑体" w:hAnsi="黑体" w:eastAsia="黑体" w:cs="黑体"/>
                <w:sz w:val="18"/>
              </w:rPr>
              <w:br w:type="textWrapping"/>
            </w:r>
            <w:r>
              <w:rPr>
                <w:rFonts w:hint="default" w:ascii="黑体" w:hAnsi="黑体" w:eastAsia="黑体" w:cs="黑体"/>
                <w:sz w:val="18"/>
              </w:rPr>
              <w:t>（4）产品托管费：年化费率【0.03%】</w:t>
            </w:r>
            <w:r>
              <w:rPr>
                <w:rFonts w:hint="default" w:ascii="黑体" w:hAnsi="黑体" w:eastAsia="黑体" w:cs="黑体"/>
                <w:sz w:val="18"/>
              </w:rPr>
              <w:br w:type="textWrapping"/>
            </w:r>
            <w:r>
              <w:rPr>
                <w:rFonts w:hint="default" w:ascii="黑体" w:hAnsi="黑体" w:eastAsia="黑体" w:cs="黑体"/>
                <w:sz w:val="18"/>
              </w:rPr>
              <w:t>（5）超额业绩报酬：</w:t>
            </w:r>
            <w:r>
              <w:rPr>
                <w:rFonts w:hint="default" w:ascii="黑体" w:hAnsi="黑体" w:eastAsia="黑体" w:cs="黑体"/>
                <w:sz w:val="18"/>
              </w:rPr>
              <w:br w:type="textWrapping"/>
            </w:r>
            <w:r>
              <w:rPr>
                <w:rFonts w:hint="default" w:ascii="黑体" w:hAnsi="黑体" w:eastAsia="黑体" w:cs="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作为超额业绩报酬。</w:t>
            </w:r>
          </w:p>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pPr>
              <w:keepNext w:val="0"/>
              <w:keepLines w:val="0"/>
              <w:suppressLineNumbers w:val="0"/>
              <w:spacing w:before="0" w:beforeAutospacing="0" w:after="0" w:afterAutospacing="0" w:line="360" w:lineRule="auto"/>
              <w:ind w:left="0" w:right="0"/>
              <w:rPr>
                <w:rFonts w:hint="default"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宋体" w:hAnsi="宋体"/>
                <w:b/>
                <w:bCs/>
                <w:kern w:val="0"/>
                <w:sz w:val="18"/>
                <w:szCs w:val="18"/>
              </w:rPr>
              <w:t>税收</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79154666"/>
      <w:bookmarkStart w:id="5" w:name="_Toc176189755"/>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keepNext w:val="0"/>
              <w:keepLines w:val="0"/>
              <w:suppressLineNumbers w:val="0"/>
              <w:spacing w:before="0" w:beforeAutospacing="0" w:after="0" w:afterAutospacing="0" w:line="360" w:lineRule="auto"/>
              <w:ind w:left="0" w:right="0" w:firstLine="361" w:firstLineChars="200"/>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keepNext w:val="0"/>
              <w:keepLines w:val="0"/>
              <w:suppressLineNumbers w:val="0"/>
              <w:spacing w:before="0" w:beforeAutospacing="0" w:after="0" w:afterAutospacing="0" w:line="360" w:lineRule="auto"/>
              <w:ind w:left="0" w:right="0" w:firstLine="361" w:firstLineChars="200"/>
              <w:jc w:val="center"/>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keepNext w:val="0"/>
              <w:keepLines w:val="0"/>
              <w:suppressLineNumbers w:val="0"/>
              <w:spacing w:before="0" w:beforeAutospacing="0" w:after="0" w:afterAutospacing="0" w:line="360" w:lineRule="auto"/>
              <w:ind w:left="0" w:right="0"/>
              <w:jc w:val="left"/>
              <w:rPr>
                <w:rFonts w:hint="default"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hint="default" w:cs="Times New Roman" w:asciiTheme="minorEastAsia" w:hAnsiTheme="minorEastAsia" w:eastAsiaTheme="minorEastAsia"/>
                <w:bCs/>
                <w:kern w:val="0"/>
                <w:sz w:val="18"/>
                <w:szCs w:val="18"/>
              </w:rPr>
              <w:t>至募集期终止日</w:t>
            </w:r>
          </w:p>
        </w:tc>
        <w:tc>
          <w:tcPr>
            <w:tcW w:w="4267" w:type="dxa"/>
            <w:vAlign w:val="center"/>
          </w:tcPr>
          <w:p>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认购期/募集期内资金产生的利息（如有），不计入本金份额。</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176189756"/>
      <w:bookmarkStart w:id="10" w:name="_Toc4771"/>
      <w:bookmarkStart w:id="11" w:name="_Toc79154668"/>
      <w:bookmarkStart w:id="12" w:name="_Toc15203"/>
      <w:bookmarkStart w:id="13" w:name="_Toc29948"/>
      <w:bookmarkStart w:id="14" w:name="_Toc27226"/>
      <w:bookmarkStart w:id="15" w:name="_Toc6714"/>
      <w:bookmarkStart w:id="16" w:name="_Toc3266"/>
      <w:bookmarkStart w:id="17" w:name="_Toc29784"/>
      <w:bookmarkStart w:id="18" w:name="_Toc27189"/>
      <w:bookmarkStart w:id="19" w:name="_Toc16265"/>
      <w:bookmarkStart w:id="20" w:name="_Toc90742390"/>
      <w:bookmarkStart w:id="21" w:name="_Toc90742321"/>
      <w:bookmarkStart w:id="22" w:name="_Toc7151"/>
      <w:bookmarkStart w:id="23" w:name="_Toc74065741"/>
      <w:bookmarkStart w:id="24" w:name="_Toc22074"/>
      <w:bookmarkStart w:id="25" w:name="_Toc90742688"/>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pStyle w:val="34"/>
        <w:spacing w:line="360" w:lineRule="auto"/>
        <w:ind w:firstLine="360" w:firstLineChars="200"/>
        <w:rPr>
          <w:rFonts w:asciiTheme="majorEastAsia" w:hAnsiTheme="majorEastAsia" w:eastAsiaTheme="majorEastAsia"/>
          <w:bCs/>
          <w:sz w:val="18"/>
          <w:szCs w:val="18"/>
        </w:rPr>
      </w:pPr>
      <w:permStart w:id="15" w:edGrp="everyone"/>
      <w:r>
        <w:rPr>
          <w:rFonts w:ascii="宋体" w:hAnsi="宋体" w:eastAsia="宋体" w:cs="宋体"/>
          <w:sz w:val="18"/>
        </w:rPr>
        <w:t>（1）银行存款、债券逆回购、货币基金等货币市场工具及其它银行间和交易所资金融通工具；</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（3）债券借贷、国债期货等。</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4）投资于股票（包含主板、中小板、创业板、科创板及其他经中国证监会核准上市的股票，含即将公开挂牌交易的股票，含港股通标的股票等监管部门允许投资的境外股票）、证监会基金分类中的股票型基金、混合型基金及QDII基金（含中港互认基金）、从交易所市场买卖指数型LOF与ETF的流通份额、优先股、股指期货、权证、期权、GDR、收益互换、收益凭证等。</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（5）投资于上述资产的符合监管要求的公募基金、基金公司或子公司资产管理计划、证券公司资产管理计划、保险资产管理计划及信托计划等。</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（6）其他风险不高于前述资产的资产。</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ermStart w:id="16" w:edGrp="everyone"/>
      <w:r>
        <w:rPr>
          <w:rFonts w:ascii="宋体" w:hAnsi="宋体" w:eastAsia="宋体" w:cs="宋体"/>
          <w:sz w:val="18"/>
        </w:rPr>
        <w:t>（1）本产品投资于债权类资产的比例不低于产品总资产的80%。 非因管理人主观因素导致突破前款规定比例限制的，产品管理人在流动性受限资产可出售、可转让或者恢复交易的15个交易日内调整至符合要求，监管机构规定的特殊情形除外。</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（2）本产品投资于权益类资产的比例合计不超过产品总资产的5%。</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（3）本产品投资于金融衍生品类资产的比例合计不超过产品总资产的20%。</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注：本产品可能投资不存在活跃交易市场，并且需要采用估值技术确定公允价值的资产，且投资上述资产的比例达到理财产品净资产50%以上。</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sz w:val="18"/>
          <w:szCs w:val="18"/>
        </w:rPr>
      </w:pPr>
      <w:permStart w:id="18" w:edGrp="everyone"/>
      <w:r>
        <w:rPr>
          <w:rFonts w:ascii="宋体" w:hAnsi="宋体" w:eastAsia="宋体" w:cs="宋体"/>
          <w:sz w:val="18"/>
        </w:rPr>
        <w:t>（1）每只公募理财产品投资单只证券或者单只公募证券投资基金的市值不得超过该理财产品净资产的10%。</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（2）全部公募理财产品持有单只证券或单只公募证券投资基金的市值，不得超过该证券市值或该公募证券投资基金市值的30%。</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（3）全部理财产品持有单一上市公司发行的股票，不得超过该上市公司可流通股票的30%。</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 xml:space="preserve">（4）全部开放式公募理财产品投资单一上市公司发行的股票不得超过该上市公司可流通股票的15%。 </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（5）本产品因为流动性需要可开展存单质押、债券正回购等融资业务，本产品总资产不超过净资产的200%。</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权益资产的交易类机会、博取一定的弹性收益，以低波动、绝对收益为目标进行投资管理。】</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8797"/>
      <w:bookmarkStart w:id="28" w:name="_Toc1823"/>
      <w:bookmarkStart w:id="29" w:name="_Toc21988"/>
      <w:bookmarkStart w:id="30" w:name="_Toc7848"/>
      <w:bookmarkStart w:id="31" w:name="_Toc139991735"/>
      <w:bookmarkStart w:id="32" w:name="_Toc17912"/>
      <w:bookmarkStart w:id="33" w:name="_Toc18329"/>
      <w:bookmarkStart w:id="34" w:name="_Toc74065742"/>
      <w:bookmarkStart w:id="35" w:name="_Toc141703885"/>
      <w:bookmarkStart w:id="36" w:name="_Toc79154669"/>
      <w:bookmarkStart w:id="37" w:name="_Toc18526"/>
      <w:bookmarkStart w:id="38" w:name="_Toc14893"/>
      <w:bookmarkStart w:id="39" w:name="_Toc4741"/>
      <w:bookmarkStart w:id="40" w:name="_Toc26986"/>
      <w:bookmarkStart w:id="41" w:name="_Toc176189758"/>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74065743"/>
      <w:bookmarkStart w:id="44" w:name="_Toc1270"/>
      <w:bookmarkStart w:id="45" w:name="_Toc23261"/>
      <w:bookmarkStart w:id="46" w:name="_Toc7920"/>
      <w:bookmarkStart w:id="47" w:name="_Toc10463"/>
      <w:bookmarkStart w:id="48" w:name="_Toc48649707"/>
      <w:bookmarkStart w:id="49" w:name="_Toc176189759"/>
      <w:bookmarkStart w:id="50" w:name="_Toc123051452"/>
      <w:bookmarkStart w:id="51" w:name="_Toc98560352"/>
      <w:bookmarkStart w:id="52" w:name="_Toc610"/>
      <w:bookmarkStart w:id="53" w:name="_Toc123112234"/>
      <w:bookmarkStart w:id="54" w:name="_Toc139991736"/>
      <w:bookmarkStart w:id="55" w:name="_Toc23822"/>
      <w:bookmarkStart w:id="56" w:name="_Toc79392606"/>
      <w:bookmarkStart w:id="57" w:name="_Toc17244"/>
      <w:bookmarkStart w:id="58" w:name="_Toc141703886"/>
      <w:bookmarkStart w:id="59" w:name="_Toc20733"/>
      <w:bookmarkStart w:id="60" w:name="_Toc4003"/>
      <w:bookmarkStart w:id="61" w:name="_Toc123102453"/>
      <w:bookmarkStart w:id="62" w:name="_Toc1427"/>
      <w:bookmarkStart w:id="63" w:name="_Toc79154670"/>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本产品存续期间，每【周】进行一次估值。如遇产品到期日、季度末、半年度末、年度末等时间节点管理人将增加估值日。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31644"/>
      <w:bookmarkStart w:id="66" w:name="_Toc79154671"/>
      <w:bookmarkStart w:id="67" w:name="_Toc139991737"/>
      <w:bookmarkStart w:id="68" w:name="_Toc29251"/>
      <w:bookmarkStart w:id="69" w:name="_Toc123102454"/>
      <w:bookmarkStart w:id="70" w:name="_Toc12245"/>
      <w:bookmarkStart w:id="71" w:name="_Toc176189760"/>
      <w:bookmarkStart w:id="72" w:name="_Toc6405"/>
      <w:bookmarkStart w:id="73" w:name="_Toc74065744"/>
      <w:bookmarkStart w:id="74" w:name="_Toc123112235"/>
      <w:bookmarkStart w:id="75" w:name="_Toc31653"/>
      <w:bookmarkStart w:id="76" w:name="_Toc123051453"/>
      <w:bookmarkStart w:id="77" w:name="_Toc141703887"/>
      <w:bookmarkStart w:id="78" w:name="_Toc31235"/>
      <w:bookmarkStart w:id="79" w:name="_Toc3601"/>
      <w:bookmarkStart w:id="80" w:name="_Toc98560353"/>
      <w:bookmarkStart w:id="81" w:name="_Toc14835"/>
      <w:bookmarkStart w:id="82" w:name="_Toc15143"/>
      <w:bookmarkStart w:id="83" w:name="_Toc26207"/>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15118234"/>
      <w:bookmarkStart w:id="86" w:name="_Toc79392580"/>
      <w:bookmarkStart w:id="87" w:name="_Toc523711668"/>
      <w:bookmarkStart w:id="88" w:name="_Toc57530239"/>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18567"/>
      <w:bookmarkStart w:id="92" w:name="_Toc4559"/>
      <w:bookmarkStart w:id="93" w:name="_Toc141703888"/>
      <w:bookmarkStart w:id="94" w:name="_Toc74065745"/>
      <w:bookmarkStart w:id="95" w:name="_Toc9706"/>
      <w:bookmarkStart w:id="96" w:name="_Toc6447"/>
      <w:bookmarkStart w:id="97" w:name="_Toc11030"/>
      <w:bookmarkStart w:id="98" w:name="_Toc3771"/>
      <w:bookmarkStart w:id="99" w:name="_Toc123112236"/>
      <w:bookmarkStart w:id="100" w:name="_Toc79392583"/>
      <w:bookmarkStart w:id="101" w:name="_Toc25783"/>
      <w:bookmarkStart w:id="102" w:name="_Toc3321"/>
      <w:bookmarkStart w:id="103" w:name="_Toc7058"/>
      <w:bookmarkStart w:id="104" w:name="_Toc10650"/>
      <w:bookmarkStart w:id="105" w:name="_Toc79154672"/>
      <w:bookmarkStart w:id="106" w:name="_Toc139991738"/>
      <w:bookmarkStart w:id="107" w:name="_Toc123051454"/>
      <w:bookmarkStart w:id="108" w:name="_Toc176189761"/>
      <w:bookmarkStart w:id="109" w:name="_Toc123102455"/>
      <w:bookmarkStart w:id="110" w:name="_Toc98560354"/>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permStart w:id="23" w:edGrp="everyone"/>
      <w:r>
        <w:rPr>
          <w:rFonts w:hint="eastAsia" w:ascii="黑体" w:hAnsi="黑体" w:eastAsia="黑体" w:cs="黑体"/>
          <w:kern w:val="0"/>
          <w:sz w:val="18"/>
          <w:szCs w:val="18"/>
        </w:rPr>
        <w:t>（2）理财产品的销售服务费</w:t>
      </w:r>
    </w:p>
    <w:p>
      <w:pPr>
        <w:pStyle w:val="34"/>
        <w:spacing w:line="360" w:lineRule="auto"/>
        <w:ind w:firstLine="360" w:firstLineChars="200"/>
        <w:rPr>
          <w:rFonts w:hint="eastAsia" w:ascii="黑体" w:hAnsi="黑体" w:eastAsia="黑体" w:cs="黑体"/>
          <w:color w:val="auto"/>
          <w:kern w:val="2"/>
          <w:sz w:val="18"/>
          <w:szCs w:val="18"/>
        </w:rPr>
      </w:pPr>
      <w:r>
        <w:rPr>
          <w:rFonts w:ascii="宋体" w:hAnsi="宋体" w:eastAsia="宋体" w:cs="宋体"/>
          <w:sz w:val="18"/>
        </w:rPr>
        <w:t>本产品的销售服务费按前一日理财资产净值与销售服务费每日费率每日计提。销售服务费的计算方法如下：</w:t>
      </w:r>
      <w:r>
        <w:rPr>
          <w:rFonts w:ascii="宋体" w:hAnsi="宋体" w:eastAsia="宋体" w:cs="宋体"/>
          <w:sz w:val="18"/>
        </w:rPr>
        <w:br w:type="textWrapping"/>
      </w:r>
      <w:r>
        <w:rPr>
          <w:rFonts w:ascii="宋体" w:hAnsi="宋体" w:eastAsia="宋体" w:cs="宋体"/>
          <w:sz w:val="18"/>
        </w:rPr>
        <w:t xml:space="preserve">  H＝E×销售服务费年费率÷365</w:t>
      </w:r>
      <w:r>
        <w:rPr>
          <w:rFonts w:ascii="宋体" w:hAnsi="宋体" w:eastAsia="宋体" w:cs="宋体"/>
          <w:sz w:val="18"/>
        </w:rPr>
        <w:br w:type="textWrapping"/>
      </w:r>
      <w:r>
        <w:rPr>
          <w:rFonts w:ascii="宋体" w:hAnsi="宋体" w:eastAsia="宋体" w:cs="宋体"/>
          <w:sz w:val="18"/>
        </w:rPr>
        <w:t xml:space="preserve">  H为每日应计提的销售服务费</w:t>
      </w:r>
      <w:r>
        <w:rPr>
          <w:rFonts w:ascii="宋体" w:hAnsi="宋体" w:eastAsia="宋体" w:cs="宋体"/>
          <w:sz w:val="18"/>
        </w:rPr>
        <w:br w:type="textWrapping"/>
      </w:r>
      <w:r>
        <w:rPr>
          <w:rFonts w:ascii="宋体" w:hAnsi="宋体" w:eastAsia="宋体" w:cs="宋体"/>
          <w:sz w:val="18"/>
        </w:rPr>
        <w:t xml:space="preserve">  E为前一日的理财资产净值</w:t>
      </w:r>
      <w:r>
        <w:rPr>
          <w:rFonts w:ascii="宋体" w:hAnsi="宋体" w:eastAsia="宋体" w:cs="宋体"/>
          <w:sz w:val="18"/>
        </w:rPr>
        <w:br w:type="textWrapping"/>
      </w:r>
      <w:r>
        <w:rPr>
          <w:rFonts w:ascii="宋体" w:hAnsi="宋体" w:eastAsia="宋体" w:cs="宋体"/>
          <w:sz w:val="18"/>
        </w:rPr>
        <w:t xml:space="preserve">  销售服务费依照上述约定，从理财财产中支付。费率具体数值以《产品说明书》“第二条 理财产品基本情况”为准。</w:t>
      </w:r>
    </w:p>
    <w:permEnd w:id="23"/>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pPr>
        <w:widowControl/>
        <w:spacing w:line="360" w:lineRule="auto"/>
        <w:ind w:firstLine="360" w:firstLineChars="200"/>
        <w:jc w:val="left"/>
        <w:rPr>
          <w:rFonts w:hint="eastAsia" w:ascii="黑体" w:hAnsi="黑体" w:eastAsia="黑体" w:cs="黑体"/>
          <w:sz w:val="18"/>
          <w:szCs w:val="18"/>
          <w:lang w:eastAsia="zh-CN"/>
        </w:rPr>
      </w:pPr>
      <w:r>
        <w:rPr>
          <w:rFonts w:hint="eastAsia" w:ascii="黑体" w:hAnsi="黑体" w:eastAsia="黑体" w:cs="黑体"/>
          <w:sz w:val="18"/>
          <w:szCs w:val="18"/>
        </w:rPr>
        <w:t>本产品不收取超额业绩报酬</w:t>
      </w:r>
      <w:r>
        <w:rPr>
          <w:rFonts w:hint="eastAsia" w:ascii="黑体" w:hAnsi="黑体" w:eastAsia="黑体" w:cs="黑体"/>
          <w:sz w:val="18"/>
          <w:szCs w:val="18"/>
          <w:lang w:eastAsia="zh-CN"/>
        </w:rPr>
        <w:t>。</w:t>
      </w:r>
      <w:bookmarkStart w:id="156" w:name="_GoBack"/>
      <w:bookmarkEnd w:id="156"/>
    </w:p>
    <w:permEnd w:id="24"/>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16164"/>
      <w:bookmarkStart w:id="114" w:name="_Toc31821"/>
      <w:bookmarkStart w:id="115" w:name="_Toc79154673"/>
      <w:bookmarkStart w:id="116" w:name="_Toc10398"/>
      <w:bookmarkStart w:id="117" w:name="_Toc3080"/>
      <w:bookmarkStart w:id="118" w:name="_Toc123102456"/>
      <w:bookmarkStart w:id="119" w:name="_Toc176189762"/>
      <w:bookmarkStart w:id="120" w:name="_Toc98560355"/>
      <w:bookmarkStart w:id="121" w:name="_Toc139991739"/>
      <w:bookmarkStart w:id="122" w:name="_Toc18206"/>
      <w:bookmarkStart w:id="123" w:name="_Toc74065746"/>
      <w:bookmarkStart w:id="124" w:name="_Toc123112237"/>
      <w:bookmarkStart w:id="125" w:name="_Toc3572"/>
      <w:bookmarkStart w:id="126" w:name="_Toc123051455"/>
      <w:bookmarkStart w:id="127" w:name="_Toc21735"/>
      <w:bookmarkStart w:id="128" w:name="_Toc725"/>
      <w:bookmarkStart w:id="129" w:name="_Toc141703889"/>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15118245"/>
      <w:bookmarkStart w:id="131" w:name="_Toc57530252"/>
      <w:bookmarkStart w:id="132"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17198"/>
      <w:bookmarkStart w:id="134" w:name="_Toc123051456"/>
      <w:bookmarkStart w:id="135" w:name="_Toc5170"/>
      <w:bookmarkStart w:id="136" w:name="_Toc139991740"/>
      <w:bookmarkStart w:id="137" w:name="_Toc21237"/>
      <w:bookmarkStart w:id="138" w:name="_Toc123112238"/>
      <w:bookmarkStart w:id="139" w:name="_Toc74065747"/>
      <w:bookmarkStart w:id="140" w:name="_Toc98560356"/>
      <w:bookmarkStart w:id="141" w:name="_Toc29408"/>
      <w:bookmarkStart w:id="142" w:name="_Toc79392622"/>
      <w:bookmarkStart w:id="143" w:name="_Toc32092"/>
      <w:bookmarkStart w:id="144" w:name="_Toc79154674"/>
      <w:bookmarkStart w:id="145" w:name="_Toc32584"/>
      <w:bookmarkStart w:id="146" w:name="_Toc8791"/>
      <w:bookmarkStart w:id="147" w:name="_Toc739"/>
      <w:bookmarkStart w:id="148" w:name="_Toc141703890"/>
      <w:bookmarkStart w:id="149" w:name="_Toc48649708"/>
      <w:bookmarkStart w:id="150" w:name="_Toc123102457"/>
      <w:bookmarkStart w:id="151" w:name="_Toc17920"/>
      <w:bookmarkStart w:id="152" w:name="_Toc176189763"/>
      <w:bookmarkStart w:id="153" w:name="_Toc3329"/>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176189764"/>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hint="eastAsia" w:ascii="宋体" w:hAnsi="宋体"/>
          <w:sz w:val="18"/>
          <w:szCs w:val="18"/>
        </w:rPr>
      </w:pPr>
      <w:permStart w:id="26" w:edGrp="everyone"/>
      <w:r>
        <w:rPr>
          <w:rFonts w:hint="eastAsia" w:ascii="宋体" w:hAnsi="宋体"/>
          <w:sz w:val="18"/>
          <w:szCs w:val="18"/>
        </w:rPr>
        <w:t>【1、拟投资市场和资产的风险：</w:t>
      </w:r>
    </w:p>
    <w:p>
      <w:pPr>
        <w:spacing w:line="360" w:lineRule="auto"/>
        <w:ind w:firstLine="360" w:firstLineChars="200"/>
        <w:rPr>
          <w:rFonts w:hint="eastAsia"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hint="eastAsia"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hint="eastAsia" w:ascii="宋体" w:hAnsi="宋体"/>
          <w:sz w:val="18"/>
          <w:szCs w:val="18"/>
        </w:rPr>
      </w:pPr>
      <w:r>
        <w:rPr>
          <w:rFonts w:hint="eastAsia" w:ascii="宋体" w:hAnsi="宋体"/>
          <w:sz w:val="18"/>
          <w:szCs w:val="18"/>
        </w:rPr>
        <w:t xml:space="preserve">（2）投资权益类资产的风险 </w:t>
      </w:r>
    </w:p>
    <w:p>
      <w:pPr>
        <w:spacing w:line="360" w:lineRule="auto"/>
        <w:ind w:firstLine="360" w:firstLineChars="200"/>
        <w:rPr>
          <w:rFonts w:hint="eastAsia" w:ascii="宋体" w:hAnsi="宋体"/>
          <w:sz w:val="18"/>
          <w:szCs w:val="18"/>
        </w:rPr>
      </w:pPr>
      <w:r>
        <w:rPr>
          <w:rFonts w:hint="eastAsia" w:ascii="宋体" w:hAnsi="宋体"/>
          <w:sz w:val="18"/>
          <w:szCs w:val="18"/>
        </w:rPr>
        <w:t>1）投资股票类资产的风险</w:t>
      </w:r>
    </w:p>
    <w:p>
      <w:pPr>
        <w:spacing w:line="360" w:lineRule="auto"/>
        <w:ind w:firstLine="360" w:firstLineChars="200"/>
        <w:rPr>
          <w:rFonts w:hint="eastAsia" w:ascii="宋体" w:hAnsi="宋体"/>
          <w:sz w:val="18"/>
          <w:szCs w:val="18"/>
        </w:rPr>
      </w:pPr>
      <w:r>
        <w:rPr>
          <w:rFonts w:hint="eastAsia" w:ascii="宋体" w:hAnsi="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spacing w:line="360" w:lineRule="auto"/>
        <w:ind w:firstLine="360" w:firstLineChars="200"/>
        <w:rPr>
          <w:rFonts w:hint="eastAsia" w:ascii="宋体" w:hAnsi="宋体"/>
          <w:sz w:val="18"/>
          <w:szCs w:val="18"/>
        </w:rPr>
      </w:pPr>
      <w:r>
        <w:rPr>
          <w:rFonts w:hint="eastAsia" w:ascii="宋体" w:hAnsi="宋体"/>
          <w:sz w:val="18"/>
          <w:szCs w:val="18"/>
        </w:rPr>
        <w:t>2）投资股权类资产的风险</w:t>
      </w:r>
    </w:p>
    <w:p>
      <w:pPr>
        <w:spacing w:line="360" w:lineRule="auto"/>
        <w:ind w:firstLine="360" w:firstLineChars="200"/>
        <w:rPr>
          <w:rFonts w:hint="eastAsia" w:ascii="宋体" w:hAnsi="宋体"/>
          <w:sz w:val="18"/>
          <w:szCs w:val="18"/>
        </w:rPr>
      </w:pPr>
      <w:r>
        <w:rPr>
          <w:rFonts w:hint="eastAsia" w:ascii="宋体" w:hAnsi="宋体"/>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pPr>
        <w:spacing w:line="360" w:lineRule="auto"/>
        <w:ind w:firstLine="360" w:firstLineChars="200"/>
        <w:rPr>
          <w:rFonts w:hint="eastAsia" w:ascii="宋体" w:hAnsi="宋体"/>
          <w:sz w:val="18"/>
          <w:szCs w:val="18"/>
        </w:rPr>
      </w:pPr>
      <w:r>
        <w:rPr>
          <w:rFonts w:hint="eastAsia" w:ascii="宋体" w:hAnsi="宋体"/>
          <w:sz w:val="18"/>
          <w:szCs w:val="18"/>
        </w:rPr>
        <w:t xml:space="preserve">（3）投资商品和金融衍生品类资产的风险 </w:t>
      </w:r>
    </w:p>
    <w:p>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keepNext w:val="0"/>
              <w:keepLines w:val="0"/>
              <w:suppressLineNumbers w:val="0"/>
              <w:spacing w:before="0" w:beforeAutospacing="0" w:after="0" w:afterAutospacing="0" w:line="280" w:lineRule="atLeast"/>
              <w:ind w:left="0" w:right="0" w:firstLine="422"/>
              <w:jc w:val="center"/>
              <w:rPr>
                <w:rFonts w:hint="default" w:ascii="宋体" w:hAnsi="宋体" w:cs="Arial"/>
                <w:b/>
                <w:szCs w:val="21"/>
              </w:rPr>
            </w:pPr>
            <w:r>
              <w:rPr>
                <w:rFonts w:hint="eastAsia" w:ascii="宋体" w:hAnsi="宋体" w:cs="Arial"/>
                <w:b/>
                <w:szCs w:val="21"/>
              </w:rPr>
              <w:t>投资者确认栏</w:t>
            </w:r>
          </w:p>
          <w:p>
            <w:pPr>
              <w:keepNext w:val="0"/>
              <w:keepLines w:val="0"/>
              <w:suppressLineNumbers w:val="0"/>
              <w:spacing w:before="0" w:beforeAutospacing="0" w:after="0" w:afterAutospacing="0" w:line="360" w:lineRule="auto"/>
              <w:ind w:left="0" w:right="0" w:firstLine="361"/>
              <w:rPr>
                <w:rFonts w:hint="default"/>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keepNext w:val="0"/>
              <w:keepLines w:val="0"/>
              <w:suppressLineNumbers w:val="0"/>
              <w:spacing w:before="0" w:beforeAutospacing="0" w:after="0" w:afterAutospacing="0" w:line="360" w:lineRule="auto"/>
              <w:ind w:left="0" w:right="0"/>
              <w:jc w:val="left"/>
              <w:rPr>
                <w:rFonts w:hint="default"/>
                <w:b/>
                <w:sz w:val="18"/>
                <w:szCs w:val="18"/>
              </w:rPr>
            </w:pPr>
            <w:r>
              <w:rPr>
                <w:rFonts w:hint="eastAsia"/>
                <w:b/>
                <w:sz w:val="18"/>
                <w:szCs w:val="18"/>
              </w:rPr>
              <w:t>个人投资者适用</w:t>
            </w:r>
          </w:p>
        </w:tc>
        <w:tc>
          <w:tcPr>
            <w:tcW w:w="7371" w:type="dxa"/>
          </w:tcPr>
          <w:p>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投资者（</w:t>
            </w:r>
            <w:r>
              <w:rPr>
                <w:rFonts w:hint="default"/>
                <w:sz w:val="18"/>
                <w:szCs w:val="18"/>
              </w:rPr>
              <w:t>签名/</w:t>
            </w:r>
            <w:r>
              <w:rPr>
                <w:rFonts w:hint="eastAsia"/>
                <w:sz w:val="18"/>
                <w:szCs w:val="18"/>
              </w:rPr>
              <w:t>线上确认）：</w:t>
            </w:r>
          </w:p>
          <w:p>
            <w:pPr>
              <w:keepNext w:val="0"/>
              <w:keepLines w:val="0"/>
              <w:suppressLineNumbers w:val="0"/>
              <w:spacing w:before="0" w:beforeAutospacing="0" w:after="0" w:afterAutospacing="0" w:line="360" w:lineRule="auto"/>
              <w:ind w:left="0" w:right="0" w:firstLine="361"/>
              <w:jc w:val="left"/>
              <w:rPr>
                <w:rFonts w:hint="default"/>
                <w:b/>
                <w:sz w:val="18"/>
                <w:szCs w:val="18"/>
              </w:rPr>
            </w:pPr>
          </w:p>
          <w:p>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keepNext w:val="0"/>
              <w:keepLines w:val="0"/>
              <w:suppressLineNumbers w:val="0"/>
              <w:spacing w:before="0" w:beforeAutospacing="0" w:after="0" w:afterAutospacing="0" w:line="360" w:lineRule="auto"/>
              <w:ind w:left="0" w:right="0"/>
              <w:jc w:val="left"/>
              <w:rPr>
                <w:rFonts w:hint="default"/>
                <w:b/>
                <w:sz w:val="18"/>
                <w:szCs w:val="18"/>
              </w:rPr>
            </w:pPr>
            <w:r>
              <w:rPr>
                <w:rFonts w:hint="eastAsia"/>
                <w:b/>
                <w:sz w:val="18"/>
                <w:szCs w:val="18"/>
              </w:rPr>
              <w:t>机构投资者适用</w:t>
            </w:r>
          </w:p>
        </w:tc>
        <w:tc>
          <w:tcPr>
            <w:tcW w:w="7371" w:type="dxa"/>
          </w:tcPr>
          <w:p>
            <w:pPr>
              <w:keepNext w:val="0"/>
              <w:keepLines w:val="0"/>
              <w:suppressLineNumbers w:val="0"/>
              <w:spacing w:before="0" w:beforeAutospacing="0" w:after="0" w:afterAutospacing="0" w:line="360" w:lineRule="auto"/>
              <w:ind w:left="0" w:right="0" w:firstLine="360"/>
              <w:jc w:val="left"/>
              <w:rPr>
                <w:rFonts w:hint="default" w:cs="Arial"/>
                <w:sz w:val="18"/>
                <w:szCs w:val="18"/>
              </w:rPr>
            </w:pPr>
            <w:r>
              <w:rPr>
                <w:rFonts w:hint="eastAsia"/>
                <w:sz w:val="18"/>
                <w:szCs w:val="18"/>
              </w:rPr>
              <w:t>投资者</w:t>
            </w:r>
            <w:r>
              <w:rPr>
                <w:rFonts w:hint="eastAsia" w:cs="Arial"/>
                <w:sz w:val="18"/>
                <w:szCs w:val="18"/>
              </w:rPr>
              <w:t>（盖章</w:t>
            </w:r>
            <w:r>
              <w:rPr>
                <w:rFonts w:hint="default" w:cs="Arial"/>
                <w:sz w:val="18"/>
                <w:szCs w:val="18"/>
              </w:rPr>
              <w:t>/</w:t>
            </w:r>
            <w:r>
              <w:rPr>
                <w:rFonts w:hint="eastAsia" w:cs="Arial"/>
                <w:sz w:val="18"/>
                <w:szCs w:val="18"/>
              </w:rPr>
              <w:t>线上确认）：</w:t>
            </w:r>
          </w:p>
          <w:p>
            <w:pPr>
              <w:keepNext w:val="0"/>
              <w:keepLines w:val="0"/>
              <w:suppressLineNumbers w:val="0"/>
              <w:tabs>
                <w:tab w:val="left" w:pos="5609"/>
              </w:tabs>
              <w:spacing w:before="0" w:beforeAutospacing="0" w:after="0" w:afterAutospacing="0" w:line="360" w:lineRule="auto"/>
              <w:ind w:left="0" w:right="0" w:firstLine="360"/>
              <w:jc w:val="left"/>
              <w:rPr>
                <w:rFonts w:hint="default" w:cs="Arial"/>
                <w:sz w:val="18"/>
                <w:szCs w:val="18"/>
              </w:rPr>
            </w:pPr>
            <w:r>
              <w:rPr>
                <w:rFonts w:hint="default" w:cs="Arial"/>
                <w:sz w:val="18"/>
                <w:szCs w:val="18"/>
              </w:rPr>
              <w:tab/>
            </w:r>
          </w:p>
          <w:p>
            <w:pPr>
              <w:keepNext w:val="0"/>
              <w:keepLines w:val="0"/>
              <w:suppressLineNumbers w:val="0"/>
              <w:spacing w:before="0" w:beforeAutospacing="0" w:after="0" w:afterAutospacing="0" w:line="360" w:lineRule="auto"/>
              <w:ind w:left="0" w:right="0" w:firstLine="360"/>
              <w:jc w:val="left"/>
              <w:rPr>
                <w:rFonts w:hint="default" w:cs="Arial"/>
                <w:sz w:val="18"/>
                <w:szCs w:val="18"/>
              </w:rPr>
            </w:pPr>
            <w:r>
              <w:rPr>
                <w:rFonts w:hint="eastAsia" w:cs="Arial"/>
                <w:sz w:val="18"/>
                <w:szCs w:val="18"/>
              </w:rPr>
              <w:t>投资者法定代表人或授权代理人（签名</w:t>
            </w:r>
            <w:r>
              <w:rPr>
                <w:rFonts w:hint="default" w:cs="Arial"/>
                <w:sz w:val="18"/>
                <w:szCs w:val="18"/>
              </w:rPr>
              <w:t>/</w:t>
            </w:r>
            <w:r>
              <w:rPr>
                <w:rFonts w:hint="eastAsia" w:cs="Arial"/>
                <w:sz w:val="18"/>
                <w:szCs w:val="18"/>
              </w:rPr>
              <w:t>盖章</w:t>
            </w:r>
            <w:r>
              <w:rPr>
                <w:rFonts w:hint="default" w:cs="Arial"/>
                <w:sz w:val="18"/>
                <w:szCs w:val="18"/>
              </w:rPr>
              <w:t>/</w:t>
            </w:r>
            <w:r>
              <w:rPr>
                <w:rFonts w:hint="eastAsia" w:cs="Arial"/>
                <w:sz w:val="18"/>
                <w:szCs w:val="18"/>
              </w:rPr>
              <w:t>线上确认）：</w:t>
            </w:r>
          </w:p>
          <w:p>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dit="readOnly" w:enforcement="1" w:cryptProviderType="rsaFull" w:cryptAlgorithmClass="hash" w:cryptAlgorithmType="typeAny" w:cryptAlgorithmSid="4" w:cryptSpinCount="0" w:hash="X8MTH4r3VGXfheryKtfvJgFrepM=" w:salt="6hLmS31bjWHjyyVdPhkOf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46E31C1"/>
    <w:rsid w:val="056C4F65"/>
    <w:rsid w:val="05883C21"/>
    <w:rsid w:val="05B437EC"/>
    <w:rsid w:val="05B80C59"/>
    <w:rsid w:val="06952F33"/>
    <w:rsid w:val="06F4696E"/>
    <w:rsid w:val="07245E56"/>
    <w:rsid w:val="072779FF"/>
    <w:rsid w:val="082250CD"/>
    <w:rsid w:val="0BE22C8C"/>
    <w:rsid w:val="0C023D8C"/>
    <w:rsid w:val="0D003BAF"/>
    <w:rsid w:val="0DE01C8F"/>
    <w:rsid w:val="0E94232E"/>
    <w:rsid w:val="0F1306D5"/>
    <w:rsid w:val="10134CDE"/>
    <w:rsid w:val="11295396"/>
    <w:rsid w:val="11667AE7"/>
    <w:rsid w:val="12432CFD"/>
    <w:rsid w:val="163E2FB7"/>
    <w:rsid w:val="1A48157B"/>
    <w:rsid w:val="1ABE2ED9"/>
    <w:rsid w:val="1BD70953"/>
    <w:rsid w:val="1BF87698"/>
    <w:rsid w:val="1C78144D"/>
    <w:rsid w:val="1E585AB7"/>
    <w:rsid w:val="1EB160C2"/>
    <w:rsid w:val="1FF145B9"/>
    <w:rsid w:val="2193546F"/>
    <w:rsid w:val="23083986"/>
    <w:rsid w:val="23AF29A3"/>
    <w:rsid w:val="24924C8F"/>
    <w:rsid w:val="25675458"/>
    <w:rsid w:val="26123FD6"/>
    <w:rsid w:val="26F50BA9"/>
    <w:rsid w:val="29026D00"/>
    <w:rsid w:val="29B363FA"/>
    <w:rsid w:val="2A0E468C"/>
    <w:rsid w:val="2A642791"/>
    <w:rsid w:val="2A836688"/>
    <w:rsid w:val="2B590E2A"/>
    <w:rsid w:val="2EA644DF"/>
    <w:rsid w:val="2FB532A0"/>
    <w:rsid w:val="2FE14D58"/>
    <w:rsid w:val="319C4BEA"/>
    <w:rsid w:val="3283538E"/>
    <w:rsid w:val="32B3102A"/>
    <w:rsid w:val="33DA2E89"/>
    <w:rsid w:val="34115DF1"/>
    <w:rsid w:val="34B41D11"/>
    <w:rsid w:val="34C829B2"/>
    <w:rsid w:val="35381804"/>
    <w:rsid w:val="386A3F56"/>
    <w:rsid w:val="3A810EF7"/>
    <w:rsid w:val="3C3802E9"/>
    <w:rsid w:val="3E0C1771"/>
    <w:rsid w:val="3E586AB8"/>
    <w:rsid w:val="3E5C1B1D"/>
    <w:rsid w:val="3EAE14E9"/>
    <w:rsid w:val="3FA22D5A"/>
    <w:rsid w:val="3FD261A6"/>
    <w:rsid w:val="412D2572"/>
    <w:rsid w:val="42626C92"/>
    <w:rsid w:val="42EB2F9C"/>
    <w:rsid w:val="45226963"/>
    <w:rsid w:val="469E748C"/>
    <w:rsid w:val="469F5C49"/>
    <w:rsid w:val="47F83F3C"/>
    <w:rsid w:val="4A3241BC"/>
    <w:rsid w:val="4C163B54"/>
    <w:rsid w:val="4C9978BA"/>
    <w:rsid w:val="4D39606F"/>
    <w:rsid w:val="4F8E3D4D"/>
    <w:rsid w:val="4FA308F4"/>
    <w:rsid w:val="51BA7EA1"/>
    <w:rsid w:val="51E57594"/>
    <w:rsid w:val="526123AA"/>
    <w:rsid w:val="53B3493A"/>
    <w:rsid w:val="5537323C"/>
    <w:rsid w:val="55855837"/>
    <w:rsid w:val="55974979"/>
    <w:rsid w:val="56503211"/>
    <w:rsid w:val="57662666"/>
    <w:rsid w:val="57BD5DAE"/>
    <w:rsid w:val="598B567E"/>
    <w:rsid w:val="5B0F446D"/>
    <w:rsid w:val="5BA577EB"/>
    <w:rsid w:val="5C624734"/>
    <w:rsid w:val="5FE91ABC"/>
    <w:rsid w:val="60D42826"/>
    <w:rsid w:val="628E734C"/>
    <w:rsid w:val="656B1A72"/>
    <w:rsid w:val="6580603B"/>
    <w:rsid w:val="68B96EA7"/>
    <w:rsid w:val="68C7223A"/>
    <w:rsid w:val="68EF6886"/>
    <w:rsid w:val="694A7300"/>
    <w:rsid w:val="699457CF"/>
    <w:rsid w:val="6B8B1CC1"/>
    <w:rsid w:val="6D9767D9"/>
    <w:rsid w:val="6FDD1093"/>
    <w:rsid w:val="709C0126"/>
    <w:rsid w:val="70D35CA6"/>
    <w:rsid w:val="712F05BE"/>
    <w:rsid w:val="72473609"/>
    <w:rsid w:val="73EB7F47"/>
    <w:rsid w:val="75D06459"/>
    <w:rsid w:val="76022652"/>
    <w:rsid w:val="768501BE"/>
    <w:rsid w:val="76B466CC"/>
    <w:rsid w:val="76C8601E"/>
    <w:rsid w:val="7831779D"/>
    <w:rsid w:val="7AFB44D3"/>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C86F3EB-DB57-4B60-8A7E-BBB67A22EE0B}">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1EEDD527-97BA-47F6-B37E-95B51416FA3B}">
  <ds:schemaRefs/>
</ds:datastoreItem>
</file>

<file path=customXml/itemProps12.xml><?xml version="1.0" encoding="utf-8"?>
<ds:datastoreItem xmlns:ds="http://schemas.openxmlformats.org/officeDocument/2006/customXml" ds:itemID="{9114D43D-ED98-4C7B-A3AE-26D78B80CA82}">
  <ds:schemaRefs/>
</ds:datastoreItem>
</file>

<file path=customXml/itemProps13.xml><?xml version="1.0" encoding="utf-8"?>
<ds:datastoreItem xmlns:ds="http://schemas.openxmlformats.org/officeDocument/2006/customXml" ds:itemID="{1990A2D8-324F-45D5-B9CD-07245ED2860B}">
  <ds:schemaRefs/>
</ds:datastoreItem>
</file>

<file path=customXml/itemProps14.xml><?xml version="1.0" encoding="utf-8"?>
<ds:datastoreItem xmlns:ds="http://schemas.openxmlformats.org/officeDocument/2006/customXml" ds:itemID="{A06CD169-7F5C-4082-81B2-6ECAA9AF6149}">
  <ds:schemaRefs/>
</ds:datastoreItem>
</file>

<file path=customXml/itemProps15.xml><?xml version="1.0" encoding="utf-8"?>
<ds:datastoreItem xmlns:ds="http://schemas.openxmlformats.org/officeDocument/2006/customXml" ds:itemID="{3A3C3A8D-C5E4-45AF-8B48-C3BF528808AD}">
  <ds:schemaRefs/>
</ds:datastoreItem>
</file>

<file path=customXml/itemProps16.xml><?xml version="1.0" encoding="utf-8"?>
<ds:datastoreItem xmlns:ds="http://schemas.openxmlformats.org/officeDocument/2006/customXml" ds:itemID="{0A7AA9EF-3B8C-4BAA-9155-A6E3E5337D3C}">
  <ds:schemaRefs/>
</ds:datastoreItem>
</file>

<file path=customXml/itemProps17.xml><?xml version="1.0" encoding="utf-8"?>
<ds:datastoreItem xmlns:ds="http://schemas.openxmlformats.org/officeDocument/2006/customXml" ds:itemID="{D902962D-C8CC-43BF-804A-CD60AE6D7475}">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CF487381-D648-48A1-B1E4-A4540B0D3650}">
  <ds:schemaRefs/>
</ds:datastoreItem>
</file>

<file path=customXml/itemProps4.xml><?xml version="1.0" encoding="utf-8"?>
<ds:datastoreItem xmlns:ds="http://schemas.openxmlformats.org/officeDocument/2006/customXml" ds:itemID="{1A3BDF38-4832-4575-A8AB-7A1679738229}">
  <ds:schemaRefs/>
</ds:datastoreItem>
</file>

<file path=customXml/itemProps5.xml><?xml version="1.0" encoding="utf-8"?>
<ds:datastoreItem xmlns:ds="http://schemas.openxmlformats.org/officeDocument/2006/customXml" ds:itemID="{BEEE0313-55EB-45FA-BBBD-C0232D367255}">
  <ds:schemaRefs/>
</ds:datastoreItem>
</file>

<file path=customXml/itemProps6.xml><?xml version="1.0" encoding="utf-8"?>
<ds:datastoreItem xmlns:ds="http://schemas.openxmlformats.org/officeDocument/2006/customXml" ds:itemID="{EC45DDBE-A426-47CA-BC62-D025DE29F1BC}">
  <ds:schemaRefs/>
</ds:datastoreItem>
</file>

<file path=customXml/itemProps7.xml><?xml version="1.0" encoding="utf-8"?>
<ds:datastoreItem xmlns:ds="http://schemas.openxmlformats.org/officeDocument/2006/customXml" ds:itemID="{E6D3D55C-3DD8-4C31-8069-E5508DD844FB}">
  <ds:schemaRefs/>
</ds:datastoreItem>
</file>

<file path=customXml/itemProps8.xml><?xml version="1.0" encoding="utf-8"?>
<ds:datastoreItem xmlns:ds="http://schemas.openxmlformats.org/officeDocument/2006/customXml" ds:itemID="{2108FF18-8EC8-4170-A536-1AA8E39CC797}">
  <ds:schemaRefs/>
</ds:datastoreItem>
</file>

<file path=customXml/itemProps9.xml><?xml version="1.0" encoding="utf-8"?>
<ds:datastoreItem xmlns:ds="http://schemas.openxmlformats.org/officeDocument/2006/customXml" ds:itemID="{7E5C9D84-6DB6-48FB-8632-D5279FC233C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35</Pages>
  <Words>3557</Words>
  <Characters>20276</Characters>
  <Lines>168</Lines>
  <Paragraphs>47</Paragraphs>
  <TotalTime>5</TotalTime>
  <ScaleCrop>false</ScaleCrop>
  <LinksUpToDate>false</LinksUpToDate>
  <CharactersWithSpaces>23786</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2026-01-26T06:30:15Z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F824FDB89BD94068907E5DECA960C358</vt:lpwstr>
  </property>
</Properties>
</file>