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【兴银理财丰收封闭式302号固收类理财产品】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序号</w:t>
            </w:r>
          </w:p>
        </w:tc>
        <w:tc>
          <w:tcPr>
            <w:tcW w:w="5689"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1</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1" w:edGrp="everyone"/>
            <w:r>
              <w:rPr>
                <w:rFonts w:hint="eastAsia" w:ascii="宋体" w:hAnsi="宋体"/>
                <w:kern w:val="0"/>
                <w:sz w:val="20"/>
                <w:szCs w:val="21"/>
              </w:rPr>
              <w:t>【兴银理财丰收封闭式302号固收类理财产品】</w:t>
            </w:r>
            <w:permEnd w:id="1"/>
            <w:r>
              <w:rPr>
                <w:rFonts w:hint="eastAsia" w:ascii="宋体" w:hAnsi="宋体"/>
                <w:kern w:val="0"/>
                <w:sz w:val="20"/>
                <w:szCs w:val="21"/>
              </w:rPr>
              <w:t>投资协议书</w:t>
            </w:r>
            <w:r>
              <w:rPr>
                <w:rFonts w:hint="default" w:ascii="宋体" w:hAnsi="宋体"/>
                <w:kern w:val="0"/>
                <w:sz w:val="20"/>
                <w:szCs w:val="21"/>
              </w:rPr>
              <w:t xml:space="preserve"> </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2</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2" w:edGrp="everyone"/>
            <w:r>
              <w:rPr>
                <w:rFonts w:hint="eastAsia" w:ascii="宋体" w:hAnsi="宋体"/>
                <w:kern w:val="0"/>
                <w:sz w:val="20"/>
                <w:szCs w:val="21"/>
              </w:rPr>
              <w:t>【兴银理财丰收封闭式302号固收类理财产品】</w:t>
            </w:r>
            <w:permEnd w:id="2"/>
            <w:r>
              <w:rPr>
                <w:rFonts w:hint="eastAsia" w:ascii="宋体" w:hAnsi="宋体"/>
                <w:kern w:val="0"/>
                <w:sz w:val="20"/>
                <w:szCs w:val="21"/>
              </w:rPr>
              <w:t>产品说明书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default" w:ascii="宋体" w:hAnsi="宋体"/>
                <w:kern w:val="0"/>
                <w:sz w:val="20"/>
                <w:szCs w:val="21"/>
              </w:rPr>
              <w:t>3</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3" w:edGrp="everyone"/>
            <w:r>
              <w:rPr>
                <w:rFonts w:hint="eastAsia" w:ascii="宋体" w:hAnsi="宋体"/>
                <w:kern w:val="0"/>
                <w:sz w:val="20"/>
                <w:szCs w:val="21"/>
              </w:rPr>
              <w:t>【兴银理财丰收封闭式302号固收类理财产品】</w:t>
            </w:r>
            <w:permEnd w:id="3"/>
            <w:r>
              <w:rPr>
                <w:rFonts w:hint="eastAsia" w:ascii="宋体" w:hAnsi="宋体"/>
                <w:kern w:val="0"/>
                <w:sz w:val="20"/>
                <w:szCs w:val="21"/>
              </w:rPr>
              <w:t>（代理）销售协议书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eastAsia" w:ascii="宋体" w:hAnsi="宋体"/>
                <w:kern w:val="0"/>
                <w:sz w:val="20"/>
                <w:szCs w:val="21"/>
              </w:rPr>
              <w:t>（代理）销售</w:t>
            </w:r>
            <w:r>
              <w:rPr>
                <w:rFonts w:hint="default"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4</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4" w:edGrp="everyone"/>
            <w:r>
              <w:rPr>
                <w:rFonts w:hint="eastAsia" w:ascii="宋体" w:hAnsi="宋体"/>
                <w:kern w:val="0"/>
                <w:sz w:val="20"/>
                <w:szCs w:val="21"/>
              </w:rPr>
              <w:t>【兴银理财丰收封闭式302号固收类理财产品】</w:t>
            </w:r>
            <w:permEnd w:id="4"/>
            <w:r>
              <w:rPr>
                <w:rFonts w:hint="eastAsia" w:ascii="宋体" w:hAnsi="宋体"/>
                <w:kern w:val="0"/>
                <w:sz w:val="20"/>
                <w:szCs w:val="21"/>
              </w:rPr>
              <w:t>风险揭示书</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5</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5" w:edGrp="everyone"/>
            <w:r>
              <w:rPr>
                <w:rFonts w:hint="eastAsia" w:ascii="宋体" w:hAnsi="宋体"/>
                <w:kern w:val="0"/>
                <w:sz w:val="20"/>
                <w:szCs w:val="21"/>
              </w:rPr>
              <w:t>【兴银理财丰收封闭式302号固收类理财产品】</w:t>
            </w:r>
            <w:permEnd w:id="5"/>
            <w:r>
              <w:rPr>
                <w:rFonts w:hint="eastAsia" w:ascii="宋体" w:hAnsi="宋体"/>
                <w:kern w:val="0"/>
                <w:sz w:val="20"/>
                <w:szCs w:val="21"/>
              </w:rPr>
              <w:t>投资者权益须知</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【兴银理财丰收封闭式302号固收类理财产品】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63"/>
      <w:bookmarkStart w:id="3" w:name="_Toc139992301"/>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64"/>
      <w:bookmarkStart w:id="8" w:name="_Toc139992302"/>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line="360" w:lineRule="auto"/>
              <w:ind w:left="0" w:right="0"/>
              <w:jc w:val="center"/>
              <w:rPr>
                <w:rFonts w:hint="default"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hint="default" w:ascii="黑体" w:hAnsi="黑体" w:eastAsia="黑体"/>
                <w:bCs/>
                <w:sz w:val="18"/>
                <w:szCs w:val="18"/>
              </w:rPr>
              <w:t>收益</w:t>
            </w:r>
            <w:r>
              <w:rPr>
                <w:rFonts w:hint="eastAsia" w:ascii="黑体" w:hAnsi="黑体" w:eastAsia="黑体"/>
                <w:bCs/>
                <w:sz w:val="18"/>
                <w:szCs w:val="18"/>
              </w:rPr>
              <w:t>，投资须谨慎。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271" w:right="0" w:hanging="271"/>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本产品的业绩比较基准或业绩</w:t>
            </w:r>
            <w:r>
              <w:rPr>
                <w:rFonts w:hint="default"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1.</w:t>
            </w:r>
            <w:r>
              <w:rPr>
                <w:rFonts w:hint="eastAsia" w:ascii="黑体" w:hAnsi="黑体" w:eastAsia="黑体"/>
                <w:bCs/>
                <w:sz w:val="18"/>
                <w:szCs w:val="18"/>
              </w:rPr>
              <w:t>销售文件的组成</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《投资协议书》《产品说明书》《（代理）销售协议</w:t>
            </w:r>
            <w:r>
              <w:rPr>
                <w:rFonts w:hint="default"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2.</w:t>
            </w:r>
            <w:r>
              <w:rPr>
                <w:rFonts w:hint="eastAsia" w:ascii="黑体" w:hAnsi="黑体" w:eastAsia="黑体"/>
                <w:bCs/>
                <w:sz w:val="18"/>
                <w:szCs w:val="18"/>
              </w:rPr>
              <w:t>销售文件的编制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根据《理财公司理财产品销售管理暂行办法》（</w:t>
            </w:r>
            <w:r>
              <w:rPr>
                <w:rFonts w:hint="default"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关于投资者适当性的提示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关于投资者信息的提示</w:t>
            </w:r>
          </w:p>
          <w:p>
            <w:pPr>
              <w:keepNext w:val="0"/>
              <w:keepLines w:val="0"/>
              <w:suppressLineNumbers w:val="0"/>
              <w:tabs>
                <w:tab w:val="left" w:pos="704"/>
                <w:tab w:val="left" w:pos="1995"/>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hint="default"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keepNext w:val="0"/>
              <w:keepLines w:val="0"/>
              <w:suppressLineNumbers w:val="0"/>
              <w:spacing w:before="0" w:beforeAutospacing="0" w:after="0" w:afterAutospacing="0"/>
              <w:ind w:left="0" w:right="0"/>
              <w:rPr>
                <w:rFonts w:hint="default" w:ascii="黑体" w:hAnsi="黑体" w:eastAsia="黑体"/>
                <w:bCs/>
                <w:kern w:val="0"/>
                <w:sz w:val="18"/>
                <w:szCs w:val="18"/>
              </w:rPr>
            </w:pPr>
            <w:r>
              <w:rPr>
                <w:rFonts w:hint="eastAsia" w:ascii="黑体" w:hAnsi="黑体" w:eastAsia="黑体"/>
                <w:bCs/>
                <w:kern w:val="0"/>
                <w:sz w:val="18"/>
                <w:szCs w:val="18"/>
              </w:rPr>
              <w:t>★</w:t>
            </w:r>
            <w:r>
              <w:rPr>
                <w:rFonts w:hint="default"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keepNext w:val="0"/>
              <w:keepLines w:val="0"/>
              <w:suppressLineNumbers w:val="0"/>
              <w:spacing w:before="0" w:beforeAutospacing="0" w:after="0" w:afterAutospacing="0"/>
              <w:ind w:left="0" w:right="0"/>
              <w:rPr>
                <w:rFonts w:hint="default"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keepNext w:val="0"/>
              <w:keepLines w:val="0"/>
              <w:suppressLineNumbers w:val="0"/>
              <w:snapToGrid w:val="0"/>
              <w:spacing w:before="0" w:beforeAutospacing="0" w:after="0" w:afterAutospacing="0"/>
              <w:ind w:left="0" w:right="0"/>
              <w:jc w:val="both"/>
              <w:rPr>
                <w:rFonts w:hint="default" w:ascii="黑体" w:hAnsi="黑体" w:eastAsia="黑体"/>
                <w:bCs/>
                <w:sz w:val="18"/>
                <w:szCs w:val="18"/>
              </w:rPr>
            </w:pPr>
          </w:p>
          <w:p>
            <w:pPr>
              <w:pStyle w:val="21"/>
              <w:keepNext w:val="0"/>
              <w:keepLines w:val="0"/>
              <w:numPr>
                <w:ilvl w:val="255"/>
                <w:numId w:val="0"/>
              </w:numPr>
              <w:suppressLineNumbers w:val="0"/>
              <w:snapToGrid w:val="0"/>
              <w:spacing w:before="0" w:beforeAutospacing="0" w:after="0" w:afterAutospacing="0"/>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关于理财产品咨询的提示</w:t>
            </w:r>
          </w:p>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ind w:left="0" w:right="0"/>
              <w:rPr>
                <w:rFonts w:hint="default"/>
                <w:bCs/>
                <w:sz w:val="32"/>
                <w:szCs w:val="20"/>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2370138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keepNext w:val="0"/>
              <w:keepLines w:val="0"/>
              <w:suppressLineNumbers w:val="0"/>
              <w:pBdr>
                <w:bottom w:val="single" w:color="auto" w:sz="6" w:space="1"/>
              </w:pBdr>
              <w:snapToGrid w:val="0"/>
              <w:spacing w:before="0" w:beforeAutospacing="0" w:after="0" w:afterAutospacing="0" w:line="360" w:lineRule="auto"/>
              <w:ind w:left="0" w:right="0"/>
              <w:jc w:val="center"/>
              <w:rPr>
                <w:rFonts w:hint="default" w:ascii="宋体" w:hAnsi="宋体"/>
                <w:b/>
                <w:bCs/>
                <w:sz w:val="28"/>
                <w:szCs w:val="28"/>
              </w:rPr>
            </w:pPr>
            <w:r>
              <w:rPr>
                <w:rFonts w:hint="eastAsia" w:ascii="宋体" w:hAnsi="宋体"/>
                <w:b/>
                <w:bCs/>
                <w:sz w:val="28"/>
                <w:szCs w:val="28"/>
              </w:rPr>
              <w:t>信息栏</w:t>
            </w:r>
          </w:p>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4"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5"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w:t>
            </w:r>
            <w:r>
              <w:rPr>
                <w:rFonts w:hint="default"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keepNext w:val="0"/>
              <w:keepLines w:val="0"/>
              <w:suppressLineNumbers w:val="0"/>
              <w:pBdr>
                <w:bottom w:val="none" w:color="auto" w:sz="0" w:space="0"/>
              </w:pBdr>
              <w:spacing w:before="0" w:beforeAutospacing="0" w:after="0" w:afterAutospacing="0" w:line="360" w:lineRule="auto"/>
              <w:ind w:left="0" w:right="0"/>
              <w:rPr>
                <w:rFonts w:hint="default"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hint="default" w:ascii="宋体" w:hAnsi="宋体"/>
                <w:bCs/>
                <w:sz w:val="18"/>
                <w:szCs w:val="18"/>
              </w:rPr>
              <w:t>CIB Wealth Management Co.,Ltd. ”</w:t>
            </w:r>
            <w:r>
              <w:rPr>
                <w:rFonts w:hint="eastAsia" w:ascii="宋体" w:hAnsi="宋体"/>
                <w:bCs/>
                <w:sz w:val="18"/>
                <w:szCs w:val="18"/>
              </w:rPr>
              <w:t>。公司成立于</w:t>
            </w:r>
            <w:r>
              <w:rPr>
                <w:rFonts w:hint="default" w:ascii="宋体" w:hAnsi="宋体"/>
                <w:bCs/>
                <w:sz w:val="18"/>
                <w:szCs w:val="18"/>
              </w:rPr>
              <w:t>2019年12月，公司注册资本为50亿元人民币，全部由兴业银行股份有限公司以货币资金认购并一次</w:t>
            </w:r>
            <w:bookmarkStart w:id="66" w:name="_GoBack"/>
            <w:bookmarkEnd w:id="66"/>
            <w:r>
              <w:rPr>
                <w:rFonts w:hint="default" w:ascii="宋体" w:hAnsi="宋体"/>
                <w:bCs/>
                <w:sz w:val="18"/>
                <w:szCs w:val="18"/>
              </w:rPr>
              <w:t>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【兴银理财丰收封闭式302号固收类理财产品】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【丰收封闭式302号A】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bCs/>
                <w:sz w:val="18"/>
                <w:szCs w:val="18"/>
              </w:rPr>
              <w:t>【</w:t>
            </w:r>
            <w:r>
              <w:rPr>
                <w:rFonts w:hint="eastAsia" w:ascii="宋体" w:hAnsi="宋体" w:eastAsia="宋体" w:cs="宋体"/>
                <w:bCs/>
                <w:kern w:val="2"/>
                <w:sz w:val="18"/>
                <w:szCs w:val="18"/>
                <w:lang w:val="en-US" w:eastAsia="zh-CN" w:bidi="ar"/>
              </w:rPr>
              <w:t>Z7002026000068</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20" w:lineRule="exact"/>
              <w:ind w:left="0" w:right="0"/>
              <w:jc w:val="left"/>
              <w:rPr>
                <w:rFonts w:hint="default" w:hAnsi="宋体"/>
                <w:sz w:val="18"/>
                <w:szCs w:val="18"/>
              </w:rPr>
            </w:pPr>
            <w:r>
              <w:rPr>
                <w:rFonts w:hint="eastAsia" w:hAnsi="宋体"/>
                <w:sz w:val="18"/>
                <w:szCs w:val="18"/>
              </w:rPr>
              <w:t>★</w:t>
            </w:r>
            <w:r>
              <w:rPr>
                <w:rFonts w:hint="eastAsia" w:ascii="宋体" w:hAnsi="宋体"/>
                <w:bCs/>
                <w:sz w:val="18"/>
                <w:szCs w:val="18"/>
              </w:rPr>
              <w:t>销售</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20" w:lineRule="exact"/>
              <w:ind w:left="0" w:leftChars="0" w:right="0" w:rightChars="0"/>
              <w:jc w:val="left"/>
              <w:rPr>
                <w:rFonts w:hint="default" w:ascii="宋体" w:hAnsi="宋体"/>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【9C31302A】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rPr>
                <w:rFonts w:hint="default"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jc w:val="left"/>
              <w:rPr>
                <w:rFonts w:hint="default" w:ascii="宋体" w:hAnsi="宋体"/>
                <w:b/>
                <w:szCs w:val="18"/>
              </w:rPr>
            </w:pPr>
            <w:r>
              <w:rPr>
                <w:rFonts w:hint="eastAsia" w:ascii="宋体" w:hAnsi="宋体"/>
                <w:szCs w:val="18"/>
              </w:rPr>
              <w:t>投资者</w:t>
            </w:r>
            <w:r>
              <w:rPr>
                <w:rFonts w:hint="default"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hint="default" w:ascii="宋体" w:hAnsi="宋体"/>
                <w:szCs w:val="18"/>
              </w:rPr>
              <w:t>用于</w:t>
            </w:r>
            <w:r>
              <w:rPr>
                <w:rFonts w:hint="eastAsia" w:ascii="宋体" w:hAnsi="宋体"/>
                <w:szCs w:val="18"/>
              </w:rPr>
              <w:t>本产品的</w:t>
            </w:r>
            <w:r>
              <w:rPr>
                <w:rFonts w:hint="default" w:ascii="宋体" w:hAnsi="宋体"/>
                <w:szCs w:val="18"/>
              </w:rPr>
              <w:t>资金划转及</w:t>
            </w:r>
            <w:r>
              <w:rPr>
                <w:rFonts w:hint="eastAsia" w:ascii="宋体" w:hAnsi="宋体"/>
                <w:szCs w:val="18"/>
              </w:rPr>
              <w:t>产品分配，账号：</w:t>
            </w:r>
            <w:permStart w:id="25" w:edGrp="everyone"/>
            <w:r>
              <w:rPr>
                <w:rFonts w:hint="default"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32639"/>
      <w:bookmarkStart w:id="16" w:name="_Toc23386"/>
      <w:bookmarkStart w:id="17" w:name="_Toc123112268"/>
      <w:bookmarkStart w:id="18" w:name="_Toc4867"/>
      <w:bookmarkStart w:id="19" w:name="_Toc8727"/>
      <w:bookmarkStart w:id="20" w:name="_Toc139991730"/>
      <w:bookmarkStart w:id="21" w:name="_Toc123701389"/>
      <w:bookmarkStart w:id="22" w:name="_Toc26897"/>
      <w:bookmarkStart w:id="23" w:name="_Toc29629"/>
      <w:bookmarkStart w:id="24" w:name="_Toc6306"/>
      <w:bookmarkStart w:id="25" w:name="_Toc123112229"/>
      <w:bookmarkStart w:id="26" w:name="_Toc141703880"/>
      <w:bookmarkStart w:id="27" w:name="_Toc30935"/>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19592"/>
      <w:bookmarkStart w:id="34" w:name="_Toc21301"/>
      <w:bookmarkStart w:id="35" w:name="_Toc6617"/>
      <w:bookmarkStart w:id="36" w:name="_Toc24860"/>
      <w:bookmarkStart w:id="37" w:name="_Toc13020"/>
      <w:bookmarkStart w:id="38" w:name="_Toc2465"/>
      <w:bookmarkStart w:id="39" w:name="_Toc3224"/>
      <w:bookmarkStart w:id="40" w:name="_Toc22864"/>
      <w:bookmarkStart w:id="41" w:name="_Toc819"/>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74065740"/>
      <w:bookmarkStart w:id="49" w:name="_Toc6149"/>
      <w:bookmarkStart w:id="50" w:name="_Toc733"/>
      <w:bookmarkStart w:id="51" w:name="_Toc20627"/>
      <w:bookmarkStart w:id="52" w:name="_Toc6683"/>
      <w:bookmarkStart w:id="53" w:name="_Toc18631"/>
      <w:bookmarkStart w:id="54" w:name="_Toc24571"/>
      <w:bookmarkStart w:id="55" w:name="_Toc22708"/>
      <w:bookmarkStart w:id="56" w:name="_Toc20318"/>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4" w:type="dxa"/>
            <w:gridSpan w:val="5"/>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理财产品名称</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产品份额</w:t>
            </w:r>
            <w:r>
              <w:rPr>
                <w:rFonts w:hint="default" w:ascii="宋体" w:hAnsi="宋体"/>
                <w:b/>
                <w:sz w:val="18"/>
                <w:szCs w:val="18"/>
              </w:rPr>
              <w:t>类别</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8" w:edGrp="everyone"/>
            <w:r>
              <w:rPr>
                <w:rFonts w:hint="eastAsia" w:ascii="宋体" w:hAnsi="宋体" w:cs="宋体"/>
                <w:sz w:val="18"/>
                <w:szCs w:val="18"/>
              </w:rPr>
              <w:t>【】类</w:t>
            </w:r>
            <w:r>
              <w:rPr>
                <w:rFonts w:hint="default"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27" w:hRule="atLeast"/>
        </w:trPr>
        <w:tc>
          <w:tcPr>
            <w:tcW w:w="1403" w:type="dxa"/>
            <w:gridSpan w:val="2"/>
            <w:vMerge w:val="restart"/>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bCs/>
                <w:sz w:val="18"/>
                <w:szCs w:val="18"/>
              </w:rPr>
              <w:t>认购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r>
              <w:rPr>
                <w:rFonts w:hint="default" w:ascii="宋体" w:hAnsi="宋体"/>
                <w:bCs/>
                <w:sz w:val="18"/>
                <w:szCs w:val="18"/>
              </w:rPr>
              <w:t>金额：</w:t>
            </w:r>
            <w:r>
              <w:rPr>
                <w:rFonts w:hint="eastAsia" w:ascii="宋体" w:hAnsi="宋体"/>
                <w:bCs/>
                <w:sz w:val="18"/>
                <w:szCs w:val="18"/>
              </w:rPr>
              <w:t>小写：</w:t>
            </w:r>
            <w:r>
              <w:rPr>
                <w:rFonts w:hint="default" w:ascii="宋体" w:hAnsi="宋体"/>
                <w:bCs/>
                <w:sz w:val="18"/>
                <w:szCs w:val="18"/>
                <w:u w:val="single"/>
              </w:rPr>
              <w:t xml:space="preserve">　          </w:t>
            </w:r>
            <w:r>
              <w:rPr>
                <w:rFonts w:hint="default" w:ascii="宋体" w:hAnsi="宋体"/>
                <w:bCs/>
                <w:sz w:val="18"/>
                <w:szCs w:val="18"/>
              </w:rPr>
              <w:t>，大写：</w:t>
            </w:r>
            <w:r>
              <w:rPr>
                <w:rFonts w:hint="default"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0"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申购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1"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赎回</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交易时间</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sz w:val="18"/>
                <w:szCs w:val="18"/>
              </w:rPr>
              <w:t>交易申请日</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permStart w:id="32" w:edGrp="everyone"/>
            <w:r>
              <w:rPr>
                <w:rFonts w:hint="eastAsia" w:asciiTheme="minorEastAsia" w:hAnsiTheme="minorEastAsia"/>
                <w:sz w:val="18"/>
                <w:szCs w:val="18"/>
              </w:rPr>
              <w:t>【</w:t>
            </w:r>
            <w:r>
              <w:rPr>
                <w:rFonts w:hint="default" w:asciiTheme="minorEastAsia" w:hAnsiTheme="minorEastAsia"/>
                <w:sz w:val="18"/>
                <w:szCs w:val="18"/>
              </w:rPr>
              <w:t xml:space="preserve"> 】年</w:t>
            </w:r>
            <w:r>
              <w:rPr>
                <w:rFonts w:hint="eastAsia" w:asciiTheme="minorEastAsia" w:hAnsiTheme="minorEastAsia"/>
                <w:sz w:val="18"/>
                <w:szCs w:val="18"/>
              </w:rPr>
              <w:t>【</w:t>
            </w:r>
            <w:r>
              <w:rPr>
                <w:rFonts w:hint="default" w:asciiTheme="minorEastAsia" w:hAnsiTheme="minorEastAsia"/>
                <w:sz w:val="18"/>
                <w:szCs w:val="18"/>
              </w:rPr>
              <w:t xml:space="preserve"> </w:t>
            </w:r>
            <w:r>
              <w:rPr>
                <w:rFonts w:hint="eastAsia" w:asciiTheme="minorEastAsia" w:hAnsiTheme="minorEastAsia"/>
                <w:sz w:val="18"/>
                <w:szCs w:val="18"/>
              </w:rPr>
              <w:t>】月【</w:t>
            </w:r>
            <w:r>
              <w:rPr>
                <w:rFonts w:hint="default"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黑体" w:hAnsi="黑体" w:eastAsia="黑体"/>
                <w:sz w:val="18"/>
                <w:szCs w:val="18"/>
              </w:rPr>
            </w:pPr>
            <w:r>
              <w:rPr>
                <w:rFonts w:hint="eastAsia" w:ascii="黑体" w:hAnsi="黑体" w:eastAsia="黑体"/>
                <w:sz w:val="18"/>
                <w:szCs w:val="18"/>
              </w:rPr>
              <w:t>★</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宋体" w:hAnsi="宋体" w:cs="宋体"/>
                <w:b/>
                <w:sz w:val="18"/>
                <w:szCs w:val="18"/>
              </w:rPr>
            </w:pPr>
            <w:r>
              <w:rPr>
                <w:rFonts w:hint="eastAsia" w:ascii="宋体" w:hAnsi="宋体"/>
                <w:b/>
                <w:sz w:val="18"/>
                <w:szCs w:val="18"/>
              </w:rPr>
              <w:t>签署声明</w:t>
            </w:r>
          </w:p>
        </w:tc>
        <w:tc>
          <w:tcPr>
            <w:tcW w:w="7849" w:type="dxa"/>
            <w:gridSpan w:val="4"/>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1.在签署本《</w:t>
            </w:r>
            <w:r>
              <w:rPr>
                <w:rFonts w:hint="eastAsia" w:ascii="黑体" w:hAnsi="黑体" w:eastAsia="黑体"/>
                <w:sz w:val="18"/>
                <w:szCs w:val="18"/>
              </w:rPr>
              <w:t>投资</w:t>
            </w:r>
            <w:r>
              <w:rPr>
                <w:rFonts w:hint="default"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hint="default" w:ascii="黑体" w:hAnsi="黑体" w:eastAsia="黑体"/>
                <w:sz w:val="18"/>
                <w:szCs w:val="18"/>
              </w:rPr>
              <w:t>协议书》《产品说明书》《</w:t>
            </w:r>
            <w:r>
              <w:rPr>
                <w:rFonts w:hint="eastAsia" w:ascii="黑体" w:hAnsi="黑体" w:eastAsia="黑体"/>
                <w:sz w:val="18"/>
                <w:szCs w:val="18"/>
              </w:rPr>
              <w:t>（代理）销售</w:t>
            </w:r>
            <w:r>
              <w:rPr>
                <w:rFonts w:hint="default" w:ascii="黑体" w:hAnsi="黑体" w:eastAsia="黑体"/>
                <w:sz w:val="18"/>
                <w:szCs w:val="18"/>
              </w:rPr>
              <w:t>协议书</w:t>
            </w:r>
            <w:r>
              <w:rPr>
                <w:rFonts w:hint="eastAsia" w:ascii="黑体" w:hAnsi="黑体" w:eastAsia="黑体"/>
                <w:sz w:val="18"/>
                <w:szCs w:val="18"/>
              </w:rPr>
              <w:t>》《</w:t>
            </w:r>
            <w:r>
              <w:rPr>
                <w:rFonts w:hint="default"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3.投资者已认真阅读并充分理解包括但不限于《</w:t>
            </w:r>
            <w:r>
              <w:rPr>
                <w:rFonts w:hint="eastAsia" w:ascii="黑体" w:hAnsi="黑体" w:eastAsia="黑体"/>
                <w:sz w:val="18"/>
                <w:szCs w:val="18"/>
              </w:rPr>
              <w:t>投资</w:t>
            </w:r>
            <w:r>
              <w:rPr>
                <w:rFonts w:hint="default" w:ascii="黑体" w:hAnsi="黑体" w:eastAsia="黑体"/>
                <w:sz w:val="18"/>
                <w:szCs w:val="18"/>
              </w:rPr>
              <w:t>协议书》</w:t>
            </w:r>
            <w:r>
              <w:rPr>
                <w:rFonts w:hint="eastAsia" w:ascii="黑体" w:hAnsi="黑体" w:eastAsia="黑体"/>
                <w:sz w:val="18"/>
                <w:szCs w:val="18"/>
              </w:rPr>
              <w:t>等全套理财产品销售文件</w:t>
            </w:r>
            <w:r>
              <w:rPr>
                <w:rFonts w:hint="default"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hint="default"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hint="default"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keepNext w:val="0"/>
              <w:keepLines w:val="0"/>
              <w:suppressLineNumbers w:val="0"/>
              <w:spacing w:before="0" w:beforeAutospacing="0" w:after="0" w:afterAutospacing="0" w:line="360" w:lineRule="auto"/>
              <w:ind w:left="0" w:right="0"/>
              <w:jc w:val="center"/>
              <w:rPr>
                <w:rFonts w:hint="default"/>
                <w:b/>
                <w:sz w:val="18"/>
                <w:szCs w:val="18"/>
              </w:rPr>
            </w:pPr>
            <w:r>
              <w:rPr>
                <w:rFonts w:hint="eastAsia"/>
                <w:b/>
                <w:sz w:val="18"/>
                <w:szCs w:val="18"/>
              </w:rPr>
              <w:t>投资者签署栏</w:t>
            </w: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个人投资者适用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投资者（签名</w:t>
            </w:r>
            <w:r>
              <w:rPr>
                <w:rFonts w:hint="default"/>
                <w:sz w:val="18"/>
                <w:szCs w:val="18"/>
              </w:rPr>
              <w:t>/</w:t>
            </w:r>
            <w:r>
              <w:rPr>
                <w:rFonts w:hint="eastAsia"/>
                <w:sz w:val="18"/>
                <w:szCs w:val="18"/>
              </w:rPr>
              <w:t>线上确认）：</w:t>
            </w:r>
          </w:p>
          <w:p>
            <w:pPr>
              <w:keepNext w:val="0"/>
              <w:keepLines w:val="0"/>
              <w:suppressLineNumbers w:val="0"/>
              <w:spacing w:before="0" w:beforeAutospacing="0" w:after="0" w:afterAutospacing="0" w:line="360" w:lineRule="auto"/>
              <w:ind w:left="0" w:right="0"/>
              <w:rPr>
                <w:rFonts w:hint="default"/>
                <w:b/>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keepNext w:val="0"/>
              <w:keepLines w:val="0"/>
              <w:suppressLineNumbers w:val="0"/>
              <w:spacing w:before="0" w:beforeAutospacing="0" w:after="0" w:afterAutospacing="0" w:line="360" w:lineRule="auto"/>
              <w:ind w:left="0" w:right="0"/>
              <w:rPr>
                <w:rFonts w:hint="default"/>
                <w:b/>
                <w:sz w:val="18"/>
                <w:szCs w:val="18"/>
              </w:rPr>
            </w:pP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机构投资者适用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cs="Arial"/>
                <w:sz w:val="18"/>
                <w:szCs w:val="18"/>
              </w:rPr>
            </w:pPr>
            <w:r>
              <w:rPr>
                <w:rFonts w:hint="eastAsia"/>
                <w:sz w:val="18"/>
                <w:szCs w:val="18"/>
              </w:rPr>
              <w:t>投资者</w:t>
            </w:r>
            <w:r>
              <w:rPr>
                <w:rFonts w:hint="eastAsia" w:cs="Arial"/>
                <w:sz w:val="18"/>
                <w:szCs w:val="18"/>
              </w:rPr>
              <w:t>（盖章</w:t>
            </w:r>
            <w:r>
              <w:rPr>
                <w:rFonts w:hint="default"/>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cs="Arial"/>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dit="readOnly" w:enforcement="1" w:cryptProviderType="rsaFull" w:cryptAlgorithmClass="hash" w:cryptAlgorithmType="typeAny" w:cryptAlgorithmSid="4" w:cryptSpinCount="0" w:hash="Lz5hTh4T4hNkE5IvQxP1MNIxYow=" w:salt="lE3gPY+hEcuR9UMOHAGFhQ=="/>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3135F18"/>
    <w:rsid w:val="34616F39"/>
    <w:rsid w:val="35C863A1"/>
    <w:rsid w:val="3A6E5351"/>
    <w:rsid w:val="4069171A"/>
    <w:rsid w:val="431859F2"/>
    <w:rsid w:val="46A67526"/>
    <w:rsid w:val="487A428F"/>
    <w:rsid w:val="4F1262D5"/>
    <w:rsid w:val="4F9B33E8"/>
    <w:rsid w:val="56C22B29"/>
    <w:rsid w:val="5A517DAF"/>
    <w:rsid w:val="5F9422B9"/>
    <w:rsid w:val="64DE20E9"/>
    <w:rsid w:val="657411FF"/>
    <w:rsid w:val="6B0D7DB6"/>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2026-01-20T07:14:00Z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