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【兴银理财丰收封闭式303号固收类理财产品】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【2026】年【2】月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【兴银理财丰收封闭式303号固收类理财产品】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【兴银理财丰收封闭式303号固收类理财产品】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【兴银理财丰收封闭式303号固收类理财产品】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【兴银理财丰收封闭式303号固收类理财产品】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【兴银理财丰收封闭式303号固收类理财产品】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【兴银理财丰收封闭式303号固收类理财产品】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【兴银理财丰收封闭式303号固收类理财产品】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【兴银理财丰收封闭式303号固收类理财产品】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【兴银理财丰收封闭式303号固收类理财产品】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Theme="majorEastAsia" w:hAnsiTheme="majorEastAsia" w:eastAsiaTheme="majorEastAsia"/>
                <w:bCs/>
                <w:kern w:val="0"/>
                <w:sz w:val="18"/>
                <w:szCs w:val="18"/>
              </w:rPr>
              <w:t>【</w:t>
            </w:r>
            <w:r>
              <w:rPr>
                <w:rFonts w:hint="eastAsia" w:ascii="宋体" w:hAnsi="宋体" w:eastAsia="宋体" w:cs="宋体"/>
                <w:bCs/>
                <w:kern w:val="0"/>
                <w:sz w:val="18"/>
                <w:szCs w:val="18"/>
                <w:lang w:val="en-US" w:eastAsia="zh-CN" w:bidi="ar"/>
              </w:rPr>
              <w:t>兴银理财丰收封闭式303号固收类理财产品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kern w:val="0"/>
                <w:sz w:val="22"/>
              </w:rPr>
            </w:pPr>
            <w:r>
              <w:rPr>
                <w:rFonts w:hint="eastAsia" w:ascii="宋体" w:hAnsi="宋体" w:eastAsia="宋体" w:cs="宋体"/>
                <w:bCs/>
                <w:kern w:val="2"/>
                <w:sz w:val="18"/>
                <w:szCs w:val="18"/>
                <w:lang w:val="en-US" w:eastAsia="zh-CN" w:bidi="ar"/>
              </w:rPr>
              <w:t>【丰收封闭式303号A】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
                <w:sz w:val="18"/>
                <w:szCs w:val="18"/>
              </w:rPr>
            </w:pPr>
            <w:r>
              <w:rPr>
                <w:rFonts w:hint="eastAsia" w:asciiTheme="minorEastAsia" w:hAnsiTheme="minorEastAsia"/>
                <w:sz w:val="18"/>
                <w:szCs w:val="18"/>
              </w:rPr>
              <w:t>【</w:t>
            </w:r>
            <w:r>
              <w:rPr>
                <w:rFonts w:hint="eastAsia" w:ascii="宋体" w:hAnsi="宋体" w:eastAsia="宋体" w:cs="宋体"/>
                <w:bCs/>
                <w:kern w:val="2"/>
                <w:sz w:val="18"/>
                <w:szCs w:val="18"/>
                <w:lang w:val="en-US" w:eastAsia="zh-CN" w:bidi="ar"/>
              </w:rPr>
              <w:t>Z7002026000072</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宋体" w:hAnsi="宋体" w:eastAsia="宋体" w:cs="宋体"/>
                <w:bCs/>
                <w:color w:val="000000"/>
                <w:kern w:val="2"/>
                <w:sz w:val="18"/>
                <w:szCs w:val="18"/>
                <w:lang w:val="en-US" w:eastAsia="zh-CN" w:bidi="ar"/>
              </w:rPr>
              <w:t>【9C313030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hAnsi="宋体"/>
                <w:sz w:val="18"/>
                <w:szCs w:val="18"/>
              </w:rPr>
            </w:pPr>
            <w:r>
              <w:rPr>
                <w:rFonts w:hint="eastAsia" w:ascii="宋体" w:hAnsi="宋体" w:eastAsia="宋体" w:cs="宋体"/>
                <w:bCs/>
                <w:color w:val="000000"/>
                <w:kern w:val="2"/>
                <w:sz w:val="18"/>
                <w:szCs w:val="18"/>
                <w:lang w:val="en-US" w:eastAsia="zh-CN" w:bidi="ar"/>
              </w:rPr>
              <w:t>【9C31303A】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宋体" w:hAnsi="宋体" w:eastAsia="宋体" w:cs="宋体"/>
                <w:bCs/>
                <w:kern w:val="2"/>
                <w:sz w:val="18"/>
                <w:szCs w:val="18"/>
                <w:lang w:val="en-US" w:eastAsia="zh-CN" w:bidi="ar"/>
              </w:rPr>
              <w:t>□ R1、■ R2、□ R3、□ R4、□ R5</w:t>
            </w:r>
            <w:r>
              <w:rPr>
                <w:rFonts w:hint="eastAsia" w:ascii="黑体" w:hAnsi="黑体" w:eastAsia="黑体" w:cs="黑体"/>
                <w:bCs/>
                <w:sz w:val="18"/>
                <w:szCs w:val="18"/>
              </w:rPr>
              <w:t>】理财产品。</w:t>
            </w:r>
          </w:p>
          <w:p>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w:t>
            </w:r>
          </w:p>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宋体" w:hAnsi="宋体" w:eastAsia="宋体" w:cs="宋体"/>
                <w:bCs/>
                <w:color w:val="000000"/>
                <w:kern w:val="2"/>
                <w:sz w:val="18"/>
                <w:szCs w:val="18"/>
                <w:lang w:val="en-US" w:eastAsia="zh-CN" w:bidi="ar"/>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pPr>
              <w:keepNext w:val="0"/>
              <w:keepLines w:val="0"/>
              <w:widowControl w:val="0"/>
              <w:suppressLineNumbers w:val="0"/>
              <w:spacing w:before="0" w:beforeAutospacing="0" w:after="0" w:afterAutospacing="0"/>
              <w:ind w:left="0" w:right="0"/>
              <w:jc w:val="both"/>
              <w:rPr>
                <w:rFonts w:hint="default" w:ascii="宋体" w:hAnsi="宋体"/>
                <w:sz w:val="18"/>
                <w:szCs w:val="18"/>
              </w:rPr>
            </w:pPr>
            <w:r>
              <w:rPr>
                <w:rFonts w:hint="eastAsia" w:ascii="宋体" w:hAnsi="宋体" w:eastAsia="宋体" w:cs="宋体"/>
                <w:bCs/>
                <w:kern w:val="2"/>
                <w:sz w:val="18"/>
                <w:szCs w:val="18"/>
                <w:lang w:val="en-US" w:eastAsia="zh-CN" w:bidi="ar"/>
              </w:rPr>
              <w:t>■</w:t>
            </w:r>
            <w:r>
              <w:rPr>
                <w:rFonts w:hint="eastAsia" w:ascii="宋体" w:hAnsi="宋体" w:eastAsia="宋体" w:cs="宋体"/>
                <w:kern w:val="2"/>
                <w:sz w:val="18"/>
                <w:szCs w:val="18"/>
                <w:lang w:val="en-US" w:eastAsia="zh-CN" w:bidi="ar"/>
              </w:rPr>
              <w:t xml:space="preserve"> </w:t>
            </w:r>
            <w:r>
              <w:rPr>
                <w:rFonts w:hint="eastAsia" w:ascii="宋体" w:hAnsi="宋体"/>
                <w:sz w:val="18"/>
                <w:szCs w:val="18"/>
              </w:rPr>
              <w:t>代销适用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hint="default"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宋体" w:hAnsi="宋体" w:eastAsia="宋体" w:cs="宋体"/>
                <w:bCs/>
                <w:kern w:val="2"/>
                <w:sz w:val="18"/>
                <w:szCs w:val="18"/>
                <w:lang w:val="en-US" w:eastAsia="zh-CN" w:bidi="ar"/>
              </w:rPr>
              <w:t>【2】亿元，最小成立规模为【/】亿元</w:t>
            </w:r>
            <w:r>
              <w:rPr>
                <w:rFonts w:hint="eastAsia" w:asciiTheme="majorEastAsia" w:hAnsiTheme="majorEastAsia" w:eastAsiaTheme="maj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2"/>
                <w:sz w:val="18"/>
                <w:szCs w:val="18"/>
              </w:rPr>
            </w:pPr>
            <w:r>
              <w:rPr>
                <w:rFonts w:hint="eastAsia" w:ascii="宋体" w:hAnsi="宋体" w:eastAsia="宋体" w:cs="宋体"/>
                <w:bCs/>
                <w:kern w:val="2"/>
                <w:sz w:val="18"/>
                <w:szCs w:val="18"/>
                <w:lang w:val="en-US" w:eastAsia="zh-CN" w:bidi="ar"/>
              </w:rPr>
              <w:t>■有固定期限:【365天】</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2"/>
                <w:sz w:val="18"/>
                <w:szCs w:val="18"/>
              </w:rPr>
            </w:pPr>
            <w:r>
              <w:rPr>
                <w:rFonts w:hint="eastAsia" w:ascii="宋体" w:hAnsi="宋体" w:eastAsia="宋体" w:cs="宋体"/>
                <w:bCs/>
                <w:kern w:val="2"/>
                <w:sz w:val="18"/>
                <w:szCs w:val="18"/>
                <w:lang w:val="en-US" w:eastAsia="zh-CN" w:bidi="ar"/>
              </w:rPr>
              <w:t>□无固定期限</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【2026年02月11日】【09:00】至【2026年02月24日】【17:00】</w:t>
            </w:r>
            <w:r>
              <w:rPr>
                <w:rFonts w:hint="default" w:asciiTheme="majorEastAsia" w:hAnsiTheme="majorEastAsia" w:eastAsiaTheme="majorEastAsia"/>
                <w:sz w:val="18"/>
                <w:szCs w:val="18"/>
              </w:rPr>
              <w:t>。</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ascii="宋体" w:hAnsi="宋体" w:eastAsia="宋体" w:cs="宋体"/>
                <w:kern w:val="2"/>
                <w:sz w:val="18"/>
                <w:szCs w:val="18"/>
                <w:lang w:val="en-US" w:eastAsia="zh-CN" w:bidi="ar"/>
              </w:rPr>
              <w:t>【2026年02月25日】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ascii="宋体" w:hAnsi="宋体" w:eastAsia="宋体" w:cs="宋体"/>
                <w:kern w:val="2"/>
                <w:sz w:val="18"/>
                <w:szCs w:val="18"/>
                <w:lang w:val="en-US" w:eastAsia="zh-CN" w:bidi="ar"/>
              </w:rPr>
              <w:t>【2027年02月25日】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宋体" w:hAnsi="宋体" w:eastAsia="宋体" w:cs="宋体"/>
                <w:bCs/>
                <w:kern w:val="2"/>
                <w:sz w:val="18"/>
                <w:szCs w:val="18"/>
                <w:lang w:val="en-US" w:eastAsia="zh-CN" w:bidi="ar"/>
              </w:rPr>
              <w:t>每笔购买起点金额为【1】元; 超出起点金额的部分以【0.01】元的整数倍递增。（适用【A】类份额)
</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widowControl/>
              <w:suppressLineNumbers w:val="0"/>
              <w:spacing w:before="0" w:beforeAutospacing="0" w:after="0" w:afterAutospacing="0"/>
              <w:ind w:left="0" w:right="0"/>
              <w:jc w:val="left"/>
              <w:rPr>
                <w:rFonts w:hint="default" w:asciiTheme="minorEastAsia" w:hAnsiTheme="minorEastAsia" w:eastAsiaTheme="minorEastAsia"/>
                <w:color w:val="auto"/>
                <w:sz w:val="18"/>
                <w:szCs w:val="18"/>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（1）单一投资者认购上限为【/】元。（适用【A】类份额)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（2）产品存续期间，单一投资者最高持有份额上限为【/】份，符合产品管理人流动性管理的稳定资金除外。（适用【A】类份额)</w:t>
            </w:r>
          </w:p>
          <w:p>
            <w:pPr>
              <w:pStyle w:val="34"/>
              <w:keepNext w:val="0"/>
              <w:keepLines w:val="0"/>
              <w:suppressLineNumbers w:val="0"/>
              <w:spacing w:before="0" w:beforeAutospacing="0" w:after="0" w:afterAutospacing="0" w:line="360" w:lineRule="auto"/>
              <w:ind w:left="0" w:right="0"/>
              <w:rPr>
                <w:rFonts w:hint="default"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keepNext w:val="0"/>
              <w:keepLines w:val="0"/>
              <w:widowControl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黑体" w:hAnsi="黑体" w:eastAsia="黑体" w:cs="黑体"/>
                <w:sz w:val="18"/>
              </w:rPr>
              <w:t>注：本产品单一投资者持有份额不得超过产品总份额50%。</w:t>
            </w:r>
            <w:r>
              <w:rPr>
                <w:rFonts w:hint="default" w:ascii="黑体" w:hAnsi="黑体" w:eastAsia="黑体" w:cs="黑体"/>
                <w:sz w:val="18"/>
              </w:rPr>
              <w:br w:type="textWrapping"/>
            </w:r>
            <w:r>
              <w:rPr>
                <w:rFonts w:hint="default" w:ascii="黑体" w:hAnsi="黑体" w:eastAsia="黑体" w:cs="黑体"/>
                <w:sz w:val="18"/>
              </w:rPr>
              <w:t>（1）投资者认购或申购确认后可能导致其持有份额超过产品总份额50%的，管理人有权拒绝或暂停认购、申购。</w:t>
            </w:r>
            <w:r>
              <w:rPr>
                <w:rFonts w:hint="default" w:ascii="黑体" w:hAnsi="黑体" w:eastAsia="黑体" w:cs="黑体"/>
                <w:sz w:val="18"/>
              </w:rPr>
              <w:br w:type="textWrapping"/>
            </w:r>
            <w:r>
              <w:rPr>
                <w:rFonts w:hint="default"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default" w:asciiTheme="majorEastAsia" w:hAnsiTheme="majorEastAsia" w:eastAsiaTheme="majorEastAsia"/>
                <w:kern w:val="0"/>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（1）业绩比较基准的说明：【以一年期定期存款利率为无风险利率，基于当前对未来市场的判断，根据拟投资债权类资产的信用利差、久期敞口以及流动性溢价，预判组合的波动幅度】。</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（2）业绩比较基准的设定：管理人对本产品设定业绩比较基准：年化【1.8%-2.8%】。（适用【A】类份额)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业绩报酬计提基准的设定：管理人对本产品设定业绩报酬计提基准：年化【】。（适用【A】类份额)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widowControl/>
              <w:suppressLineNumbers w:val="0"/>
              <w:spacing w:before="0" w:beforeAutospacing="0" w:after="0" w:afterAutospacing="0" w:line="360" w:lineRule="auto"/>
              <w:ind w:left="0" w:right="0"/>
              <w:jc w:val="left"/>
              <w:rPr>
                <w:rFonts w:hint="eastAsia" w:ascii="黑体" w:hAnsi="黑体" w:eastAsia="黑体" w:cs="黑体"/>
                <w:sz w:val="18"/>
                <w:szCs w:val="18"/>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（1）认购费：【/】。（适用【A】类份额）</w:t>
            </w:r>
            <w:r>
              <w:rPr>
                <w:rFonts w:hint="default" w:ascii="黑体" w:hAnsi="黑体" w:eastAsia="黑体" w:cs="黑体"/>
                <w:sz w:val="18"/>
              </w:rPr>
              <w:br w:type="textWrapping"/>
            </w:r>
            <w:r>
              <w:rPr>
                <w:rFonts w:hint="default" w:ascii="黑体" w:hAnsi="黑体" w:eastAsia="黑体" w:cs="黑体"/>
                <w:sz w:val="18"/>
              </w:rPr>
              <w:t>（2）销售服务费：年化费率【0.2%】。（适用【A】类份额）</w:t>
            </w:r>
            <w:r>
              <w:rPr>
                <w:rFonts w:hint="default" w:ascii="黑体" w:hAnsi="黑体" w:eastAsia="黑体" w:cs="黑体"/>
                <w:sz w:val="18"/>
              </w:rPr>
              <w:br w:type="textWrapping"/>
            </w:r>
            <w:r>
              <w:rPr>
                <w:rFonts w:hint="default" w:ascii="黑体" w:hAnsi="黑体" w:eastAsia="黑体" w:cs="黑体"/>
                <w:sz w:val="18"/>
              </w:rPr>
              <w:t>（3）投资管理费：年化费率【0.1%】</w:t>
            </w:r>
            <w:r>
              <w:rPr>
                <w:rFonts w:hint="default" w:ascii="黑体" w:hAnsi="黑体" w:eastAsia="黑体" w:cs="黑体"/>
                <w:sz w:val="18"/>
              </w:rPr>
              <w:br w:type="textWrapping"/>
            </w:r>
            <w:r>
              <w:rPr>
                <w:rFonts w:hint="default" w:ascii="黑体" w:hAnsi="黑体" w:eastAsia="黑体" w:cs="黑体"/>
                <w:sz w:val="18"/>
              </w:rPr>
              <w:t>（4）产品托管费：年化费率【0.03%】</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90742321"/>
      <w:bookmarkStart w:id="12" w:name="_Toc15203"/>
      <w:bookmarkStart w:id="13" w:name="_Toc79154668"/>
      <w:bookmarkStart w:id="14" w:name="_Toc90742688"/>
      <w:bookmarkStart w:id="15" w:name="_Toc6714"/>
      <w:bookmarkStart w:id="16" w:name="_Toc90742390"/>
      <w:bookmarkStart w:id="17" w:name="_Toc27189"/>
      <w:bookmarkStart w:id="18" w:name="_Toc7151"/>
      <w:bookmarkStart w:id="19" w:name="_Toc74065741"/>
      <w:bookmarkStart w:id="20" w:name="_Toc29784"/>
      <w:bookmarkStart w:id="21" w:name="_Toc29948"/>
      <w:bookmarkStart w:id="22" w:name="_Toc16265"/>
      <w:bookmarkStart w:id="23" w:name="_Toc27226"/>
      <w:bookmarkStart w:id="24" w:name="_Toc22074"/>
      <w:bookmarkStart w:id="25" w:name="_Toc326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sz w:val="18"/>
          <w:szCs w:val="18"/>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（3）债券借贷、国债期货等。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4）投资于股票（包含主板、中小板、创业板、科创板及其他经中国证监会核准上市的股票，含即将公开挂牌交易的股票，含港股通标的股票等监管部门允许投资的境外股票）、证监会基金分类中的股票型基金、混合型基金及QDII基金（含中港互认基金）、从交易所市场买卖指数型LOF与ETF的流通份额、优先股、股指期货、权证、期权、GDR、收益互换、收益凭证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（5）投资于上述资产的符合监管要求的公募基金、基金公司或子公司资产管理计划、证券公司资产管理计划、保险资产管理计划及信托计划等。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（6）其他风险不高于前述资产的资产。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 非因管理人主观因素导致突破前款规定比例限制的，产品管理人在流动性受限资产可出售、可转让或者恢复交易的15个交易日内调整至符合要求，监管机构规定的特殊情形除外。</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（2）本产品投资于权益类资产的比例合计不超过产品总资产的5%。</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（3）本产品投资于金融衍生品类资产的比例合计不超过产品总资产的20%。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ascii="宋体" w:hAnsi="宋体" w:eastAsia="宋体" w:cs="宋体"/>
          <w:sz w:val="18"/>
        </w:rPr>
        <w:t>（1）每只公募理财产品投资单只证券或者单只公募证券投资基金的市值不得超过该理财产品净资产的10%。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（2）全部公募理财产品持有单只证券或单只公募证券投资基金的市值，不得超过该证券市值或该公募证券投资基金市值的30%。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（3）全部理财产品持有单一上市公司发行的股票，不得超过该上市公司可流通股票的30%。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 xml:space="preserve">（4）全部开放式公募理财产品投资单一上市公司发行的股票不得超过该上市公司可流通股票的15%。 </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（5）本产品因为流动性需要可开展存单质押、债券正回购等融资业务，本产品总资产不超过净资产的200%。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权益资产的交易类机会、博取一定的弹性收益，以低波动、绝对收益为目标进行投资管理。】</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912"/>
      <w:bookmarkStart w:id="28" w:name="_Toc26986"/>
      <w:bookmarkStart w:id="29" w:name="_Toc176189758"/>
      <w:bookmarkStart w:id="30" w:name="_Toc79154669"/>
      <w:bookmarkStart w:id="31" w:name="_Toc141703885"/>
      <w:bookmarkStart w:id="32" w:name="_Toc1823"/>
      <w:bookmarkStart w:id="33" w:name="_Toc14893"/>
      <w:bookmarkStart w:id="34" w:name="_Toc74065742"/>
      <w:bookmarkStart w:id="35" w:name="_Toc4741"/>
      <w:bookmarkStart w:id="36" w:name="_Toc21988"/>
      <w:bookmarkStart w:id="37" w:name="_Toc139991735"/>
      <w:bookmarkStart w:id="38" w:name="_Toc18797"/>
      <w:bookmarkStart w:id="39" w:name="_Toc18526"/>
      <w:bookmarkStart w:id="40" w:name="_Toc18329"/>
      <w:bookmarkStart w:id="41" w:name="_Toc784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76189759"/>
      <w:bookmarkStart w:id="44" w:name="_Toc1270"/>
      <w:bookmarkStart w:id="45" w:name="_Toc7920"/>
      <w:bookmarkStart w:id="46" w:name="_Toc98560352"/>
      <w:bookmarkStart w:id="47" w:name="_Toc10463"/>
      <w:bookmarkStart w:id="48" w:name="_Toc23261"/>
      <w:bookmarkStart w:id="49" w:name="_Toc79392606"/>
      <w:bookmarkStart w:id="50" w:name="_Toc610"/>
      <w:bookmarkStart w:id="51" w:name="_Toc141703886"/>
      <w:bookmarkStart w:id="52" w:name="_Toc123051452"/>
      <w:bookmarkStart w:id="53" w:name="_Toc48649707"/>
      <w:bookmarkStart w:id="54" w:name="_Toc17244"/>
      <w:bookmarkStart w:id="55" w:name="_Toc74065743"/>
      <w:bookmarkStart w:id="56" w:name="_Toc23822"/>
      <w:bookmarkStart w:id="57" w:name="_Toc123112234"/>
      <w:bookmarkStart w:id="58" w:name="_Toc139991736"/>
      <w:bookmarkStart w:id="59" w:name="_Toc20733"/>
      <w:bookmarkStart w:id="60" w:name="_Toc1427"/>
      <w:bookmarkStart w:id="61" w:name="_Toc79154670"/>
      <w:bookmarkStart w:id="62" w:name="_Toc123102453"/>
      <w:bookmarkStart w:id="63" w:name="_Toc400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9154671"/>
      <w:bookmarkStart w:id="66" w:name="_Toc31644"/>
      <w:bookmarkStart w:id="67" w:name="_Toc31653"/>
      <w:bookmarkStart w:id="68" w:name="_Toc15143"/>
      <w:bookmarkStart w:id="69" w:name="_Toc26207"/>
      <w:bookmarkStart w:id="70" w:name="_Toc139991737"/>
      <w:bookmarkStart w:id="71" w:name="_Toc12245"/>
      <w:bookmarkStart w:id="72" w:name="_Toc141703887"/>
      <w:bookmarkStart w:id="73" w:name="_Toc29251"/>
      <w:bookmarkStart w:id="74" w:name="_Toc123051453"/>
      <w:bookmarkStart w:id="75" w:name="_Toc6405"/>
      <w:bookmarkStart w:id="76" w:name="_Toc123112235"/>
      <w:bookmarkStart w:id="77" w:name="_Toc14835"/>
      <w:bookmarkStart w:id="78" w:name="_Toc74065744"/>
      <w:bookmarkStart w:id="79" w:name="_Toc3601"/>
      <w:bookmarkStart w:id="80" w:name="_Toc123102454"/>
      <w:bookmarkStart w:id="81" w:name="_Toc176189760"/>
      <w:bookmarkStart w:id="82" w:name="_Toc98560353"/>
      <w:bookmarkStart w:id="83" w:name="_Toc3123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79392580"/>
      <w:bookmarkStart w:id="87" w:name="_Toc57530239"/>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4559"/>
      <w:bookmarkStart w:id="92" w:name="_Toc123112236"/>
      <w:bookmarkStart w:id="93" w:name="_Toc3771"/>
      <w:bookmarkStart w:id="94" w:name="_Toc18567"/>
      <w:bookmarkStart w:id="95" w:name="_Toc11030"/>
      <w:bookmarkStart w:id="96" w:name="_Toc9706"/>
      <w:bookmarkStart w:id="97" w:name="_Toc74065745"/>
      <w:bookmarkStart w:id="98" w:name="_Toc10650"/>
      <w:bookmarkStart w:id="99" w:name="_Toc6447"/>
      <w:bookmarkStart w:id="100" w:name="_Toc79392583"/>
      <w:bookmarkStart w:id="101" w:name="_Toc25783"/>
      <w:bookmarkStart w:id="102" w:name="_Toc3321"/>
      <w:bookmarkStart w:id="103" w:name="_Toc141703888"/>
      <w:bookmarkStart w:id="104" w:name="_Toc79154672"/>
      <w:bookmarkStart w:id="105" w:name="_Toc7058"/>
      <w:bookmarkStart w:id="106" w:name="_Toc139991738"/>
      <w:bookmarkStart w:id="107" w:name="_Toc123051454"/>
      <w:bookmarkStart w:id="108" w:name="_Toc176189761"/>
      <w:bookmarkStart w:id="109" w:name="_Toc123102455"/>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本产品不收取超额业绩报酬</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39991739"/>
      <w:bookmarkStart w:id="114" w:name="_Toc21735"/>
      <w:bookmarkStart w:id="115" w:name="_Toc16164"/>
      <w:bookmarkStart w:id="116" w:name="_Toc176189762"/>
      <w:bookmarkStart w:id="117" w:name="_Toc98560355"/>
      <w:bookmarkStart w:id="118" w:name="_Toc123051455"/>
      <w:bookmarkStart w:id="119" w:name="_Toc74065746"/>
      <w:bookmarkStart w:id="120" w:name="_Toc123112237"/>
      <w:bookmarkStart w:id="121" w:name="_Toc725"/>
      <w:bookmarkStart w:id="122" w:name="_Toc31821"/>
      <w:bookmarkStart w:id="123" w:name="_Toc79154673"/>
      <w:bookmarkStart w:id="124" w:name="_Toc10398"/>
      <w:bookmarkStart w:id="125" w:name="_Toc123102456"/>
      <w:bookmarkStart w:id="126" w:name="_Toc3080"/>
      <w:bookmarkStart w:id="127" w:name="_Toc141703889"/>
      <w:bookmarkStart w:id="128" w:name="_Toc18206"/>
      <w:bookmarkStart w:id="129" w:name="_Toc357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76189763"/>
      <w:bookmarkStart w:id="134" w:name="_Toc5170"/>
      <w:bookmarkStart w:id="135" w:name="_Toc74065747"/>
      <w:bookmarkStart w:id="136" w:name="_Toc139991740"/>
      <w:bookmarkStart w:id="137" w:name="_Toc48649708"/>
      <w:bookmarkStart w:id="138" w:name="_Toc17198"/>
      <w:bookmarkStart w:id="139" w:name="_Toc141703890"/>
      <w:bookmarkStart w:id="140" w:name="_Toc123102457"/>
      <w:bookmarkStart w:id="141" w:name="_Toc98560356"/>
      <w:bookmarkStart w:id="142" w:name="_Toc739"/>
      <w:bookmarkStart w:id="143" w:name="_Toc29408"/>
      <w:bookmarkStart w:id="144" w:name="_Toc123051456"/>
      <w:bookmarkStart w:id="145" w:name="_Toc32092"/>
      <w:bookmarkStart w:id="146" w:name="_Toc79392622"/>
      <w:bookmarkStart w:id="147" w:name="_Toc32584"/>
      <w:bookmarkStart w:id="148" w:name="_Toc17920"/>
      <w:bookmarkStart w:id="149" w:name="_Toc123112238"/>
      <w:bookmarkStart w:id="150" w:name="_Toc21237"/>
      <w:bookmarkStart w:id="151" w:name="_Toc8791"/>
      <w:bookmarkStart w:id="152" w:name="_Toc79154674"/>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本产品投资债券、资产</w:t>
      </w:r>
      <w:bookmarkStart w:id="156" w:name="_GoBack"/>
      <w:bookmarkEnd w:id="156"/>
      <w:r>
        <w:rPr>
          <w:rFonts w:hint="eastAsia" w:ascii="宋体" w:hAnsi="宋体"/>
          <w:sz w:val="18"/>
          <w:szCs w:val="18"/>
        </w:rPr>
        <w:t>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2）投资股权类资产的风险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pPr>
              <w:keepNext w:val="0"/>
              <w:keepLines w:val="0"/>
              <w:suppressLineNumbers w:val="0"/>
              <w:spacing w:before="0" w:beforeAutospacing="0" w:after="0" w:afterAutospacing="0" w:line="360" w:lineRule="auto"/>
              <w:ind w:left="0" w:right="0" w:firstLine="361"/>
              <w:rPr>
                <w:rFonts w:hint="default"/>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pPr>
              <w:keepNext w:val="0"/>
              <w:keepLines w:val="0"/>
              <w:suppressLineNumbers w:val="0"/>
              <w:spacing w:before="0" w:beforeAutospacing="0" w:after="0" w:afterAutospacing="0" w:line="360" w:lineRule="auto"/>
              <w:ind w:left="0" w:right="0" w:firstLine="361"/>
              <w:jc w:val="left"/>
              <w:rPr>
                <w:rFonts w:hint="default"/>
                <w:b/>
                <w:sz w:val="18"/>
                <w:szCs w:val="18"/>
              </w:rPr>
            </w:pP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5883C21"/>
    <w:rsid w:val="05B437EC"/>
    <w:rsid w:val="05B80C59"/>
    <w:rsid w:val="06F4696E"/>
    <w:rsid w:val="07245E56"/>
    <w:rsid w:val="072779FF"/>
    <w:rsid w:val="082250CD"/>
    <w:rsid w:val="0BE22C8C"/>
    <w:rsid w:val="0C023D8C"/>
    <w:rsid w:val="0D003BAF"/>
    <w:rsid w:val="0DE01C8F"/>
    <w:rsid w:val="0E80701F"/>
    <w:rsid w:val="0E94232E"/>
    <w:rsid w:val="0F1306D5"/>
    <w:rsid w:val="10134CDE"/>
    <w:rsid w:val="10732E42"/>
    <w:rsid w:val="11295396"/>
    <w:rsid w:val="12432CFD"/>
    <w:rsid w:val="163E2FB7"/>
    <w:rsid w:val="1A48157B"/>
    <w:rsid w:val="1ABE2ED9"/>
    <w:rsid w:val="1BD70953"/>
    <w:rsid w:val="1BF87698"/>
    <w:rsid w:val="1C78144D"/>
    <w:rsid w:val="1E585AB7"/>
    <w:rsid w:val="1EB160C2"/>
    <w:rsid w:val="1FF145B9"/>
    <w:rsid w:val="2193546F"/>
    <w:rsid w:val="22796BD4"/>
    <w:rsid w:val="23083986"/>
    <w:rsid w:val="23AF29A3"/>
    <w:rsid w:val="24924C8F"/>
    <w:rsid w:val="25675458"/>
    <w:rsid w:val="26123FD6"/>
    <w:rsid w:val="26F50BA9"/>
    <w:rsid w:val="29026D00"/>
    <w:rsid w:val="2A0E468C"/>
    <w:rsid w:val="2A642791"/>
    <w:rsid w:val="2A836688"/>
    <w:rsid w:val="2B590E2A"/>
    <w:rsid w:val="2D23413A"/>
    <w:rsid w:val="2EA644DF"/>
    <w:rsid w:val="2FB532A0"/>
    <w:rsid w:val="2FE14D58"/>
    <w:rsid w:val="319C4BEA"/>
    <w:rsid w:val="3283538E"/>
    <w:rsid w:val="33DA2E89"/>
    <w:rsid w:val="34B41D11"/>
    <w:rsid w:val="34C829B2"/>
    <w:rsid w:val="35381804"/>
    <w:rsid w:val="35D03558"/>
    <w:rsid w:val="386A3F56"/>
    <w:rsid w:val="3A810EF7"/>
    <w:rsid w:val="3C3802E9"/>
    <w:rsid w:val="3E0C1771"/>
    <w:rsid w:val="3E586AB8"/>
    <w:rsid w:val="3E5C1B1D"/>
    <w:rsid w:val="3EAE14E9"/>
    <w:rsid w:val="3FA22D5A"/>
    <w:rsid w:val="3FD261A6"/>
    <w:rsid w:val="41E50BAA"/>
    <w:rsid w:val="42626C92"/>
    <w:rsid w:val="42EB2F9C"/>
    <w:rsid w:val="45226963"/>
    <w:rsid w:val="469E748C"/>
    <w:rsid w:val="469F5C49"/>
    <w:rsid w:val="47F83F3C"/>
    <w:rsid w:val="4A3241BC"/>
    <w:rsid w:val="4C163B54"/>
    <w:rsid w:val="4C9978BA"/>
    <w:rsid w:val="4D39606F"/>
    <w:rsid w:val="4F8E3D4D"/>
    <w:rsid w:val="4FA308F4"/>
    <w:rsid w:val="51BA7EA1"/>
    <w:rsid w:val="51E57594"/>
    <w:rsid w:val="526123AA"/>
    <w:rsid w:val="53B3493A"/>
    <w:rsid w:val="5537323C"/>
    <w:rsid w:val="55855837"/>
    <w:rsid w:val="55974979"/>
    <w:rsid w:val="56503211"/>
    <w:rsid w:val="57BD5DAE"/>
    <w:rsid w:val="598B567E"/>
    <w:rsid w:val="5B0F446D"/>
    <w:rsid w:val="5BA577EB"/>
    <w:rsid w:val="5C624734"/>
    <w:rsid w:val="5FE91ABC"/>
    <w:rsid w:val="60D42826"/>
    <w:rsid w:val="628E734C"/>
    <w:rsid w:val="656B1A72"/>
    <w:rsid w:val="6580603B"/>
    <w:rsid w:val="68B96EA7"/>
    <w:rsid w:val="68C7223A"/>
    <w:rsid w:val="68EF6886"/>
    <w:rsid w:val="694A7300"/>
    <w:rsid w:val="699457CF"/>
    <w:rsid w:val="6B8B1CC1"/>
    <w:rsid w:val="6D9767D9"/>
    <w:rsid w:val="6E1A15EE"/>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3557</Words>
  <Characters>20276</Characters>
  <Lines>168</Lines>
  <Paragraphs>47</Paragraphs>
  <TotalTime>3</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2026-02-03T05:43:14Z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F824FDB89BD94068907E5DECA960C358</vt:lpwstr>
  </property>
</Properties>
</file>