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苏银理财恒源1年定开39期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苏银理财恒源1年定开39期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（2026年3月版）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苏银理财恒源1年定开39期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苏银理财恒源1年定开39期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Z7003122000163，</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A份额:苏银理财恒源1年定开39期A/J02224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B份额:苏银理财恒源1年定开39期B/J02225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C份额:苏银理财恒源1年定开39期C/J14796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D份额:苏银理财恒源1年定开39期D/J03075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F份额:苏银理财恒源1年定开39期F/J03076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G份额:苏银理财恒源1年定开39期G/J02226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J份额:苏银理财恒源1年定开39期J/J03077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P份额:苏银理财恒源1年定开39期P/J14798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O份额:苏银理财恒源1年定开39期O（兰州银行开门红专属）/J14799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U份额:苏银理财恒源1年定开39期U/J14800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Z份额:苏银理财恒源1年定开39期Z/J14801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ZA份额:苏银理财恒源1年定开39期ZA鑫福款（自动赎回）/J03078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ZF份额:苏银理财恒源1年定开39期ZF（自动赎回）/J03079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ZF2份额:苏银理财恒源1年定开39期ZF2（自动赎回）/J14802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ZN份额:苏银理财恒源1年定开39期ZN（自动赎回）/J03808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ZC份额:苏银理财恒源1年定开39期ZC鑫福优享（自动赎回）/J14803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ZK份额:苏银理财恒源1年定开39期ZK鑫福尊享（自动赎回）/J14804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:20</w:t>
            </w:r>
            <w:r>
              <w:rPr>
                <w:rFonts w:hint="eastAsia" w:ascii="楷体" w:hAnsi="楷体" w:eastAsia="楷体"/>
                <w:sz w:val="18"/>
                <w:szCs w:val="18"/>
                <w:highlight w:val="none"/>
              </w:rPr>
              <w:t>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ZF2份额: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20</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29</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30</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3</w:t>
            </w:r>
            <w:r>
              <w:rPr>
                <w:rFonts w:hint="eastAsia" w:ascii="楷体" w:hAnsi="楷体" w:eastAsia="楷体" w:cs="宋体"/>
                <w:color w:val="auto"/>
                <w:spacing w:val="-2"/>
                <w:sz w:val="18"/>
                <w:szCs w:val="18"/>
                <w:lang w:eastAsia="zh-CN"/>
              </w:rPr>
              <w:t>年</w:t>
            </w:r>
            <w:r>
              <w:rPr>
                <w:rFonts w:hint="eastAsia" w:ascii="楷体" w:hAnsi="楷体" w:eastAsia="楷体" w:cs="宋体"/>
                <w:color w:val="auto"/>
                <w:spacing w:val="-2"/>
                <w:sz w:val="18"/>
                <w:szCs w:val="18"/>
                <w:lang w:val="en-US" w:eastAsia="zh-CN"/>
              </w:rPr>
              <w:t>2</w:t>
            </w:r>
            <w:r>
              <w:rPr>
                <w:rFonts w:hint="eastAsia" w:ascii="楷体" w:hAnsi="楷体" w:eastAsia="楷体" w:cs="宋体"/>
                <w:color w:val="auto"/>
                <w:spacing w:val="-2"/>
                <w:sz w:val="18"/>
                <w:szCs w:val="18"/>
                <w:lang w:eastAsia="zh-CN"/>
              </w:rPr>
              <w:t>月</w:t>
            </w:r>
            <w:r>
              <w:rPr>
                <w:rFonts w:hint="eastAsia" w:ascii="楷体" w:hAnsi="楷体" w:eastAsia="楷体" w:cs="宋体"/>
                <w:color w:val="auto"/>
                <w:spacing w:val="-2"/>
                <w:sz w:val="18"/>
                <w:szCs w:val="18"/>
                <w:lang w:val="en-US" w:eastAsia="zh-CN"/>
              </w:rPr>
              <w:t>25</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最新投资周期（2026年3月17日-2027年4月6日）开放申购与赎回时间为：</w:t>
            </w:r>
            <w:r>
              <w:rPr>
                <w:rFonts w:hint="eastAsia" w:ascii="楷体" w:hAnsi="楷体" w:eastAsia="楷体" w:cs="宋体"/>
                <w:b/>
                <w:bCs/>
                <w:spacing w:val="-2"/>
                <w:sz w:val="18"/>
                <w:szCs w:val="18"/>
                <w:highlight w:val="none"/>
                <w:lang w:val="en-US" w:eastAsia="zh-CN"/>
              </w:rPr>
              <w:t>2026年3月6日至2026年3月16日（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(其中ZA份额/ZF份额/ZF2份额/ZN份额/ZC份额/ZK份额由系统主动发起赎回申请，投资者无须发起赎回申请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2026年3月17日-2027年4月6日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2023年1月30日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2024年2月5日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4.10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4.13</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G份额 4.20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cs="宋体"/>
                      <w:spacing w:val="-2"/>
                      <w:sz w:val="18"/>
                      <w:szCs w:val="18"/>
                      <w:lang w:val="en-US" w:eastAsia="zh-CN"/>
                    </w:rPr>
                    <w:t>2024年2月6日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2025年2月18日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jc w:val="center"/>
                    <w:rPr>
                      <w:rFonts w:hint="default" w:ascii="楷体" w:hAnsi="楷体" w:eastAsia="楷体"/>
                      <w:sz w:val="18"/>
                      <w:szCs w:val="18"/>
                      <w:lang w:val="en-US" w:eastAsia="zh-CN"/>
                    </w:rPr>
                  </w:pPr>
                  <w:r>
                    <w:rPr>
                      <w:rFonts w:hint="eastAsia" w:ascii="楷体" w:hAnsi="楷体" w:eastAsia="楷体" w:cs="宋体"/>
                      <w:spacing w:val="-2"/>
                      <w:sz w:val="18"/>
                      <w:szCs w:val="18"/>
                      <w:lang w:val="en-US" w:eastAsia="zh-CN"/>
                    </w:rPr>
                    <w:t>2025年2月19日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2026年3月16日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2.68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G份额2.70%-3.30%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2.75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ZN份额2.80%-3.40%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cs="Times New Roman"/>
                      <w:sz w:val="18"/>
                      <w:szCs w:val="18"/>
                      <w:lang w:val="en-US" w:eastAsia="zh-CN"/>
                    </w:rPr>
                    <w:t>ZS份额2.75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3.35</w:t>
                  </w:r>
                  <w:r>
                    <w:rPr>
                      <w:rFonts w:hint="default" w:ascii="楷体" w:hAnsi="楷体" w:eastAsia="楷体" w:cs="Times New Roman"/>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2026年3月17日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2027年4月6日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U份额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ZF2份额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0.45%,O份额 0.55%,U份额 0.60%,Z份额 0.65%,ZA份额 0.65%,ZF份额 0.65%,ZF2份额 0.60%,ZN份额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0.65%,O份额 0.65%,U份额 0.70%,Z份额 0.65%,ZA份额 0.65%,ZF份额 0.65%,ZF2份额 0.60%,ZN份额 0.65%,ZC份额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兴业银行股份有限公司/上海银行股份有限公司/上海农村商业银行股份有限公司/江苏银行股份有限公司/江苏江阴农村商业银行股份有限公司/宁波东海银行股份有限公司/齐鲁银行股份有限公司/苏银理财有限责任公司/九江银行股份有限公司/江苏扬州农村商业银行股份有限公司/江苏阜宁农村商业银行股份有限公司/江苏丹阳农村商业银行股份有限公司/江苏新沂农村商业银行股份有限公司/江苏如东农村商业银行股份有限公司/江苏东台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邳州农村商业银行股份有限公司/江苏淮安农村商业银行股份有限公司/江苏紫金农村商业银行股份有限公司/江苏涟水农村商业银行股份有限公司/江苏高邮农村商业银行股份有限公司/江苏句容农村商业银行股份有限公司/江苏沭阳农村商业银行股份有限公司/江苏盱眙农村商业银行股份有限公司/江苏宜兴农村商业银行股份有限公司/江苏溧水农村商业银行股份有限公司/江苏海安农村商业银行股份有限公司/江苏如皋农村商业银行股份有限公司/江苏仪征农村商业银行股份有限公司/江苏高淳农村商业银行股份有限公司/威海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兴业银行股份有限公司/江苏银行股份有限公司/宁波东海银行股份有限公司/齐鲁银行股份有限公司/苏银理财有限责任公司/江苏扬州农村商业银行股份有限公司/江苏阜宁农村商业银行股份有限公司/江苏丹阳农村商业银行股份有限公司/江苏新沂农村商业银行股份有限公司/江苏如东农村商业银行股份有限公司/江苏东台农村商业银行股份有限公司/江苏泰兴农村商业银行股份有限公司/江苏扬中农村商业银行股份有限公司/江苏靖江农村商业银行股份有限公司/徐州农村商业银行股份有限公司/江苏南通农村商业银行股份有限公司/江苏洪泽农村商业银行股份有限公司/江苏邳州农村商业银行股份有限公司/江苏淮安农村商业银行股份有限公司/江苏紫金农村商业银行股份有限公司/江苏涟水农村商业银行股份有限公司/江苏高邮农村商业银行股份有限公司/江苏句容农村商业银行股份有限公司/江苏沭阳农村商业银行股份有限公司/江苏盱眙农村商业银行股份有限公司/江苏宜兴农村商业银行股份有限公司/江苏溧水农村商业银行股份有限公司/江苏海安农村商业银行股份有限公司/江苏如皋农村商业银行股份有限公司/江苏仪征农村商业银行股份有限公司/江苏高淳农村商业银行股份有限公司/威海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D份额：江苏江阴农村商业银行股份有限公司/江苏南通农村商业银行股份有限公司/江苏银行股份有限公司/上海银行股份有限公司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交通银行股份有限公司/北京农村商业银行股份有限公司/深圳农村商业银行股份有限公司/广州银行股份有限公司/广州农村商业银行股份有限公司/苏州银行股份有限公司/杭州联合农村商业银行股份有限公司/华侨银行有限公司/日照银行股份有限公司/浙江绍兴瑞丰农村商业银行股份有限公司/浙江温州龙湾农村商业银行股份有限公司/潍坊银行股份有限公司/甘肃银行股份有限公司/台州银行股份有限公司/浙江乐清农村商业银行股份有限公司/浙江临海农村商业银行股份有限公司/山西银行股份有限公司/浙江义乌农村商业银行股份有限公司/浙江杭州余杭农村商业银行股份有限公司/浙江德清农村商业银行股份有限公司/浙江萧山农村商业银行股份有限公司/宁波慈溪农村商业银行股份有限公司/浙江温州瓯海农村商业银行股份有限公司/九江银行股份有限公司/浙商银行股份有限公司/浙江永康农村商业银行股份有限公司/浙江武义农村商业银行股份有限公司/浙江江山农村商业银行股份有限公司/浙江开化农村商业银行股份有限公司/浙江青田农村商业银行股份有限公司/浙江舟山定海海洋农村商业银行股份有限公司/浙江岱山农村商业银行股份有限公司/宁波通商银行股份有限公司/中邮邮惠万家银行有限责任公司/浙江桐庐农村商业银行股份有限公司/浙江淳安农村商业银行股份有限公司/宁波余姚农村商业银行股份有限公司/宁波镇海农村商业银行股份有限公司/浙江永嘉农村商业银行股份有限公司/浙江泰顺农村商业银行股份有限公司/浙江嘉善农村商业银行股份有限公司/浙江海宁农村商业银行股份有限公司/浙江长兴农村商业银行股份有限公司/浙江上虞农村商业银行股份有限公司/兴业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徽商银行股份有限公司/深圳农村商业银行股份有限公司/广州银行股份有限公司/广州农村商业银行股份有限公司/杭州联合农村商业银行股份有限公司/浙江绍兴瑞丰农村商业银行股份有限公司/山西银行股份有限公司/浙江杭州余杭农村商业银行股份有限公司/浙江德清农村商业银行股份有限公司/九江银行股份有限公司/浙商银行股份有限公司/浙江衢州衢江农村商业银行股份有限公司/浙江舟山定海海洋农村商业银行股份有限公司/浙江岱山农村商业银行股份有限公司/宁波通商银行股份有限公司/浙江桐庐农村商业银行股份有限公司/浙江淳安农村商业银行股份有限公司/宁波余姚农村商业银行股份有限公司/浙江永嘉农村商业银行股份有限公司/浙江嘉善农村商业银行股份有限公司/浙江海宁农村商业银行股份有限公司/浙江上虞农村商业银行股份有限公司/兴业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J份额：江苏如皋农村商业银行股份有限公司/江苏银行股份有限公司/上海银行股份有限公司/威海银行股份有限公司/苏银理财有限责任公司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P份额：甘肃银行股份有限公司/郑州银行股份有限公司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苏州农村商业银行股份有限公司/江苏扬州农村商业银行股份有限公司/江苏阜宁农村商业银行股份有限公司/江苏丹阳农村商业银行股份有限公司/江苏新沂农村商业银行股份有限公司/江苏盐城农村商业银行股份有限公司/江苏如东农村商业银行股份有限公司/江苏东台农村商业银行股份有限公司/江苏江都农村商业银行股份有限公司/江苏泰兴农村商业银行股份有限公司/江苏扬中农村商业银行股份有限公司/江苏靖江农村商业银行股份有限公司/徐州农村商业银行股份有限公司/江苏南通农村商业银行股份有限公司/江苏灌南农村商业银行股份有限公司/江苏洪泽农村商业银行股份有限公司/江苏邳州农村商业银行股份有限公司/江苏金湖农村商业银行股份有限公司/江苏灌云农村商业银行股份有限公司/江苏淮安农村商业银行股份有限公司/江苏紫金农村商业银行股份有限公司/江苏东海农村商业银行股份有限公司/连云港东方农村商业银行股份有限公司/江苏高邮农村商业银行股份有限公司/江苏句容农村商业银行股份有限公司/江苏沭阳农村商业银行股份有限公司/江苏泗阳农村商业银行股份有限公司/江苏睢宁农村商业银行股份有限公司/江苏盱眙农村商业银行股份有限公司/江苏镇江农村商业银行股份有限公司/江苏宜兴农村商业银行股份有限公司/江苏溧水农村商业银行股份有限公司/江苏大丰农村商业银行股份有限公司/江苏泗洪农村商业银行股份有限公司/江苏启东农村商业银行股份有限公司/江苏海安农村商业银行股份有限公司/江苏如皋农村商业银行股份有限公司/江苏仪征农村商业银行股份有限公司/江苏姜堰农村商业银行股份有限公司/江苏高淳农村商业银行股份有限公司/江苏丰县农村商业银行股份有限公司/江苏建湖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江苏张家港农村商业银行股份有限公司/浙江民泰商业银行股份有限公司/河北银行股份有限公司/嘉兴银行股份有限公司/江苏江南农村商业银行股份有限公司/厦门银行股份有限公司/苏州银行股份有限公司/浙江温州龙湾农村商业银行股份有限公司/浙江临海农村商业银行股份有限公司/浙江新昌农村商业银行股份有限公司/浙江义乌农村商业银行股份有限公司/浙江杭州余杭农村商业银行股份有限公司/浙江德清农村商业银行股份有限公司/浙江萧山农村商业银行股份有限公司/宁波慈溪农村商业银行股份有限公司/浙江温州瓯海农村商业银行股份有限公司/莱商银行股份有限公司/浙江兰溪农村商业银行股份有限公司/浙江永康农村商业银行股份有限公司/浙江浦江农村商业银行股份有限公司/浙江衢州柯城农村商业银行股份有限公司/浙江衢州衢江农村商业银行股份有限公司/浙江江山农村商业银行股份有限公司/浙江青田农村商业银行股份有限公司/浙江温岭农村商业银行股份有限公司/浙江岱山农村商业银行股份有限公司/浙江临安农村商业银行股份有限公司/宁波余姚农村商业银行股份有限公司/宁波镇海农村商业银行股份有限公司/宁波甬城农村商业银行股份有限公司/浙江嘉善农村商业银行股份有限公司/浙江上虞农村商业银行股份有限公司/浙江嵊州农村商业银行股份有限公司/兴业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ZF2份额：石嘴山银行股份有限公司</w:t>
      </w:r>
    </w:p>
    <w:p>
      <w:pPr>
        <w:ind w:left="0" w:leftChars="0"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ZN份额：河北银行股份有限公司/广西北部湾银行股份有限公司/浙江萧山农村商业银行股份有限公司/宁波通商银行股份有限公司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如东农村商业银行股份有限公司/江苏泰兴农村商业银行股份有限公司/江苏灌南农村商业银行股份有限公司/江苏紫金农村商业银行股份有限公司/连云港东方农村商业银行股份有限公司/江苏泗阳农村商业银行股份有限公司/江苏溧水农村商业银行股份有限公司/江苏海安农村商业银行股份有限公司/江苏如皋农村商业银行股份有限公司/江苏姜堰农村商业银行股份有限公司/江苏高淳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如东农村商业银行股份有限公司/江苏南通农村商业银行股份有限公司/江苏灌南农村商业银行股份有限公司/江苏沛县农村商业银行股份有限公司/江苏紫金农村商业银行股份有限公司/连云港东方农村商业银行股份有限公司/江苏泗阳农村商业银行股份有限公司/江苏溧水农村商业银行股份有限公司/江苏海安农村商业银行股份有限公司/江苏如皋农村商业银行股份有限公司/江苏姜堰农村商业银行股份有限公司/江苏高淳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firstLine="558" w:firstLineChars="266"/>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通圆宏控股集团有限公司。融资人经营正常，是依法设立的国有公司，主要股东为南通市通州区人民政府，实际控制人为南通市通州区人民政府。（4）非标准化债权类资产：融资人为泰兴市交通控股有限公司。融资人经营正常，是依法设立的国有公司，主要股东为泰兴市人民政府国有资产监督管理办公室，实际控制人为泰兴市人民政府国有资产监督管理办公室。（5）非标准化债权类资产：融资人为扬州市邗江国有资产经营有限公司。融资人经营正常，是依法设立的国有公司，主要股东为扬州市邗江城市建设发展有限公司，扬州市正本溯源建设发展有限公司，实际控制人为扬州市人民政府。（6）非标准化债权类资产：融资人为镇江铁路投资发展有限公司。融资人经营正常，是依法设立的国有公司，主要股东为镇江市人民政府国有资产监督管理委员会，实际控制人为镇江市人民政府国有资产监督管理委员会。（7）非标准化债权类资产：融资人为淮安高新控股有限公司。融资人经营正常，是依法设立的国有公司，主要股东为淮安市财政局、淮安市交通控股集团有限公司、淮安新城投资开发集团有限公司，淮安国发投资集团有限公司，淮安市宏信国有资产投资管理有限公司，淮安市国有联合投资发展集团有限公司和淮安市投资控股集团有限公司，实际控制人为淮安市人民政府。（8）非标准化债权类资产：融资人为桐庐县城市建设投资集团有限公司。融资人经营正常，是依法设立的国有公司，主要股东为桐庐投资建设发展集团有限公司，实际控制人为桐庐县人民政府国有资产监督管理委员会。（9）非标准化债权类资产：融资人为绍兴市越城区城市发展建设集团有限公司。融资人经营正常，是依法设立的国有公司，主要股东为绍兴市越城区财政局，实际控制人为绍兴市越城区财政局。（10）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11）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12）非标准化债权类资产：融资人为兰溪市城市投资集团有限公司。融资人经营正常，是依法设立的国有公司，主要股东为兰溪市城市发展集团有限公司，实际控制人为兰溪市人民政府国有资产监督管理办公室。（13）非标准化债权类资产：融资人为苏皖合作示范区建设发展集团有限公司。融资人经营正常，是依法设立的国有公司，主要股东为溧阳市国有资产管理中心，实际控制人为溧阳市财政局。（14）非标准化债权类资产：融资人为江苏云港发展集团有限公司。融资人经营正常，是依法设立的国有公司，主要股东为江苏海州湾控股集团有限公司，实际控制人为连云港市连云区人民政府。（15）非标准化债权类资产：融资人为盐城市大丰区谐城实业发展有限公司。融资人经营正常，是依法设立的国有公司，主要股东为盐城市大丰区城市建设集团有限公司，实际控制人为江苏省盐城市大丰区人民政府。（16）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17）非标准化债权类资产：融资人为宿迁市运河港区开发集团有限公司。融资人经营正常，是依法设立的国有公司，主要股东为宿迁产业发展集团有限公司、宿迁市惠农产业发展股份有限公司，实际控制人为宿迁市人民政府。（18）非标准化债权类资产：融资人为仪征市水交投资有限公司。融资人经营正常，是依法设立的国有公司，主要股东为仪征市水交产业投资有限公司，兴田国际投资有限公司，实际控制人为仪征市财政局(仪征市政府国有资产监督管理办公室)。（19）非标准化债权类资产：融资人为盐城高新区投资集团有限公司。融资人经营正常，是依法设立的国有公司，主要股东为盐城高新产业控股集团有限公司，实际控制人为盐城市人民政府。（20）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21）非标准化债权类资产：融资人为象山县滨海投资有限公司。融资人经营正常，是依法设立的国有公司，主要股东为宁波象开建设发展有限公司、浙江省财务开发有限责任公司，实际控制人为象山县国有资产管理局。（22）非标准化债权类资产：融资人为燕舞集团有限公司。融资人经营正常，是依法设立的国有公司，主要股东为盐城市人民政府、盐城市城市资产投资集团有限公司、江苏悦达集团有限公司，实际控制人为盐城市人民政府。（23）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24）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25）非标准化债权类资产：融资人为温州瓯海科技产业发展集团有限公司。融资人经营正常，是依法设立的国有公司，主要股东为温州瓯海产业控股有限公司，实际控制人为温州市瓯海区国有资产管理办公室。（26）非标准化债权类资产：融资人为邳州市交通控股集团有限公司。融资人经营正常，是依法设立的国有公司，主要股东为邳州市交通投资发展集团有限公司，实际控制人为邳州市财政局。（27）非标准化债权类资产：融资人为如东县民泰城乡建设工程有限公司。融资人经营正常，是依法设立的国有公司，主要股东为如东县金鑫交通工程建设投资有限公司，实际控制人为如东县投资管理办公室。（28）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29）非标准化债权类资产：融资人为无锡锡山资产经营管理有限公司。融资人经营正常，是依法设立的国有公司，主要股东为无锡市锡州产城控股集团有限公司、无锡市锡山区国有企业改革发展服务中心，实际控制人为无锡市锡山区国有企业改革发展服务中心。（30）非标准化债权类资产：融资人为江苏钟吾城乡投资发展集团有限公司。融资人经营正常，是依法设立的国有公司，主要股东为徐州市人民政府，实际控制人为徐州市人民政府。（31）非标准化债权类资产：融资人为泰州医药城控股集团有限公司。融资人经营正常，是依法设立的国有公司，主要股东为泰州医药高新技术产业开发区管理委员会，实际控制人为泰州医药高新技术产业开发区管理委员会。（32）非标准化债权类资产：融资人为泰州国控投资集团有限公司。融资人经营正常，是依法设立的国有公司，主要股东为泰州市政府国有资产监督管理委员会，实际控制人为泰州市政府国有资产监督管理委员会。（33）非标准化债权类资产：融资人为杭州之江城市建设投资集团有限公司。融资人经营正常，是依法设立的国有公司，主要股东为杭州市西湖区人民政府国有资产监督管理办公室，实际控制人为杭州市西湖区人民政府国有资产监督管理办公室。（34）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35）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36）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37）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38）收益凭证：融资人为华泰证券股份有限公司。融资人经营正常，是依法设立的国有公司，主要股东为江苏省国信集团有限公司、香港中央结算（代理人）有限公司、江苏交通控股有限公司，无实际控制人。（39）收益凭证：融资人为国泰海通证券股份有限公司。融资人经营正常，</w:t>
      </w:r>
      <w:r>
        <w:rPr>
          <w:rFonts w:hint="eastAsia" w:ascii="楷体" w:hAnsi="楷体" w:eastAsia="楷体" w:cs="楷体"/>
          <w:color w:val="auto"/>
          <w:kern w:val="2"/>
          <w:sz w:val="21"/>
          <w:szCs w:val="21"/>
          <w:highlight w:val="none"/>
          <w:lang w:val="en-US" w:eastAsia="zh-CN" w:bidi="ar-SA"/>
        </w:rPr>
        <w:t>是依法设立的国有公司，主要股东为香港中央结算（代理人）有限公司、上海国有资产经营有限公司、上海国际集团有限公司，实际控制人为上海市国有资产监督管理委员会。（40）收益凭证：融资人为申万宏源证券有限公司。融资人经营正常，是依法设立的国有公司，主要股东为申万宏源集团股份有限公司，实际控制人为中央汇金投资有限责任公司。（41）收益凭证：融资人为东方证券股份有限公司。融资人经营正常，是依法设立的国有公司，主要股东为申能（集团）有限公司、香港中央结算（代理人）有限公司、上海海烟投资管理有限公司，实际控制人为上海市国有资产监督管理委员会。（42）收益凭证：融资人为浙商证券股份有限公司。融资人经营正常，是依法设立的国有公司，主要股东为浙江上三高速公路有限公司、台州市金融投资集团有限公司，实际控制人为浙江省交通投资集团有限公司。（43）融资人为国投证券股份有限公司。融资人经营正常，是依法设立的国有公司，主要股东为国投资本股份有限公司、上海毅胜投资有限公司，实际控制人为国家开发投资集团有限公司。</w:t>
      </w:r>
    </w:p>
    <w:p>
      <w:pPr>
        <w:numPr>
          <w:ilvl w:val="-1"/>
          <w:numId w:val="0"/>
        </w:numPr>
        <w:ind w:firstLine="558" w:firstLineChars="266"/>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33）各资产到期日不超过理财产品投资周期终止日，定期付息、到期一次性还本；（34）-（43）各资产到期日不超过理财产品投资周期终止日，到期一次性还本付息。</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lang w:val="en-US" w:eastAsia="zh-CN"/>
        </w:rPr>
      </w:pP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bookmarkStart w:id="0" w:name="_GoBack"/>
      <w:bookmarkEnd w:id="0"/>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C3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2026-02-26T11:02:08Z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