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8"/>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黑体" w:hAnsi="黑体" w:eastAsia="黑体"/>
          <w:sz w:val="44"/>
          <w:szCs w:val="44"/>
        </w:rPr>
      </w:pPr>
      <w:permStart w:id="0" w:edGrp="everyone"/>
      <w:r>
        <w:rPr>
          <w:rStyle w:val="28"/>
          <w:rFonts w:hint="eastAsia" w:ascii="黑体" w:hAnsi="黑体" w:eastAsia="黑体"/>
          <w:sz w:val="44"/>
          <w:szCs w:val="44"/>
          <w:lang w:eastAsia="zh-CN"/>
        </w:rPr>
        <w:t>【兴银理财丰收封闭式304号固收类理财产品】</w:t>
      </w:r>
      <w:permEnd w:id="0"/>
    </w:p>
    <w:p>
      <w:pPr>
        <w:adjustRightInd w:val="0"/>
        <w:spacing w:line="360" w:lineRule="auto"/>
        <w:jc w:val="center"/>
        <w:rPr>
          <w:rStyle w:val="28"/>
          <w:rFonts w:ascii="黑体" w:hAnsi="黑体" w:eastAsia="黑体"/>
          <w:sz w:val="44"/>
          <w:szCs w:val="44"/>
        </w:rPr>
      </w:pPr>
      <w:r>
        <w:rPr>
          <w:rStyle w:val="28"/>
          <w:rFonts w:hint="eastAsia" w:ascii="黑体" w:hAnsi="黑体" w:eastAsia="黑体"/>
          <w:sz w:val="44"/>
          <w:szCs w:val="44"/>
        </w:rPr>
        <w:t>产品说明书</w:t>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黑体" w:hAnsi="黑体" w:eastAsia="黑体"/>
          <w:bCs w:val="0"/>
          <w:sz w:val="28"/>
          <w:szCs w:val="28"/>
        </w:rPr>
      </w:pPr>
    </w:p>
    <w:p>
      <w:pPr>
        <w:adjustRightInd w:val="0"/>
        <w:spacing w:line="360" w:lineRule="auto"/>
        <w:jc w:val="center"/>
        <w:rPr>
          <w:rStyle w:val="28"/>
          <w:rFonts w:ascii="宋体" w:hAnsi="宋体" w:cs="Times New Roman"/>
          <w:sz w:val="32"/>
          <w:szCs w:val="32"/>
        </w:rPr>
      </w:pPr>
      <w:r>
        <w:rPr>
          <w:rStyle w:val="28"/>
          <w:rFonts w:hint="eastAsia" w:ascii="宋体" w:hAnsi="宋体" w:cs="Times New Roman"/>
          <w:sz w:val="32"/>
          <w:szCs w:val="32"/>
        </w:rPr>
        <w:t>理财产品管理人：兴银理财有限责任公司</w:t>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cs="Times New Roman"/>
          <w:sz w:val="32"/>
          <w:szCs w:val="32"/>
        </w:rPr>
      </w:pPr>
      <w:r>
        <w:rPr>
          <w:rStyle w:val="28"/>
          <w:rFonts w:hint="eastAsia" w:ascii="宋体" w:hAnsi="宋体" w:cs="Times New Roman"/>
          <w:sz w:val="32"/>
          <w:szCs w:val="32"/>
        </w:rPr>
        <w:t>日期</w:t>
      </w:r>
      <w:r>
        <w:rPr>
          <w:rStyle w:val="28"/>
          <w:rFonts w:ascii="宋体" w:hAnsi="宋体" w:cs="Times New Roman"/>
          <w:sz w:val="32"/>
          <w:szCs w:val="32"/>
        </w:rPr>
        <w:t>：</w:t>
      </w:r>
      <w:permStart w:id="1" w:edGrp="everyone"/>
      <w:r>
        <w:rPr>
          <w:rStyle w:val="28"/>
          <w:rFonts w:hint="eastAsia" w:ascii="宋体" w:hAnsi="宋体" w:cs="Times New Roman"/>
          <w:sz w:val="32"/>
          <w:szCs w:val="32"/>
        </w:rPr>
        <w:t>【2026】年【2】月</w:t>
      </w:r>
      <w:permEnd w:id="1"/>
    </w:p>
    <w:p>
      <w:pPr>
        <w:adjustRightInd w:val="0"/>
        <w:spacing w:line="360" w:lineRule="auto"/>
        <w:jc w:val="center"/>
        <w:rPr>
          <w:rStyle w:val="28"/>
          <w:rFonts w:ascii="宋体" w:hAnsi="宋体"/>
          <w:sz w:val="32"/>
          <w:szCs w:val="32"/>
        </w:rPr>
      </w:pPr>
    </w:p>
    <w:p>
      <w:pPr>
        <w:pStyle w:val="35"/>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9"/>
            <w:spacing w:line="360" w:lineRule="auto"/>
            <w:jc w:val="center"/>
          </w:pPr>
          <w:bookmarkStart w:id="0" w:name="_Toc78276587"/>
          <w:permStart w:id="2" w:edGrp="everyone"/>
          <w:r>
            <w:rPr>
              <w:lang w:val="zh-CN"/>
            </w:rPr>
            <w:t>目录</w:t>
          </w:r>
        </w:p>
        <w:p>
          <w:pPr>
            <w:pStyle w:val="17"/>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30"/>
              <w:rFonts w:hint="eastAsia" w:ascii="Times New Roman"/>
            </w:rPr>
            <w:t>第一条</w:t>
          </w:r>
          <w:r>
            <w:rPr>
              <w:rStyle w:val="30"/>
              <w:rFonts w:ascii="Times New Roman"/>
            </w:rPr>
            <w:t xml:space="preserve">  </w:t>
          </w:r>
          <w:r>
            <w:rPr>
              <w:rStyle w:val="30"/>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30"/>
              <w:rFonts w:hint="eastAsia" w:hAnsi="宋体"/>
            </w:rPr>
            <w:t>第二条</w:t>
          </w:r>
          <w:r>
            <w:rPr>
              <w:rStyle w:val="30"/>
              <w:rFonts w:hAnsi="宋体"/>
            </w:rPr>
            <w:t xml:space="preserve">  </w:t>
          </w:r>
          <w:r>
            <w:rPr>
              <w:rStyle w:val="30"/>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30"/>
              <w:rFonts w:hint="eastAsia" w:ascii="Times New Roman"/>
            </w:rPr>
            <w:t>第三条</w:t>
          </w:r>
          <w:r>
            <w:rPr>
              <w:rStyle w:val="30"/>
              <w:rFonts w:ascii="Times New Roman"/>
            </w:rPr>
            <w:t xml:space="preserve">  </w:t>
          </w:r>
          <w:r>
            <w:rPr>
              <w:rStyle w:val="30"/>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30"/>
              <w:rFonts w:hint="eastAsia" w:ascii="Times New Roman"/>
            </w:rPr>
            <w:t>第四条</w:t>
          </w:r>
          <w:r>
            <w:rPr>
              <w:rStyle w:val="30"/>
              <w:rFonts w:ascii="Times New Roman"/>
            </w:rPr>
            <w:t xml:space="preserve">  </w:t>
          </w:r>
          <w:r>
            <w:rPr>
              <w:rStyle w:val="30"/>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30"/>
              <w:rFonts w:hint="eastAsia" w:ascii="Times New Roman"/>
            </w:rPr>
            <w:t>第五条</w:t>
          </w:r>
          <w:r>
            <w:rPr>
              <w:rStyle w:val="30"/>
              <w:rFonts w:ascii="Times New Roman"/>
            </w:rPr>
            <w:t xml:space="preserve">  </w:t>
          </w:r>
          <w:r>
            <w:rPr>
              <w:rStyle w:val="30"/>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30"/>
              <w:rFonts w:hint="eastAsia" w:ascii="Times New Roman"/>
            </w:rPr>
            <w:t>第六条</w:t>
          </w:r>
          <w:r>
            <w:rPr>
              <w:rStyle w:val="30"/>
              <w:rFonts w:ascii="Times New Roman"/>
            </w:rPr>
            <w:t xml:space="preserve">  </w:t>
          </w:r>
          <w:r>
            <w:rPr>
              <w:rStyle w:val="30"/>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30"/>
              <w:rFonts w:hint="eastAsia" w:ascii="Times New Roman"/>
            </w:rPr>
            <w:t>第七条</w:t>
          </w:r>
          <w:r>
            <w:rPr>
              <w:rStyle w:val="30"/>
              <w:rFonts w:ascii="Times New Roman"/>
            </w:rPr>
            <w:t xml:space="preserve">  </w:t>
          </w:r>
          <w:r>
            <w:rPr>
              <w:rStyle w:val="30"/>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30"/>
              <w:rFonts w:hint="eastAsia" w:ascii="Times New Roman"/>
            </w:rPr>
            <w:t>第八条</w:t>
          </w:r>
          <w:r>
            <w:rPr>
              <w:rStyle w:val="30"/>
              <w:rFonts w:ascii="Times New Roman"/>
            </w:rPr>
            <w:t xml:space="preserve">  </w:t>
          </w:r>
          <w:r>
            <w:rPr>
              <w:rStyle w:val="30"/>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30"/>
              <w:rFonts w:hint="eastAsia" w:ascii="Times New Roman"/>
            </w:rPr>
            <w:t>第九条</w:t>
          </w:r>
          <w:r>
            <w:rPr>
              <w:rStyle w:val="30"/>
              <w:rFonts w:ascii="Times New Roman"/>
            </w:rPr>
            <w:t xml:space="preserve">  </w:t>
          </w:r>
          <w:r>
            <w:rPr>
              <w:rStyle w:val="30"/>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30"/>
              <w:rFonts w:hint="eastAsia"/>
            </w:rPr>
            <w:t>第十条</w:t>
          </w:r>
          <w:r>
            <w:rPr>
              <w:rStyle w:val="30"/>
            </w:rPr>
            <w:t xml:space="preserve">  </w:t>
          </w:r>
          <w:r>
            <w:rPr>
              <w:rStyle w:val="30"/>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30"/>
              <w:rFonts w:hint="eastAsia" w:ascii="Times New Roman"/>
            </w:rPr>
            <w:t>第十一条</w:t>
          </w:r>
          <w:r>
            <w:rPr>
              <w:rStyle w:val="30"/>
              <w:rFonts w:ascii="Times New Roman"/>
            </w:rPr>
            <w:t xml:space="preserve">  </w:t>
          </w:r>
          <w:r>
            <w:rPr>
              <w:rStyle w:val="30"/>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7"/>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30"/>
              <w:rFonts w:hint="eastAsia" w:ascii="Times New Roman"/>
            </w:rPr>
            <w:t>第十二条</w:t>
          </w:r>
          <w:r>
            <w:rPr>
              <w:rStyle w:val="30"/>
              <w:rFonts w:ascii="Times New Roman"/>
            </w:rPr>
            <w:t xml:space="preserve">  </w:t>
          </w:r>
          <w:r>
            <w:rPr>
              <w:rStyle w:val="30"/>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3"/>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国家金融监督管理总局认定的其他业务活动</w:t>
      </w:r>
      <w:r>
        <w:rPr>
          <w:rFonts w:asciiTheme="majorEastAsia" w:hAnsiTheme="majorEastAsia" w:eastAsiaTheme="majorEastAsia"/>
          <w:bCs/>
          <w:color w:val="auto"/>
          <w:sz w:val="18"/>
          <w:szCs w:val="18"/>
        </w:rPr>
        <w:t>。各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5"/>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5"/>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5"/>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5"/>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5"/>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5"/>
        <w:spacing w:line="360" w:lineRule="auto"/>
        <w:ind w:firstLine="360" w:firstLineChars="200"/>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5"/>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【兴银理财丰收封闭式304号固收类理财产品】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【兴银理财丰收封闭式304号固收类理财产品】</w:t>
      </w:r>
      <w:permEnd w:id="5"/>
      <w:r>
        <w:rPr>
          <w:rFonts w:hint="eastAsia" w:asciiTheme="majorEastAsia" w:hAnsiTheme="majorEastAsia" w:eastAsiaTheme="majorEastAsia"/>
          <w:bCs/>
          <w:sz w:val="18"/>
          <w:szCs w:val="18"/>
        </w:rPr>
        <w:t>投资协议书》，以及对该文件的有效修改或补充。</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【兴银理财丰收封闭式304号固收类理财产品】</w:t>
      </w:r>
      <w:permEnd w:id="6"/>
      <w:r>
        <w:rPr>
          <w:rFonts w:hint="eastAsia" w:asciiTheme="majorEastAsia" w:hAnsiTheme="majorEastAsia" w:eastAsiaTheme="majorEastAsia"/>
          <w:bCs/>
          <w:sz w:val="18"/>
          <w:szCs w:val="18"/>
        </w:rPr>
        <w:t>产品说明书》，以及对该文件的有效修改或补充。</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【兴银理财丰收封闭式304号固收类理财产品】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【兴银理财丰收封闭式304号固收类理财产品】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【兴银理财丰收封闭式304号固收类理财产品】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【兴银理财丰收封闭式304号固收类理财产品】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【兴银理财丰收封闭式304号固收类理财产品】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【兴银理财丰收封闭式304号固收类理财产品】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5"/>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5"/>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p>
    <w:p>
      <w:pPr>
        <w:pStyle w:val="35"/>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5"/>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5"/>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5"/>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5"/>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5"/>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5"/>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5"/>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5"/>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5"/>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5"/>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5"/>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3"/>
        <w:spacing w:before="0" w:after="0" w:line="360" w:lineRule="auto"/>
        <w:jc w:val="center"/>
        <w:rPr>
          <w:rFonts w:hAnsi="宋体"/>
          <w:sz w:val="28"/>
          <w:szCs w:val="28"/>
        </w:rPr>
      </w:pPr>
      <w:bookmarkStart w:id="2" w:name="_Toc176189754"/>
      <w:bookmarkStart w:id="3" w:name="_Toc79154665"/>
      <w:r>
        <w:rPr>
          <w:rFonts w:hint="eastAsia" w:hAnsi="宋体"/>
          <w:sz w:val="28"/>
          <w:szCs w:val="28"/>
        </w:rPr>
        <w:t>第二条  理财产品基本情况</w:t>
      </w:r>
      <w:bookmarkEnd w:id="2"/>
      <w:bookmarkEnd w:id="3"/>
      <w:r>
        <w:rPr>
          <w:rFonts w:hint="eastAsia" w:hAnsi="宋体"/>
          <w:sz w:val="28"/>
          <w:szCs w:val="28"/>
        </w:rPr>
        <w:t xml:space="preserve"> </w:t>
      </w:r>
    </w:p>
    <w:tbl>
      <w:tblPr>
        <w:tblStyle w:val="25"/>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eastAsia" w:asciiTheme="majorEastAsia" w:hAnsiTheme="majorEastAsia" w:eastAsiaTheme="majorEastAsia"/>
                <w:bCs/>
                <w:sz w:val="18"/>
                <w:szCs w:val="18"/>
              </w:rPr>
              <w:t>【兴银理财丰收封闭式304号固收类理财产品】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vAlign w:val="top"/>
          </w:tcPr>
          <w:p>
            <w:pPr>
              <w:keepNext w:val="0"/>
              <w:keepLines w:val="0"/>
              <w:widowControl/>
              <w:suppressLineNumbers w:val="0"/>
              <w:spacing w:before="0" w:beforeAutospacing="0" w:after="0" w:afterAutospacing="0" w:line="360" w:lineRule="auto"/>
              <w:ind w:left="0" w:leftChars="0" w:right="0" w:rightChars="0"/>
              <w:jc w:val="left"/>
              <w:rPr>
                <w:rFonts w:ascii="宋体" w:hAnsi="宋体"/>
                <w:kern w:val="0"/>
                <w:sz w:val="22"/>
              </w:rPr>
            </w:pPr>
            <w:r>
              <w:rPr>
                <w:rFonts w:hint="eastAsia" w:asciiTheme="majorEastAsia" w:hAnsiTheme="majorEastAsia" w:eastAsiaTheme="majorEastAsia"/>
                <w:bCs/>
                <w:kern w:val="0"/>
                <w:sz w:val="18"/>
                <w:szCs w:val="18"/>
              </w:rPr>
              <w:t>【丰收封闭式304号A】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ascii="宋体" w:hAnsi="宋体"/>
                <w:b/>
                <w:sz w:val="18"/>
                <w:szCs w:val="18"/>
              </w:rPr>
            </w:pPr>
            <w:r>
              <w:rPr>
                <w:rFonts w:hint="eastAsia" w:asciiTheme="minorEastAsia" w:hAnsiTheme="minorEastAsia"/>
                <w:sz w:val="18"/>
                <w:szCs w:val="18"/>
              </w:rPr>
              <w:t>【Z7002026000292】</w:t>
            </w:r>
            <w:r>
              <w:rPr>
                <w:rFonts w:hint="eastAsia" w:asciiTheme="majorEastAsia" w:hAnsiTheme="majorEastAsia" w:eastAsiaTheme="majorEastAsia"/>
                <w:sz w:val="18"/>
                <w:szCs w:val="18"/>
              </w:rPr>
              <w:t>投资者可依据理财产品登记编码在中国理财网</w:t>
            </w:r>
            <w:r>
              <w:rPr>
                <w:rFonts w:hint="default" w:asciiTheme="majorEastAsia" w:hAnsiTheme="majorEastAsia" w:eastAsiaTheme="majorEastAsia"/>
                <w:sz w:val="18"/>
                <w:szCs w:val="18"/>
              </w:rPr>
              <w:t>(</w:t>
            </w:r>
            <w:r>
              <w:rPr>
                <w:rFonts w:hint="default"/>
              </w:rPr>
              <w:fldChar w:fldCharType="begin"/>
            </w:r>
            <w:r>
              <w:rPr>
                <w:rFonts w:hint="default"/>
              </w:rPr>
              <w:instrText xml:space="preserve"> HYPERLINK "http://www.chinawealth.com.cn" </w:instrText>
            </w:r>
            <w:r>
              <w:rPr>
                <w:rFonts w:hint="default"/>
              </w:rPr>
              <w:fldChar w:fldCharType="separate"/>
            </w:r>
            <w:r>
              <w:rPr>
                <w:rFonts w:hint="default" w:asciiTheme="majorEastAsia" w:hAnsiTheme="majorEastAsia" w:eastAsiaTheme="majorEastAsia"/>
                <w:sz w:val="18"/>
                <w:szCs w:val="18"/>
              </w:rPr>
              <w:t>www.chinawealth.com.cn</w:t>
            </w:r>
            <w:r>
              <w:rPr>
                <w:rFonts w:hint="default" w:asciiTheme="majorEastAsia" w:hAnsiTheme="majorEastAsia" w:eastAsiaTheme="majorEastAsia"/>
                <w:sz w:val="18"/>
                <w:szCs w:val="18"/>
              </w:rPr>
              <w:fldChar w:fldCharType="end"/>
            </w:r>
            <w:r>
              <w:rPr>
                <w:rFonts w:hint="default"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bCs/>
                <w:sz w:val="18"/>
                <w:szCs w:val="18"/>
              </w:rPr>
            </w:pPr>
            <w:r>
              <w:rPr>
                <w:rFonts w:hint="default" w:ascii="宋体" w:hAnsi="宋体"/>
                <w:bCs/>
                <w:sz w:val="18"/>
                <w:szCs w:val="18"/>
              </w:rPr>
              <w:t>【</w:t>
            </w:r>
            <w:r>
              <w:rPr>
                <w:rFonts w:hint="eastAsia" w:ascii="宋体" w:hAnsi="宋体"/>
                <w:bCs/>
                <w:sz w:val="18"/>
                <w:szCs w:val="18"/>
              </w:rPr>
              <w:t>9C313040】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hAnsi="宋体"/>
                <w:b/>
                <w:sz w:val="18"/>
                <w:szCs w:val="18"/>
              </w:rPr>
            </w:pPr>
            <w:r>
              <w:rPr>
                <w:rFonts w:hint="eastAsia" w:hAnsi="宋体"/>
                <w:b/>
                <w:sz w:val="18"/>
                <w:szCs w:val="18"/>
              </w:rPr>
              <w:t>★销售代码</w:t>
            </w:r>
          </w:p>
        </w:tc>
        <w:tc>
          <w:tcPr>
            <w:tcW w:w="7674" w:type="dxa"/>
            <w:shd w:val="solid" w:color="FFFFFF" w:fill="FFFFFF"/>
            <w:vAlign w:val="top"/>
          </w:tcPr>
          <w:p>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ascii="宋体" w:hAnsi="宋体"/>
                <w:bCs/>
                <w:sz w:val="18"/>
                <w:szCs w:val="18"/>
              </w:rPr>
              <w:t>【9C31304A】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vAlign w:val="top"/>
          </w:tcPr>
          <w:p>
            <w:pPr>
              <w:spacing w:line="360" w:lineRule="auto"/>
              <w:rPr>
                <w:rFonts w:hint="eastAsia" w:ascii="黑体" w:hAnsi="黑体" w:eastAsia="黑体" w:cs="黑体"/>
                <w:bCs/>
                <w:sz w:val="18"/>
                <w:szCs w:val="18"/>
              </w:rPr>
            </w:pPr>
            <w:r>
              <w:rPr>
                <w:rFonts w:hint="eastAsia" w:ascii="黑体" w:hAnsi="黑体" w:eastAsia="黑体" w:cs="黑体"/>
                <w:bCs/>
                <w:sz w:val="18"/>
                <w:szCs w:val="18"/>
              </w:rPr>
              <w:t>本产品属于【□ R1、■ R2、□ R3、□ R4、□ R5】理财产品。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r>
              <w:rPr>
                <w:rFonts w:hint="eastAsia" w:ascii="黑体" w:hAnsi="黑体" w:eastAsia="黑体"/>
                <w:bCs/>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color w:val="000000" w:themeColor="text1"/>
                <w:sz w:val="18"/>
                <w:szCs w:val="18"/>
                <w14:textFill>
                  <w14:solidFill>
                    <w14:schemeClr w14:val="tx1"/>
                  </w14:solidFill>
                </w14:textFill>
              </w:rPr>
            </w:pPr>
            <w:r>
              <w:rPr>
                <w:rFonts w:hint="default" w:asciiTheme="majorEastAsia" w:hAnsiTheme="majorEastAsia" w:eastAsiaTheme="majorEastAsia"/>
                <w:bCs/>
                <w:color w:val="000000" w:themeColor="text1"/>
                <w:sz w:val="18"/>
                <w:szCs w:val="18"/>
                <w14:textFill>
                  <w14:solidFill>
                    <w14:schemeClr w14:val="tx1"/>
                  </w14:solidFill>
                </w14:textFill>
              </w:rPr>
              <w:t>本产品适合以下类型投资者：</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keepNext w:val="0"/>
              <w:keepLines w:val="0"/>
              <w:suppressLineNumbers w:val="0"/>
              <w:spacing w:before="0" w:beforeAutospacing="0" w:after="0" w:afterAutospacing="0" w:line="360" w:lineRule="auto"/>
              <w:ind w:left="0" w:right="0"/>
              <w:jc w:val="left"/>
              <w:rPr>
                <w:rFonts w:hint="default" w:ascii="宋体" w:hAnsi="宋体"/>
                <w:sz w:val="18"/>
                <w:szCs w:val="18"/>
              </w:rPr>
            </w:pPr>
            <w:r>
              <w:rPr>
                <w:rFonts w:hint="eastAsia" w:ascii="宋体" w:hAnsi="宋体"/>
                <w:bCs/>
                <w:sz w:val="18"/>
                <w:szCs w:val="18"/>
                <w:lang w:bidi="ar"/>
              </w:rPr>
              <w:t>■</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lang w:eastAsia="zh-CN"/>
              </w:rPr>
              <w:t>1.本产品计划初始募集规模为【</w:t>
            </w:r>
            <w:r>
              <w:rPr>
                <w:rFonts w:hint="eastAsia" w:asciiTheme="majorEastAsia" w:hAnsiTheme="majorEastAsia" w:eastAsiaTheme="majorEastAsia"/>
                <w:bCs/>
                <w:sz w:val="18"/>
                <w:szCs w:val="18"/>
              </w:rPr>
              <w:t>2</w:t>
            </w:r>
            <w:r>
              <w:rPr>
                <w:rFonts w:hint="eastAsia" w:asciiTheme="majorEastAsia" w:hAnsiTheme="majorEastAsia" w:eastAsiaTheme="majorEastAsia"/>
                <w:bCs/>
                <w:sz w:val="18"/>
                <w:szCs w:val="18"/>
                <w:lang w:eastAsia="zh-CN"/>
              </w:rPr>
              <w:t>】亿元，最小成立规模为【</w:t>
            </w: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eastAsia="zh-CN"/>
              </w:rPr>
              <w:t>】亿元。</w:t>
            </w:r>
          </w:p>
          <w:p>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hint="default"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hint="default"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hint="default"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■有固定期限:【365天】</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【2026年03月04日】【09:00】至【2026年03月17日】【17:00】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.本产品的计划成立日为</w:t>
            </w:r>
            <w:r>
              <w:rPr>
                <w:rFonts w:hint="default" w:asciiTheme="minorEastAsia" w:hAnsiTheme="minorEastAsia"/>
                <w:bCs/>
                <w:sz w:val="18"/>
                <w:szCs w:val="18"/>
              </w:rPr>
              <w:t>：</w:t>
            </w:r>
            <w:r>
              <w:rPr>
                <w:rFonts w:hint="eastAsia" w:cs="Times New Roman" w:asciiTheme="minorEastAsia" w:hAnsiTheme="minorEastAsia"/>
                <w:sz w:val="18"/>
                <w:szCs w:val="18"/>
              </w:rPr>
              <w:t>【2026年03月18日</w:t>
            </w:r>
            <w:r>
              <w:rPr>
                <w:rFonts w:hint="default" w:cs="Times New Roman" w:asciiTheme="minorEastAsia" w:hAnsiTheme="minorEastAsia"/>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leftChars="0" w:right="0" w:rightChars="0"/>
              <w:rPr>
                <w:rFonts w:asciiTheme="majorEastAsia" w:hAnsiTheme="majorEastAsia" w:eastAsiaTheme="majorEastAsia"/>
                <w:bCs/>
                <w:sz w:val="18"/>
                <w:szCs w:val="18"/>
              </w:rPr>
            </w:pPr>
            <w:r>
              <w:rPr>
                <w:rFonts w:hint="default" w:asciiTheme="minorEastAsia" w:hAnsiTheme="minorEastAsia"/>
                <w:bCs/>
                <w:sz w:val="18"/>
                <w:szCs w:val="18"/>
              </w:rPr>
              <w:t>2</w:t>
            </w:r>
            <w:r>
              <w:rPr>
                <w:rFonts w:hint="eastAsia" w:asciiTheme="minorEastAsia" w:hAnsiTheme="minorEastAsia"/>
                <w:bCs/>
                <w:sz w:val="18"/>
                <w:szCs w:val="18"/>
              </w:rPr>
              <w:t>.</w:t>
            </w:r>
            <w:r>
              <w:rPr>
                <w:rFonts w:hint="default"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hint="default"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inorEastAsia" w:hAnsiTheme="minorEastAsia"/>
                <w:bCs/>
                <w:sz w:val="18"/>
                <w:szCs w:val="18"/>
              </w:rPr>
            </w:pPr>
            <w:r>
              <w:rPr>
                <w:rFonts w:hint="default" w:asciiTheme="minorEastAsia" w:hAnsiTheme="minorEastAsia"/>
                <w:bCs/>
                <w:sz w:val="18"/>
                <w:szCs w:val="18"/>
              </w:rPr>
              <w:t>1</w:t>
            </w:r>
            <w:r>
              <w:rPr>
                <w:rFonts w:hint="eastAsia" w:asciiTheme="minorEastAsia" w:hAnsiTheme="minorEastAsia"/>
                <w:bCs/>
                <w:sz w:val="18"/>
                <w:szCs w:val="18"/>
              </w:rPr>
              <w:t>.本产品的计划终止日为</w:t>
            </w:r>
            <w:r>
              <w:rPr>
                <w:rFonts w:hint="default" w:asciiTheme="minorEastAsia" w:hAnsiTheme="minorEastAsia"/>
                <w:bCs/>
                <w:sz w:val="18"/>
                <w:szCs w:val="18"/>
              </w:rPr>
              <w:t>：</w:t>
            </w:r>
            <w:r>
              <w:rPr>
                <w:rFonts w:hint="eastAsia" w:cs="Times New Roman" w:asciiTheme="minorEastAsia" w:hAnsiTheme="minorEastAsia"/>
                <w:sz w:val="18"/>
                <w:szCs w:val="18"/>
              </w:rPr>
              <w:t>【2027年03月18日</w:t>
            </w:r>
            <w:r>
              <w:rPr>
                <w:rFonts w:hint="default" w:cs="Times New Roman" w:asciiTheme="minorEastAsia" w:hAnsiTheme="minorEastAsia"/>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keepNext w:val="0"/>
              <w:keepLines w:val="0"/>
              <w:suppressLineNumbers w:val="0"/>
              <w:spacing w:before="0" w:beforeAutospacing="0" w:after="0" w:afterAutospacing="0" w:line="360" w:lineRule="auto"/>
              <w:ind w:left="0" w:leftChars="0" w:right="0" w:rightChars="0"/>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hint="default" w:asciiTheme="majorEastAsia" w:hAnsiTheme="majorEastAsia" w:eastAsiaTheme="majorEastAsia"/>
                <w:b/>
                <w:bCs/>
                <w:sz w:val="18"/>
                <w:szCs w:val="18"/>
              </w:rPr>
              <w:t>递增金额</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每笔购买起点金额为【1】元; 超出起点金额的部分以【0.01】元的整数倍递增。（适用【A】类份额)
</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hint="default"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keepNext w:val="0"/>
              <w:keepLines w:val="0"/>
              <w:suppressLineNumbers w:val="0"/>
              <w:spacing w:before="0" w:beforeAutospacing="0" w:after="0" w:afterAutospacing="0" w:line="360" w:lineRule="auto"/>
              <w:ind w:left="0" w:right="0"/>
              <w:rPr>
                <w:rFonts w:hint="default"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hint="default"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hint="default"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keepNext w:val="0"/>
              <w:keepLines w:val="0"/>
              <w:suppressLineNumbers w:val="0"/>
              <w:spacing w:before="0" w:beforeAutospacing="0" w:after="0" w:afterAutospacing="0" w:line="360" w:lineRule="auto"/>
              <w:ind w:left="0" w:leftChars="0" w:right="0" w:rightChars="0"/>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hint="default"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hint="default"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keepNext w:val="0"/>
              <w:keepLines w:val="0"/>
              <w:suppressLineNumbers w:val="0"/>
              <w:spacing w:before="0" w:beforeAutospacing="0" w:after="0" w:afterAutospacing="0" w:line="360" w:lineRule="auto"/>
              <w:ind w:left="0" w:leftChars="0" w:right="0" w:rightChars="0"/>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认购的数量限制</w:t>
            </w:r>
            <w:r>
              <w:rPr>
                <w:rFonts w:ascii="宋体" w:hAnsi="宋体" w:eastAsia="宋体" w:cs="宋体"/>
                <w:sz w:val="18"/>
              </w:rPr>
              <w:br w:type="textWrapping"/>
            </w:r>
            <w:r>
              <w:rPr>
                <w:rFonts w:ascii="宋体" w:hAnsi="宋体" w:eastAsia="宋体" w:cs="宋体"/>
                <w:sz w:val="18"/>
              </w:rPr>
              <w:t>（1）单一投资者认购上限为【/】元。（适用【A】类份额)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p>
          <w:p>
            <w:pPr>
              <w:keepNext w:val="0"/>
              <w:keepLines w:val="0"/>
              <w:suppressLineNumbers w:val="0"/>
              <w:spacing w:before="0" w:beforeAutospacing="0" w:after="0" w:afterAutospacing="0" w:line="360" w:lineRule="auto"/>
              <w:ind w:left="0" w:right="0"/>
              <w:rPr>
                <w:rFonts w:hint="default" w:ascii="宋体" w:hAnsi="宋体" w:eastAsia="宋体" w:cs="宋体"/>
                <w:sz w:val="18"/>
                <w:lang w:val="en-US" w:eastAsia="zh-CN"/>
              </w:rPr>
            </w:pPr>
            <w:r>
              <w:rPr>
                <w:rFonts w:hint="eastAsia" w:ascii="宋体" w:hAnsi="宋体" w:cs="宋体"/>
                <w:sz w:val="18"/>
                <w:lang w:val="en-US" w:eastAsia="zh-CN"/>
              </w:rPr>
              <w:t>如需突破上限，请与产品管理人或销售机构客户经理联系。</w:t>
            </w:r>
          </w:p>
          <w:p>
            <w:pPr>
              <w:keepNext w:val="0"/>
              <w:keepLines w:val="0"/>
              <w:suppressLineNumbers w:val="0"/>
              <w:spacing w:before="0" w:beforeAutospacing="0" w:after="0" w:afterAutospacing="0" w:line="360" w:lineRule="auto"/>
              <w:ind w:left="0" w:leftChars="0" w:right="0" w:rightChars="0"/>
              <w:rPr>
                <w:rFonts w:asciiTheme="minorEastAsia" w:hAnsiTheme="minorEastAsia" w:eastAsiaTheme="minorEastAsia"/>
                <w:sz w:val="18"/>
                <w:szCs w:val="18"/>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lang w:val="en-US" w:eastAsia="zh-CN"/>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（1）业绩比较基准的说明：【以一年期定期存款利率为无风险利率，基于当前对未来市场的判断，根据拟投资债权类资产的信用利差、久期敞口以及流动性溢价，预判组合的波动幅度】。</w:t>
            </w:r>
            <w:r>
              <w:rPr>
                <w:rFonts w:ascii="宋体" w:hAnsi="宋体" w:eastAsia="宋体" w:cs="宋体"/>
                <w:sz w:val="18"/>
              </w:rPr>
              <w:br w:type="textWrapping"/>
            </w:r>
            <w:r>
              <w:rPr>
                <w:rFonts w:ascii="宋体" w:hAnsi="宋体" w:eastAsia="宋体" w:cs="宋体"/>
                <w:sz w:val="18"/>
              </w:rPr>
              <w:t>（2）业绩比较基准的设定：管理人对本产品设定业绩比较基准：年化【1.8%-2.8%】。（适用【A】类份额)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eastAsiaTheme="majorEastAsia"/>
                <w:b/>
                <w:bCs/>
                <w:sz w:val="18"/>
                <w:szCs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宋体"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业绩报酬计提基准的设定：管理人对本产品设定业绩报酬计提基准：年化【】。（适用【A】类份额)</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（1）认购费：【/】。（适用【A】类份额）</w:t>
            </w:r>
            <w:r>
              <w:rPr>
                <w:rFonts w:ascii="黑体" w:hAnsi="黑体" w:eastAsia="黑体" w:cs="黑体"/>
                <w:sz w:val="18"/>
              </w:rPr>
              <w:br w:type="textWrapping"/>
            </w:r>
            <w:r>
              <w:rPr>
                <w:rFonts w:ascii="黑体" w:hAnsi="黑体" w:eastAsia="黑体" w:cs="黑体"/>
                <w:sz w:val="18"/>
              </w:rPr>
              <w:t>（2）销售服务费：年化费率【0.2%】。（适用【A】类份额）</w:t>
            </w:r>
            <w:r>
              <w:rPr>
                <w:rFonts w:ascii="黑体" w:hAnsi="黑体" w:eastAsia="黑体" w:cs="黑体"/>
                <w:sz w:val="18"/>
              </w:rPr>
              <w:br w:type="textWrapping"/>
            </w:r>
            <w:r>
              <w:rPr>
                <w:rFonts w:ascii="黑体" w:hAnsi="黑体" w:eastAsia="黑体" w:cs="黑体"/>
                <w:sz w:val="18"/>
              </w:rPr>
              <w:t>（3）投资管理费：年化费率【0.1%】</w:t>
            </w:r>
            <w:r>
              <w:rPr>
                <w:rFonts w:ascii="黑体" w:hAnsi="黑体" w:eastAsia="黑体" w:cs="黑体"/>
                <w:sz w:val="18"/>
              </w:rPr>
              <w:br w:type="textWrapping"/>
            </w:r>
            <w:r>
              <w:rPr>
                <w:rFonts w:ascii="黑体" w:hAnsi="黑体" w:eastAsia="黑体" w:cs="黑体"/>
                <w:sz w:val="18"/>
              </w:rPr>
              <w:t>（4）产品托管费：年化费率【0.03%】</w:t>
            </w:r>
            <w:r>
              <w:rPr>
                <w:rFonts w:ascii="黑体" w:hAnsi="黑体" w:eastAsia="黑体" w:cs="黑体"/>
                <w:sz w:val="18"/>
              </w:rPr>
              <w:br w:type="textWrapping"/>
            </w:r>
            <w:r>
              <w:rPr>
                <w:rFonts w:ascii="黑体" w:hAnsi="黑体" w:eastAsia="黑体" w:cs="黑体"/>
                <w:sz w:val="18"/>
              </w:rPr>
              <w:t>（5）超额业绩报酬：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hint="eastAsia" w:ascii="黑体" w:hAnsi="黑体" w:eastAsia="黑体"/>
                <w:bCs/>
                <w:sz w:val="18"/>
                <w:szCs w:val="18"/>
              </w:rPr>
            </w:pPr>
            <w:r>
              <w:rPr>
                <w:rFonts w:hint="eastAsia" w:ascii="黑体" w:hAnsi="黑体" w:eastAsia="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5"/>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3"/>
        <w:spacing w:before="0" w:after="0" w:line="360" w:lineRule="auto"/>
        <w:jc w:val="center"/>
        <w:rPr>
          <w:rFonts w:ascii="Times New Roman"/>
          <w:sz w:val="30"/>
        </w:rPr>
      </w:pPr>
      <w:bookmarkStart w:id="4" w:name="_Toc176189755"/>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5"/>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6"/>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5"/>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5"/>
        <w:spacing w:line="360" w:lineRule="auto"/>
        <w:ind w:firstLine="360" w:firstLineChars="200"/>
        <w:rPr>
          <w:rFonts w:hint="eastAsia" w:asciiTheme="minorEastAsia" w:hAnsiTheme="minorEastAsia" w:eastAsiaTheme="minorEastAsia"/>
          <w:b w:val="0"/>
          <w:bCs/>
          <w:color w:val="auto"/>
          <w:sz w:val="18"/>
          <w:szCs w:val="18"/>
        </w:rPr>
      </w:pPr>
      <w:r>
        <w:rPr>
          <w:rFonts w:hint="eastAsia" w:asciiTheme="minorEastAsia" w:hAnsiTheme="minorEastAsia" w:eastAsiaTheme="minorEastAsia"/>
          <w:b w:val="0"/>
          <w:bCs/>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5"/>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3"/>
        <w:spacing w:before="0" w:after="0" w:line="360" w:lineRule="auto"/>
        <w:jc w:val="center"/>
        <w:rPr>
          <w:rFonts w:ascii="Times New Roman"/>
          <w:sz w:val="30"/>
        </w:rPr>
      </w:pPr>
      <w:bookmarkStart w:id="9" w:name="_Toc176189756"/>
      <w:bookmarkStart w:id="10" w:name="_Toc4771"/>
      <w:bookmarkStart w:id="11" w:name="_Toc27189"/>
      <w:bookmarkStart w:id="12" w:name="_Toc29784"/>
      <w:bookmarkStart w:id="13" w:name="_Toc74065741"/>
      <w:bookmarkStart w:id="14" w:name="_Toc3266"/>
      <w:bookmarkStart w:id="15" w:name="_Toc90742321"/>
      <w:bookmarkStart w:id="16" w:name="_Toc15203"/>
      <w:bookmarkStart w:id="17" w:name="_Toc29948"/>
      <w:bookmarkStart w:id="18" w:name="_Toc90742390"/>
      <w:bookmarkStart w:id="19" w:name="_Toc90742688"/>
      <w:bookmarkStart w:id="20" w:name="_Toc16265"/>
      <w:bookmarkStart w:id="21" w:name="_Toc7151"/>
      <w:bookmarkStart w:id="22" w:name="_Toc6714"/>
      <w:bookmarkStart w:id="23" w:name="_Toc27226"/>
      <w:bookmarkStart w:id="24" w:name="_Toc79154668"/>
      <w:bookmarkStart w:id="25" w:name="_Toc2207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3"/>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5"/>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5"/>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5"/>
        <w:spacing w:line="360" w:lineRule="auto"/>
        <w:ind w:firstLine="360" w:firstLineChars="200"/>
        <w:rPr>
          <w:rFonts w:hint="eastAsia" w:asciiTheme="majorEastAsia" w:hAnsiTheme="majorEastAsia" w:eastAsiaTheme="majorEastAsia"/>
          <w:bCs/>
          <w:color w:val="auto"/>
          <w:sz w:val="18"/>
          <w:szCs w:val="18"/>
          <w:lang w:eastAsia="zh-CN"/>
        </w:rPr>
      </w:pPr>
      <w:permStart w:id="15" w:edGrp="everyone"/>
      <w:r>
        <w:rPr>
          <w:rFonts w:ascii="宋体" w:hAnsi="宋体" w:eastAsia="宋体" w:cs="宋体"/>
          <w:sz w:val="18"/>
        </w:rPr>
        <w:t>（1）银行存款、债券逆回购、货币基金等货币市场工具及其它银行间和交易所资金融通工具；</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（3）债券借贷、国债期货等。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4）投资于股票（包含主板、中小板、创业板、科创板及其他经中国证监会核准上市的股票，含即将公开挂牌交易的股票，含港股通标的股票等监管部门允许投资的境外股票）、证监会基金分类中的股票型基金、混合型基金及QDII基金（含中港互认基金）、从交易所市场买卖指数型LOF与ETF的流通份额、优先股、股指期货、权证、期权、GDR、收益互换、收益凭证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（5）投资于上述资产的符合监管要求的公募基金、基金公司或子公司资产管理计划、证券公司资产管理计划、保险资产管理计划及信托计划等。</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（6）其他风险不高于前述资产的资产。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pStyle w:val="35"/>
        <w:spacing w:line="360" w:lineRule="auto"/>
        <w:ind w:firstLine="360" w:firstLineChars="200"/>
        <w:jc w:val="both"/>
        <w:rPr>
          <w:rFonts w:hint="eastAsia" w:asciiTheme="majorEastAsia" w:hAnsiTheme="majorEastAsia" w:eastAsiaTheme="majorEastAsia"/>
          <w:bCs/>
          <w:kern w:val="0"/>
          <w:sz w:val="18"/>
          <w:szCs w:val="18"/>
        </w:rPr>
      </w:pPr>
      <w:permStart w:id="16" w:edGrp="everyone"/>
      <w:r>
        <w:rPr>
          <w:rFonts w:ascii="宋体" w:hAnsi="宋体" w:eastAsia="宋体" w:cs="宋体"/>
          <w:sz w:val="18"/>
        </w:rPr>
        <w:t>（1）本产品投资于债权类资产的比例不低于产品总资产的80%。 非因管理人主观因素导致突破前款规定比例限制的，产品管理人在流动性受限资产可出售、可转让或者恢复交易的15个交易日内调整至符合要求，监管机构规定的特殊情形除外。</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（2）本产品投资于权益类资产的比例合计不超过产品总资产的5%。</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（3）本产品投资于金融衍生品类资产的比例合计不超过产品总资产的20%。</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注：本产品可能投资不存在活跃交易市场，并且需要采用估值技术确定公允价值的资产，且投资上述资产的比例达到理财产品净资产50%以上。</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5"/>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5"/>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ascii="宋体" w:hAnsi="宋体" w:eastAsia="宋体" w:cs="宋体"/>
          <w:sz w:val="18"/>
        </w:rPr>
        <w:t>（1）每只公募理财产品投资单只证券或者单只公募证券投资基金的市值不得超过该理财产品净资产的10%。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（2）全部公募理财产品持有单只证券或单只公募证券投资基金的市值，不得超过该证券市值或该公募证券投资基金市值的30%。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（3）全部理财产品持有单一上市公司发行的股票，不得超过该上市公司可流通股票的30%。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 xml:space="preserve">（4）全部开放式公募理财产品投资单一上市公司发行的股票不得超过该上市公司可流通股票的15%。 </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（5）本产品因为流动性需要可开展存单质押、债券正回购等融资业务，本产品总资产不超过净资产的200%。</w:t>
      </w:r>
      <w:r>
        <w:rPr>
          <w:rFonts w:ascii="宋体" w:hAnsi="宋体" w:eastAsia="宋体" w:cs="宋体"/>
          <w:sz w:val="18"/>
        </w:rPr>
        <w:br w:type="textWrapping"/>
      </w:r>
      <w:r>
        <w:rPr>
          <w:rFonts w:hint="eastAsia" w:ascii="宋体" w:hAnsi="宋体" w:cs="宋体"/>
          <w:sz w:val="18"/>
          <w:lang w:val="en-US" w:eastAsia="zh-CN"/>
        </w:rPr>
        <w:tab/>
      </w:r>
      <w:r>
        <w:rPr>
          <w:rFonts w:ascii="宋体" w:hAnsi="宋体" w:eastAsia="宋体" w:cs="宋体"/>
          <w:sz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5"/>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w:t>
      </w:r>
      <w:r>
        <w:rPr>
          <w:rFonts w:hint="eastAsia" w:asciiTheme="majorEastAsia" w:hAnsiTheme="majorEastAsia" w:eastAsiaTheme="major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权益资产的交易类机会、博取一定的弹性收益，以低波动、绝对收益为目标进行投资管理。</w:t>
      </w:r>
      <w:r>
        <w:rPr>
          <w:rFonts w:hint="eastAsia" w:asciiTheme="majorEastAsia" w:hAnsiTheme="majorEastAsia" w:eastAsiaTheme="majorEastAsia"/>
          <w:sz w:val="18"/>
          <w:szCs w:val="18"/>
        </w:rPr>
        <w:t>】</w:t>
      </w:r>
    </w:p>
    <w:permEnd w:id="19"/>
    <w:p>
      <w:pPr>
        <w:pStyle w:val="3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3"/>
        <w:spacing w:before="0" w:after="0" w:line="360" w:lineRule="auto"/>
        <w:jc w:val="center"/>
        <w:rPr>
          <w:rFonts w:ascii="Times New Roman"/>
          <w:sz w:val="30"/>
        </w:rPr>
      </w:pPr>
      <w:bookmarkStart w:id="27" w:name="_Toc21988"/>
      <w:bookmarkStart w:id="28" w:name="_Toc139991735"/>
      <w:bookmarkStart w:id="29" w:name="_Toc18526"/>
      <w:bookmarkStart w:id="30" w:name="_Toc17912"/>
      <w:bookmarkStart w:id="31" w:name="_Toc26986"/>
      <w:bookmarkStart w:id="32" w:name="_Toc18797"/>
      <w:bookmarkStart w:id="33" w:name="_Toc4741"/>
      <w:bookmarkStart w:id="34" w:name="_Toc79154669"/>
      <w:bookmarkStart w:id="35" w:name="_Toc14893"/>
      <w:bookmarkStart w:id="36" w:name="_Toc141703885"/>
      <w:bookmarkStart w:id="37" w:name="_Toc74065742"/>
      <w:bookmarkStart w:id="38" w:name="_Toc18329"/>
      <w:bookmarkStart w:id="39" w:name="_Toc1823"/>
      <w:bookmarkStart w:id="40" w:name="_Toc7848"/>
      <w:bookmarkStart w:id="41" w:name="_Toc176189758"/>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5"/>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3"/>
        <w:spacing w:before="0" w:after="0" w:line="360" w:lineRule="auto"/>
        <w:jc w:val="center"/>
        <w:rPr>
          <w:rFonts w:ascii="Times New Roman"/>
          <w:sz w:val="30"/>
        </w:rPr>
      </w:pPr>
      <w:bookmarkStart w:id="43" w:name="_Toc610"/>
      <w:bookmarkStart w:id="44" w:name="_Toc10463"/>
      <w:bookmarkStart w:id="45" w:name="_Toc79154670"/>
      <w:bookmarkStart w:id="46" w:name="_Toc23261"/>
      <w:bookmarkStart w:id="47" w:name="_Toc141703886"/>
      <w:bookmarkStart w:id="48" w:name="_Toc176189759"/>
      <w:bookmarkStart w:id="49" w:name="_Toc20733"/>
      <w:bookmarkStart w:id="50" w:name="_Toc74065743"/>
      <w:bookmarkStart w:id="51" w:name="_Toc123102453"/>
      <w:bookmarkStart w:id="52" w:name="_Toc98560352"/>
      <w:bookmarkStart w:id="53" w:name="_Toc123051452"/>
      <w:bookmarkStart w:id="54" w:name="_Toc17244"/>
      <w:bookmarkStart w:id="55" w:name="_Toc48649707"/>
      <w:bookmarkStart w:id="56" w:name="_Toc4003"/>
      <w:bookmarkStart w:id="57" w:name="_Toc1270"/>
      <w:bookmarkStart w:id="58" w:name="_Toc7920"/>
      <w:bookmarkStart w:id="59" w:name="_Toc23822"/>
      <w:bookmarkStart w:id="60" w:name="_Toc79392606"/>
      <w:bookmarkStart w:id="61" w:name="_Toc1427"/>
      <w:bookmarkStart w:id="62" w:name="_Toc123112234"/>
      <w:bookmarkStart w:id="63" w:name="_Toc13999173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5"/>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5"/>
        <w:spacing w:line="360" w:lineRule="auto"/>
        <w:ind w:firstLine="361" w:firstLineChars="200"/>
        <w:rPr>
          <w:rFonts w:hAnsi="宋体"/>
          <w:b/>
          <w:bCs/>
          <w:sz w:val="18"/>
          <w:szCs w:val="18"/>
        </w:rPr>
      </w:pPr>
      <w:r>
        <w:rPr>
          <w:rFonts w:hint="eastAsia" w:hAnsi="宋体"/>
          <w:b/>
          <w:bCs/>
          <w:sz w:val="18"/>
          <w:szCs w:val="18"/>
        </w:rPr>
        <w:t>（一）估值目的</w:t>
      </w:r>
    </w:p>
    <w:p>
      <w:pPr>
        <w:pStyle w:val="35"/>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5"/>
        <w:spacing w:line="360" w:lineRule="auto"/>
        <w:ind w:firstLine="361" w:firstLineChars="200"/>
        <w:rPr>
          <w:rFonts w:hAnsi="宋体"/>
          <w:b/>
          <w:bCs/>
          <w:sz w:val="18"/>
          <w:szCs w:val="18"/>
        </w:rPr>
      </w:pPr>
      <w:r>
        <w:rPr>
          <w:rFonts w:hint="eastAsia" w:hAnsi="宋体"/>
          <w:b/>
          <w:bCs/>
          <w:sz w:val="18"/>
          <w:szCs w:val="18"/>
        </w:rPr>
        <w:t>（二）估值频率</w:t>
      </w:r>
    </w:p>
    <w:p>
      <w:pPr>
        <w:pStyle w:val="35"/>
        <w:spacing w:line="360" w:lineRule="auto"/>
        <w:ind w:firstLine="450" w:firstLineChars="250"/>
        <w:rPr>
          <w:sz w:val="18"/>
          <w:szCs w:val="18"/>
        </w:rPr>
      </w:pPr>
      <w:permStart w:id="20" w:edGrp="everyone"/>
      <w:r>
        <w:rPr>
          <w:rFonts w:hint="eastAsia" w:hAnsi="宋体"/>
          <w:sz w:val="18"/>
          <w:szCs w:val="18"/>
        </w:rPr>
        <w:t>本产品存续期间，每【周】进行一次估值。如遇产品到期日、季度末、半年度末、年度末等时间节点管理人将增加估值日。</w:t>
      </w:r>
    </w:p>
    <w:permEnd w:id="20"/>
    <w:p>
      <w:pPr>
        <w:pStyle w:val="35"/>
        <w:spacing w:line="360" w:lineRule="auto"/>
        <w:ind w:firstLine="452" w:firstLineChars="250"/>
        <w:rPr>
          <w:rFonts w:hAnsi="宋体"/>
          <w:b/>
          <w:bCs/>
          <w:sz w:val="18"/>
          <w:szCs w:val="18"/>
        </w:rPr>
      </w:pPr>
      <w:r>
        <w:rPr>
          <w:rFonts w:hint="eastAsia" w:hAnsi="宋体"/>
          <w:b/>
          <w:bCs/>
          <w:sz w:val="18"/>
          <w:szCs w:val="18"/>
        </w:rPr>
        <w:t>（三）估值对象</w:t>
      </w:r>
    </w:p>
    <w:p>
      <w:pPr>
        <w:pStyle w:val="35"/>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5"/>
        <w:spacing w:line="360" w:lineRule="auto"/>
        <w:ind w:firstLine="452" w:firstLineChars="250"/>
        <w:rPr>
          <w:rFonts w:hAnsi="宋体"/>
          <w:b/>
          <w:bCs/>
          <w:sz w:val="18"/>
          <w:szCs w:val="18"/>
        </w:rPr>
      </w:pPr>
      <w:r>
        <w:rPr>
          <w:rFonts w:hint="eastAsia" w:hAnsi="宋体"/>
          <w:b/>
          <w:bCs/>
          <w:sz w:val="18"/>
          <w:szCs w:val="18"/>
        </w:rPr>
        <w:t>（四）估值方法</w:t>
      </w:r>
    </w:p>
    <w:p>
      <w:pPr>
        <w:pStyle w:val="35"/>
        <w:spacing w:line="360" w:lineRule="auto"/>
        <w:ind w:firstLine="360" w:firstLineChars="200"/>
        <w:rPr>
          <w:rFonts w:hAnsi="宋体"/>
          <w:bCs/>
          <w:sz w:val="18"/>
          <w:szCs w:val="18"/>
        </w:rPr>
      </w:pPr>
      <w:r>
        <w:rPr>
          <w:rFonts w:hAnsi="宋体"/>
          <w:bCs/>
          <w:sz w:val="18"/>
          <w:szCs w:val="18"/>
        </w:rPr>
        <w:t>1.标准化债权类资产估值</w:t>
      </w:r>
    </w:p>
    <w:p>
      <w:pPr>
        <w:pStyle w:val="35"/>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5"/>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5"/>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5"/>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5"/>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5"/>
        <w:spacing w:line="360" w:lineRule="auto"/>
        <w:ind w:firstLine="360" w:firstLineChars="200"/>
        <w:rPr>
          <w:rFonts w:hAnsi="宋体"/>
          <w:sz w:val="18"/>
          <w:szCs w:val="18"/>
        </w:rPr>
      </w:pPr>
      <w:r>
        <w:rPr>
          <w:rFonts w:hAnsi="宋体"/>
          <w:bCs/>
          <w:sz w:val="18"/>
          <w:szCs w:val="18"/>
        </w:rPr>
        <w:t>3.非标准化债权类资产</w:t>
      </w:r>
    </w:p>
    <w:p>
      <w:pPr>
        <w:pStyle w:val="35"/>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5"/>
        <w:spacing w:line="360" w:lineRule="auto"/>
        <w:ind w:firstLine="360" w:firstLineChars="200"/>
        <w:rPr>
          <w:rFonts w:hAnsi="宋体"/>
          <w:bCs/>
          <w:sz w:val="18"/>
          <w:szCs w:val="18"/>
        </w:rPr>
      </w:pPr>
      <w:r>
        <w:rPr>
          <w:rFonts w:hAnsi="宋体"/>
          <w:bCs/>
          <w:sz w:val="18"/>
          <w:szCs w:val="18"/>
        </w:rPr>
        <w:t>4.上市公司股票估值</w:t>
      </w:r>
    </w:p>
    <w:p>
      <w:pPr>
        <w:pStyle w:val="35"/>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5"/>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5"/>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5"/>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5"/>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5"/>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5"/>
        <w:spacing w:line="360" w:lineRule="auto"/>
        <w:ind w:firstLine="360" w:firstLineChars="200"/>
        <w:rPr>
          <w:rFonts w:hAnsi="宋体"/>
          <w:bCs/>
          <w:sz w:val="18"/>
          <w:szCs w:val="18"/>
        </w:rPr>
      </w:pPr>
      <w:r>
        <w:rPr>
          <w:rFonts w:hAnsi="宋体"/>
          <w:bCs/>
          <w:sz w:val="18"/>
          <w:szCs w:val="18"/>
        </w:rPr>
        <w:t>5.未上市公司股权</w:t>
      </w:r>
    </w:p>
    <w:p>
      <w:pPr>
        <w:pStyle w:val="35"/>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5"/>
        <w:spacing w:line="360" w:lineRule="auto"/>
        <w:ind w:firstLine="360" w:firstLineChars="200"/>
        <w:rPr>
          <w:rFonts w:hAnsi="宋体"/>
          <w:bCs/>
          <w:sz w:val="18"/>
          <w:szCs w:val="18"/>
        </w:rPr>
      </w:pPr>
      <w:r>
        <w:rPr>
          <w:rFonts w:hAnsi="宋体"/>
          <w:bCs/>
          <w:sz w:val="18"/>
          <w:szCs w:val="18"/>
        </w:rPr>
        <w:t>6.优先股</w:t>
      </w:r>
    </w:p>
    <w:p>
      <w:pPr>
        <w:pStyle w:val="35"/>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5"/>
        <w:spacing w:line="360" w:lineRule="auto"/>
        <w:ind w:firstLine="360" w:firstLineChars="200"/>
        <w:rPr>
          <w:rFonts w:hAnsi="宋体"/>
          <w:bCs/>
          <w:sz w:val="18"/>
          <w:szCs w:val="18"/>
        </w:rPr>
      </w:pPr>
      <w:r>
        <w:rPr>
          <w:rFonts w:hAnsi="宋体"/>
          <w:bCs/>
          <w:sz w:val="18"/>
          <w:szCs w:val="18"/>
        </w:rPr>
        <w:t>7.证券投资基金估值</w:t>
      </w:r>
    </w:p>
    <w:p>
      <w:pPr>
        <w:pStyle w:val="35"/>
        <w:spacing w:line="360" w:lineRule="auto"/>
        <w:ind w:firstLine="360" w:firstLineChars="200"/>
        <w:rPr>
          <w:rFonts w:hAnsi="宋体"/>
          <w:sz w:val="18"/>
          <w:szCs w:val="18"/>
        </w:rPr>
      </w:pPr>
      <w:r>
        <w:rPr>
          <w:rFonts w:hint="eastAsia" w:hAnsi="宋体"/>
          <w:sz w:val="18"/>
          <w:szCs w:val="18"/>
        </w:rPr>
        <w:t>（1）非上市基金估值</w:t>
      </w:r>
    </w:p>
    <w:p>
      <w:pPr>
        <w:pStyle w:val="35"/>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5"/>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5"/>
        <w:spacing w:line="360" w:lineRule="auto"/>
        <w:ind w:firstLine="360" w:firstLineChars="200"/>
        <w:rPr>
          <w:rFonts w:hAnsi="宋体"/>
          <w:sz w:val="18"/>
          <w:szCs w:val="18"/>
        </w:rPr>
      </w:pPr>
      <w:r>
        <w:rPr>
          <w:rFonts w:hint="eastAsia" w:hAnsi="宋体"/>
          <w:sz w:val="18"/>
          <w:szCs w:val="18"/>
        </w:rPr>
        <w:t>（2）上市基金估值</w:t>
      </w:r>
    </w:p>
    <w:p>
      <w:pPr>
        <w:pStyle w:val="35"/>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5"/>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5"/>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5"/>
        <w:spacing w:line="360" w:lineRule="auto"/>
        <w:ind w:firstLine="360" w:firstLineChars="200"/>
        <w:rPr>
          <w:rFonts w:hAnsi="宋体"/>
          <w:bCs/>
          <w:sz w:val="18"/>
          <w:szCs w:val="18"/>
        </w:rPr>
      </w:pPr>
      <w:r>
        <w:rPr>
          <w:rFonts w:hAnsi="宋体"/>
          <w:bCs/>
          <w:sz w:val="18"/>
          <w:szCs w:val="18"/>
        </w:rPr>
        <w:t>8.其他资产管理产品的估值</w:t>
      </w:r>
    </w:p>
    <w:p>
      <w:pPr>
        <w:pStyle w:val="35"/>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5"/>
        <w:spacing w:line="360" w:lineRule="auto"/>
        <w:ind w:firstLine="360" w:firstLineChars="200"/>
        <w:rPr>
          <w:rFonts w:hAnsi="宋体"/>
          <w:bCs/>
          <w:sz w:val="18"/>
          <w:szCs w:val="18"/>
        </w:rPr>
      </w:pPr>
      <w:r>
        <w:rPr>
          <w:rFonts w:hAnsi="宋体"/>
          <w:bCs/>
          <w:sz w:val="18"/>
          <w:szCs w:val="18"/>
        </w:rPr>
        <w:t>9.衍生金融工具估值</w:t>
      </w:r>
    </w:p>
    <w:p>
      <w:pPr>
        <w:pStyle w:val="35"/>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5"/>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5"/>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5"/>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5"/>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5"/>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5"/>
        <w:spacing w:line="360" w:lineRule="auto"/>
        <w:ind w:firstLine="361" w:firstLineChars="200"/>
        <w:rPr>
          <w:rFonts w:hAnsi="宋体"/>
          <w:b/>
          <w:bCs/>
          <w:sz w:val="18"/>
          <w:szCs w:val="18"/>
        </w:rPr>
      </w:pPr>
      <w:r>
        <w:rPr>
          <w:rFonts w:hint="eastAsia" w:hAnsi="宋体"/>
          <w:b/>
          <w:bCs/>
          <w:sz w:val="18"/>
          <w:szCs w:val="18"/>
        </w:rPr>
        <w:t>（五）估值程序</w:t>
      </w:r>
    </w:p>
    <w:p>
      <w:pPr>
        <w:pStyle w:val="35"/>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1.产品份额净值是按照估值日产品资产净值除以当日产品总份额计算。国家另有规定的，从其规定。</w:t>
      </w:r>
    </w:p>
    <w:p>
      <w:pPr>
        <w:pStyle w:val="35"/>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5"/>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5"/>
        <w:spacing w:line="360" w:lineRule="auto"/>
        <w:ind w:firstLine="361" w:firstLineChars="200"/>
        <w:rPr>
          <w:rFonts w:hAnsi="宋体"/>
          <w:b/>
          <w:bCs/>
          <w:sz w:val="18"/>
          <w:szCs w:val="18"/>
        </w:rPr>
      </w:pPr>
      <w:r>
        <w:rPr>
          <w:rFonts w:hint="eastAsia" w:hAnsi="宋体"/>
          <w:b/>
          <w:bCs/>
          <w:sz w:val="18"/>
          <w:szCs w:val="18"/>
        </w:rPr>
        <w:t>（六）估值主体</w:t>
      </w:r>
    </w:p>
    <w:p>
      <w:pPr>
        <w:pStyle w:val="35"/>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3"/>
        <w:spacing w:before="0" w:after="0" w:line="360" w:lineRule="auto"/>
        <w:ind w:left="60" w:firstLine="10"/>
        <w:jc w:val="center"/>
        <w:rPr>
          <w:rFonts w:ascii="Times New Roman"/>
          <w:sz w:val="30"/>
        </w:rPr>
      </w:pPr>
      <w:bookmarkStart w:id="64" w:name="_Hlt70481650"/>
      <w:bookmarkEnd w:id="64"/>
      <w:bookmarkStart w:id="65" w:name="_Toc12245"/>
      <w:bookmarkStart w:id="66" w:name="_Toc139991737"/>
      <w:bookmarkStart w:id="67" w:name="_Toc141703887"/>
      <w:bookmarkStart w:id="68" w:name="_Toc98560353"/>
      <w:bookmarkStart w:id="69" w:name="_Toc31235"/>
      <w:bookmarkStart w:id="70" w:name="_Toc123112235"/>
      <w:bookmarkStart w:id="71" w:name="_Toc3601"/>
      <w:bookmarkStart w:id="72" w:name="_Toc123051453"/>
      <w:bookmarkStart w:id="73" w:name="_Toc6405"/>
      <w:bookmarkStart w:id="74" w:name="_Toc29251"/>
      <w:bookmarkStart w:id="75" w:name="_Toc79154671"/>
      <w:bookmarkStart w:id="76" w:name="_Toc15143"/>
      <w:bookmarkStart w:id="77" w:name="_Toc176189760"/>
      <w:bookmarkStart w:id="78" w:name="_Toc26207"/>
      <w:bookmarkStart w:id="79" w:name="_Toc31653"/>
      <w:bookmarkStart w:id="80" w:name="_Toc123102454"/>
      <w:bookmarkStart w:id="81" w:name="_Toc14835"/>
      <w:bookmarkStart w:id="82" w:name="_Toc31644"/>
      <w:bookmarkStart w:id="83" w:name="_Toc74065744"/>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79392580"/>
      <w:bookmarkStart w:id="88" w:name="_Toc57530239"/>
    </w:p>
    <w:p>
      <w:pPr>
        <w:pStyle w:val="35"/>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5"/>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5"/>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5"/>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5"/>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5"/>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5"/>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5"/>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5"/>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5"/>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5"/>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5"/>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5"/>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5"/>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5"/>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5"/>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5"/>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3"/>
        <w:spacing w:before="0" w:after="0" w:line="360" w:lineRule="auto"/>
        <w:jc w:val="center"/>
        <w:rPr>
          <w:rFonts w:ascii="Times New Roman"/>
          <w:sz w:val="30"/>
        </w:rPr>
      </w:pPr>
      <w:bookmarkStart w:id="89" w:name="_Hlt88825574"/>
      <w:bookmarkEnd w:id="89"/>
      <w:bookmarkStart w:id="90" w:name="_Hlt88897298"/>
      <w:bookmarkEnd w:id="90"/>
      <w:bookmarkStart w:id="91" w:name="_Toc25783"/>
      <w:bookmarkStart w:id="92" w:name="_Toc9706"/>
      <w:bookmarkStart w:id="93" w:name="_Toc3321"/>
      <w:bookmarkStart w:id="94" w:name="_Toc98560354"/>
      <w:bookmarkStart w:id="95" w:name="_Toc11030"/>
      <w:bookmarkStart w:id="96" w:name="_Toc176189761"/>
      <w:bookmarkStart w:id="97" w:name="_Toc10650"/>
      <w:bookmarkStart w:id="98" w:name="_Toc3771"/>
      <w:bookmarkStart w:id="99" w:name="_Toc141703888"/>
      <w:bookmarkStart w:id="100" w:name="_Toc123051454"/>
      <w:bookmarkStart w:id="101" w:name="_Toc123102455"/>
      <w:bookmarkStart w:id="102" w:name="_Toc74065745"/>
      <w:bookmarkStart w:id="103" w:name="_Toc79154672"/>
      <w:bookmarkStart w:id="104" w:name="_Toc4559"/>
      <w:bookmarkStart w:id="105" w:name="_Toc79392583"/>
      <w:bookmarkStart w:id="106" w:name="_Toc123112236"/>
      <w:bookmarkStart w:id="107" w:name="_Toc18567"/>
      <w:bookmarkStart w:id="108" w:name="_Toc6447"/>
      <w:bookmarkStart w:id="109" w:name="_Toc7058"/>
      <w:bookmarkStart w:id="110" w:name="_Toc13999173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5"/>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permStart w:id="23" w:edGrp="everyone"/>
      <w:r>
        <w:rPr>
          <w:rFonts w:hint="eastAsia" w:ascii="黑体" w:hAnsi="黑体" w:eastAsia="黑体" w:cs="黑体"/>
          <w:kern w:val="0"/>
          <w:sz w:val="18"/>
          <w:szCs w:val="18"/>
        </w:rPr>
        <w:t>（2）理财产品的销售服务费</w:t>
      </w:r>
    </w:p>
    <w:p>
      <w:pPr>
        <w:pStyle w:val="35"/>
        <w:spacing w:line="360" w:lineRule="auto"/>
        <w:ind w:firstLine="360" w:firstLineChars="200"/>
        <w:rPr>
          <w:rFonts w:hint="eastAsia" w:ascii="黑体" w:hAnsi="黑体" w:eastAsia="黑体" w:cs="黑体"/>
          <w:color w:val="auto"/>
          <w:kern w:val="2"/>
          <w:sz w:val="18"/>
          <w:szCs w:val="18"/>
        </w:rPr>
      </w:pPr>
      <w:r>
        <w:rPr>
          <w:rFonts w:ascii="宋体" w:hAnsi="宋体" w:eastAsia="宋体" w:cs="宋体"/>
          <w:sz w:val="18"/>
        </w:rPr>
        <w:t>本产品的销售服务费按前一日理财资产净值与销售服务费每日费率每日计提。销售服务费的计算方法如下：</w:t>
      </w:r>
      <w:r>
        <w:rPr>
          <w:rFonts w:ascii="宋体" w:hAnsi="宋体" w:eastAsia="宋体" w:cs="宋体"/>
          <w:sz w:val="18"/>
        </w:rPr>
        <w:br w:type="textWrapping"/>
      </w:r>
      <w:r>
        <w:rPr>
          <w:rFonts w:ascii="宋体" w:hAnsi="宋体" w:eastAsia="宋体" w:cs="宋体"/>
          <w:sz w:val="18"/>
        </w:rPr>
        <w:t xml:space="preserve">  H＝E×销售服务费年费率÷365</w:t>
      </w:r>
      <w:r>
        <w:rPr>
          <w:rFonts w:ascii="宋体" w:hAnsi="宋体" w:eastAsia="宋体" w:cs="宋体"/>
          <w:sz w:val="18"/>
        </w:rPr>
        <w:br w:type="textWrapping"/>
      </w:r>
      <w:r>
        <w:rPr>
          <w:rFonts w:ascii="宋体" w:hAnsi="宋体" w:eastAsia="宋体" w:cs="宋体"/>
          <w:sz w:val="18"/>
        </w:rPr>
        <w:t xml:space="preserve">  H为每日应计提的销售服务费</w:t>
      </w:r>
      <w:r>
        <w:rPr>
          <w:rFonts w:ascii="宋体" w:hAnsi="宋体" w:eastAsia="宋体" w:cs="宋体"/>
          <w:sz w:val="18"/>
        </w:rPr>
        <w:br w:type="textWrapping"/>
      </w:r>
      <w:r>
        <w:rPr>
          <w:rFonts w:ascii="宋体" w:hAnsi="宋体" w:eastAsia="宋体" w:cs="宋体"/>
          <w:sz w:val="18"/>
        </w:rPr>
        <w:t xml:space="preserve">  E为前一日的理财资产净值</w:t>
      </w:r>
      <w:r>
        <w:rPr>
          <w:rFonts w:ascii="宋体" w:hAnsi="宋体" w:eastAsia="宋体" w:cs="宋体"/>
          <w:sz w:val="18"/>
        </w:rPr>
        <w:br w:type="textWrapping"/>
      </w:r>
      <w:r>
        <w:rPr>
          <w:rFonts w:hint="eastAsia" w:hAnsi="宋体" w:cs="宋体"/>
          <w:sz w:val="18"/>
          <w:lang w:val="en-US" w:eastAsia="zh-CN"/>
        </w:rPr>
        <w:tab/>
      </w:r>
      <w:r>
        <w:rPr>
          <w:rFonts w:ascii="宋体" w:hAnsi="宋体" w:eastAsia="宋体" w:cs="宋体"/>
          <w:sz w:val="18"/>
        </w:rPr>
        <w:t>销售服务费依照上述约定，从理财财产中支付。费率具体数值以《产品说明书》“第二条 理财产品基本情况”为准。</w:t>
      </w:r>
    </w:p>
    <w:permEnd w:id="23"/>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permStart w:id="24" w:edGrp="everyone"/>
      <w:r>
        <w:rPr>
          <w:rFonts w:hint="eastAsia" w:ascii="黑体" w:hAnsi="黑体" w:eastAsia="黑体" w:cs="黑体"/>
          <w:kern w:val="0"/>
          <w:sz w:val="18"/>
          <w:szCs w:val="18"/>
        </w:rPr>
        <w:t>（4）超额业绩报酬</w:t>
      </w:r>
    </w:p>
    <w:p>
      <w:pPr>
        <w:widowControl/>
        <w:spacing w:line="360" w:lineRule="auto"/>
        <w:ind w:firstLine="420" w:firstLineChars="0"/>
        <w:jc w:val="left"/>
        <w:rPr>
          <w:rFonts w:hint="eastAsia" w:ascii="黑体" w:hAnsi="黑体" w:eastAsia="黑体" w:cs="黑体"/>
          <w:sz w:val="18"/>
          <w:szCs w:val="18"/>
          <w:lang w:eastAsia="zh-CN"/>
        </w:rPr>
      </w:pPr>
      <w:r>
        <w:rPr>
          <w:rFonts w:hint="eastAsia" w:ascii="黑体" w:hAnsi="黑体" w:eastAsia="黑体" w:cs="黑体"/>
          <w:sz w:val="18"/>
          <w:szCs w:val="18"/>
        </w:rPr>
        <w:t>本产品不收取超额业绩报酬</w:t>
      </w:r>
      <w:r>
        <w:rPr>
          <w:rFonts w:hint="eastAsia" w:ascii="黑体" w:hAnsi="黑体" w:eastAsia="黑体" w:cs="黑体"/>
          <w:sz w:val="18"/>
          <w:szCs w:val="18"/>
          <w:lang w:eastAsia="zh-CN"/>
        </w:rPr>
        <w:t>。</w:t>
      </w:r>
      <w:bookmarkStart w:id="156" w:name="_GoBack"/>
      <w:bookmarkEnd w:id="156"/>
    </w:p>
    <w:permEnd w:id="24"/>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5"/>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5"/>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3"/>
        <w:spacing w:line="360" w:lineRule="auto"/>
        <w:jc w:val="center"/>
      </w:pPr>
      <w:bookmarkStart w:id="111" w:name="_Toc1745"/>
      <w:bookmarkStart w:id="112" w:name="_Toc3963"/>
      <w:r>
        <w:br w:type="page"/>
      </w:r>
      <w:bookmarkStart w:id="113" w:name="_Toc74065746"/>
      <w:bookmarkStart w:id="114" w:name="_Toc123051455"/>
      <w:bookmarkStart w:id="115" w:name="_Toc123112237"/>
      <w:bookmarkStart w:id="116" w:name="_Toc79154673"/>
      <w:bookmarkStart w:id="117" w:name="_Toc21735"/>
      <w:bookmarkStart w:id="118" w:name="_Toc3572"/>
      <w:bookmarkStart w:id="119" w:name="_Toc10398"/>
      <w:bookmarkStart w:id="120" w:name="_Toc139991739"/>
      <w:bookmarkStart w:id="121" w:name="_Toc18206"/>
      <w:bookmarkStart w:id="122" w:name="_Toc123102456"/>
      <w:bookmarkStart w:id="123" w:name="_Toc98560355"/>
      <w:bookmarkStart w:id="124" w:name="_Toc725"/>
      <w:bookmarkStart w:id="125" w:name="_Toc16164"/>
      <w:bookmarkStart w:id="126" w:name="_Toc176189762"/>
      <w:bookmarkStart w:id="127" w:name="_Toc141703889"/>
      <w:bookmarkStart w:id="128" w:name="_Toc31821"/>
      <w:bookmarkStart w:id="129" w:name="_Toc3080"/>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57530252"/>
      <w:bookmarkStart w:id="132" w:name="_Toc15118245"/>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default" w:asciiTheme="majorEastAsia" w:hAnsiTheme="majorEastAsia" w:eastAsiaTheme="majorEastAsia"/>
          <w:bCs/>
          <w:sz w:val="18"/>
          <w:szCs w:val="18"/>
          <w:lang w:val="en-US" w:eastAsia="zh-CN"/>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w:t>
      </w:r>
      <w:r>
        <w:rPr>
          <w:rFonts w:hint="eastAsia" w:asciiTheme="majorEastAsia" w:hAnsiTheme="majorEastAsia" w:eastAsiaTheme="majorEastAsia"/>
          <w:bCs/>
          <w:sz w:val="18"/>
          <w:szCs w:val="18"/>
        </w:rPr>
        <w:t>【5】</w:t>
      </w:r>
      <w:r>
        <w:rPr>
          <w:rFonts w:hint="default" w:asciiTheme="majorEastAsia" w:hAnsiTheme="majorEastAsia" w:eastAsiaTheme="majorEastAsia"/>
          <w:bCs/>
          <w:sz w:val="18"/>
          <w:szCs w:val="18"/>
          <w:lang w:val="en-US" w:eastAsia="zh-CN"/>
        </w:rPr>
        <w:t>个工作日内按投资者持有的理财产品份额比例向投资者进行再次分配。</w:t>
      </w:r>
    </w:p>
    <w:bookmarkEnd w:id="130"/>
    <w:bookmarkEnd w:id="131"/>
    <w:bookmarkEnd w:id="132"/>
    <w:p>
      <w:pPr>
        <w:pStyle w:val="3"/>
        <w:spacing w:before="0" w:after="0" w:line="360" w:lineRule="auto"/>
        <w:jc w:val="center"/>
        <w:rPr>
          <w:rFonts w:ascii="Times New Roman"/>
          <w:sz w:val="30"/>
        </w:rPr>
      </w:pPr>
      <w:r>
        <w:rPr>
          <w:rFonts w:ascii="Times New Roman"/>
          <w:b w:val="0"/>
          <w:bCs w:val="0"/>
          <w:kern w:val="2"/>
        </w:rPr>
        <w:br w:type="page"/>
      </w:r>
      <w:bookmarkStart w:id="133" w:name="_Toc98560356"/>
      <w:bookmarkStart w:id="134" w:name="_Toc79154674"/>
      <w:bookmarkStart w:id="135" w:name="_Toc32092"/>
      <w:bookmarkStart w:id="136" w:name="_Toc17198"/>
      <w:bookmarkStart w:id="137" w:name="_Toc3329"/>
      <w:bookmarkStart w:id="138" w:name="_Toc176189763"/>
      <w:bookmarkStart w:id="139" w:name="_Toc21237"/>
      <w:bookmarkStart w:id="140" w:name="_Toc8791"/>
      <w:bookmarkStart w:id="141" w:name="_Toc739"/>
      <w:bookmarkStart w:id="142" w:name="_Toc79392622"/>
      <w:bookmarkStart w:id="143" w:name="_Toc141703890"/>
      <w:bookmarkStart w:id="144" w:name="_Toc139991740"/>
      <w:bookmarkStart w:id="145" w:name="_Toc74065747"/>
      <w:bookmarkStart w:id="146" w:name="_Toc32584"/>
      <w:bookmarkStart w:id="147" w:name="_Toc17920"/>
      <w:bookmarkStart w:id="148" w:name="_Toc123112238"/>
      <w:bookmarkStart w:id="149" w:name="_Toc123102457"/>
      <w:bookmarkStart w:id="150" w:name="_Toc48649708"/>
      <w:bookmarkStart w:id="151" w:name="_Toc5170"/>
      <w:bookmarkStart w:id="152" w:name="_Toc123051456"/>
      <w:bookmarkStart w:id="153" w:name="_Toc29408"/>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3"/>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rPr>
      </w:pPr>
      <w:permStart w:id="26" w:edGrp="everyone"/>
      <w:r>
        <w:rPr>
          <w:rFonts w:hint="eastAsia" w:ascii="宋体" w:hAnsi="宋体"/>
          <w:sz w:val="18"/>
          <w:szCs w:val="18"/>
        </w:rPr>
        <w:t>【1、拟投资市场和资产的风险：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2）投资股权类资产的风险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ermEnd w:id="26"/>
    </w:p>
    <w:p>
      <w:pPr>
        <w:pStyle w:val="39"/>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6"/>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5"/>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6"/>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3"/>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4/3uEv81SdkxXYgxtsxLi6czMCY=" w:salt="Ds8Ih1h2WjHC/qN/eQt0c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3841BC8"/>
    <w:rsid w:val="046E31C1"/>
    <w:rsid w:val="056C4F65"/>
    <w:rsid w:val="05883C21"/>
    <w:rsid w:val="05B437EC"/>
    <w:rsid w:val="05B80C59"/>
    <w:rsid w:val="06F4696E"/>
    <w:rsid w:val="07245E56"/>
    <w:rsid w:val="072779FF"/>
    <w:rsid w:val="0BE22C8C"/>
    <w:rsid w:val="0C023D8C"/>
    <w:rsid w:val="0E94232E"/>
    <w:rsid w:val="0F1306D5"/>
    <w:rsid w:val="10134CDE"/>
    <w:rsid w:val="11295396"/>
    <w:rsid w:val="11B07D07"/>
    <w:rsid w:val="12432CFD"/>
    <w:rsid w:val="12595489"/>
    <w:rsid w:val="15DC4082"/>
    <w:rsid w:val="163E2FB7"/>
    <w:rsid w:val="166E1476"/>
    <w:rsid w:val="18435CDA"/>
    <w:rsid w:val="1A48157B"/>
    <w:rsid w:val="1ABE2ED9"/>
    <w:rsid w:val="1BD70953"/>
    <w:rsid w:val="1BF87698"/>
    <w:rsid w:val="1C78144D"/>
    <w:rsid w:val="1E585AB7"/>
    <w:rsid w:val="1EB160C2"/>
    <w:rsid w:val="1FF145B9"/>
    <w:rsid w:val="2193546F"/>
    <w:rsid w:val="23083986"/>
    <w:rsid w:val="23AF29A3"/>
    <w:rsid w:val="24924C8F"/>
    <w:rsid w:val="25675458"/>
    <w:rsid w:val="26123FD6"/>
    <w:rsid w:val="26F50BA9"/>
    <w:rsid w:val="29026D00"/>
    <w:rsid w:val="2A0E468C"/>
    <w:rsid w:val="2A642791"/>
    <w:rsid w:val="2AF97B0C"/>
    <w:rsid w:val="2B590E2A"/>
    <w:rsid w:val="2EA644DF"/>
    <w:rsid w:val="2FB532A0"/>
    <w:rsid w:val="2FE14D58"/>
    <w:rsid w:val="318A4DEA"/>
    <w:rsid w:val="319C4BEA"/>
    <w:rsid w:val="3283538E"/>
    <w:rsid w:val="33DA2E89"/>
    <w:rsid w:val="34B41D11"/>
    <w:rsid w:val="34C829B2"/>
    <w:rsid w:val="35381804"/>
    <w:rsid w:val="386A3F56"/>
    <w:rsid w:val="3A810EF7"/>
    <w:rsid w:val="3C3802E9"/>
    <w:rsid w:val="3E0C1771"/>
    <w:rsid w:val="3E421485"/>
    <w:rsid w:val="3E586AB8"/>
    <w:rsid w:val="3E5C1B1D"/>
    <w:rsid w:val="3EAE14E9"/>
    <w:rsid w:val="3FA22D5A"/>
    <w:rsid w:val="3FD261A6"/>
    <w:rsid w:val="42626C92"/>
    <w:rsid w:val="42EB2F9C"/>
    <w:rsid w:val="45226963"/>
    <w:rsid w:val="469F5C49"/>
    <w:rsid w:val="499E44CA"/>
    <w:rsid w:val="4A3241BC"/>
    <w:rsid w:val="4B1847B1"/>
    <w:rsid w:val="4B495D32"/>
    <w:rsid w:val="4C163B54"/>
    <w:rsid w:val="4C210EF5"/>
    <w:rsid w:val="4C9978BA"/>
    <w:rsid w:val="4D39606F"/>
    <w:rsid w:val="4E2912CA"/>
    <w:rsid w:val="4F8E3D4D"/>
    <w:rsid w:val="4FA308F4"/>
    <w:rsid w:val="51BA7EA1"/>
    <w:rsid w:val="51E57594"/>
    <w:rsid w:val="526123AA"/>
    <w:rsid w:val="53B3493A"/>
    <w:rsid w:val="5537323C"/>
    <w:rsid w:val="55855837"/>
    <w:rsid w:val="55974979"/>
    <w:rsid w:val="56503211"/>
    <w:rsid w:val="57BD5DAE"/>
    <w:rsid w:val="598B567E"/>
    <w:rsid w:val="5BA577EB"/>
    <w:rsid w:val="5C624734"/>
    <w:rsid w:val="5DF6675A"/>
    <w:rsid w:val="5FE91ABC"/>
    <w:rsid w:val="60D42826"/>
    <w:rsid w:val="628E734C"/>
    <w:rsid w:val="656B1A72"/>
    <w:rsid w:val="6580603B"/>
    <w:rsid w:val="68B96EA7"/>
    <w:rsid w:val="68C7223A"/>
    <w:rsid w:val="68EF6886"/>
    <w:rsid w:val="691F5BB5"/>
    <w:rsid w:val="694A7300"/>
    <w:rsid w:val="699457CF"/>
    <w:rsid w:val="6BA764ED"/>
    <w:rsid w:val="6D9767D9"/>
    <w:rsid w:val="6FDD1093"/>
    <w:rsid w:val="709C0126"/>
    <w:rsid w:val="70D35CA6"/>
    <w:rsid w:val="712F05BE"/>
    <w:rsid w:val="72473609"/>
    <w:rsid w:val="73EB7F47"/>
    <w:rsid w:val="745B1A40"/>
    <w:rsid w:val="76022652"/>
    <w:rsid w:val="768501BE"/>
    <w:rsid w:val="76B466CC"/>
    <w:rsid w:val="76C8601E"/>
    <w:rsid w:val="7831779D"/>
    <w:rsid w:val="7AFB44D3"/>
    <w:rsid w:val="7D80556D"/>
    <w:rsid w:val="7ED86E63"/>
    <w:rsid w:val="7F7D23B8"/>
    <w:rsid w:val="7F8A69E7"/>
    <w:rsid w:val="7FC3754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2"/>
      <w:lang w:val="en-US" w:eastAsia="zh-CN" w:bidi="ar-SA"/>
    </w:rPr>
  </w:style>
  <w:style w:type="paragraph" w:styleId="3">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0"/>
    <w:qFormat/>
    <w:uiPriority w:val="0"/>
    <w:pPr>
      <w:keepNext/>
      <w:keepLines/>
      <w:spacing w:before="260" w:after="260" w:line="413" w:lineRule="auto"/>
      <w:outlineLvl w:val="1"/>
    </w:pPr>
    <w:rPr>
      <w:rFonts w:ascii="Arial" w:hAnsi="Arial" w:eastAsia="黑体" w:cs="Times New Roman"/>
      <w:b/>
      <w:sz w:val="32"/>
      <w:szCs w:val="20"/>
    </w:rPr>
  </w:style>
  <w:style w:type="paragraph" w:styleId="5">
    <w:name w:val="heading 3"/>
    <w:basedOn w:val="1"/>
    <w:next w:val="1"/>
    <w:link w:val="51"/>
    <w:qFormat/>
    <w:uiPriority w:val="0"/>
    <w:pPr>
      <w:keepNext/>
      <w:keepLines/>
      <w:spacing w:before="260" w:after="260" w:line="413" w:lineRule="auto"/>
      <w:outlineLvl w:val="2"/>
    </w:pPr>
    <w:rPr>
      <w:rFonts w:ascii="Times New Roman" w:hAnsi="Times New Roman" w:cs="Times New Roman"/>
      <w:b/>
      <w:sz w:val="32"/>
      <w:szCs w:val="20"/>
    </w:rPr>
  </w:style>
  <w:style w:type="paragraph" w:styleId="6">
    <w:name w:val="heading 4"/>
    <w:basedOn w:val="1"/>
    <w:next w:val="1"/>
    <w:link w:val="5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1"/>
    <w:unhideWhenUsed/>
    <w:qFormat/>
    <w:uiPriority w:val="99"/>
    <w:pPr>
      <w:spacing w:after="120"/>
      <w:ind w:left="420" w:leftChars="200"/>
    </w:pPr>
  </w:style>
  <w:style w:type="paragraph" w:styleId="7">
    <w:name w:val="Normal Indent"/>
    <w:basedOn w:val="1"/>
    <w:qFormat/>
    <w:uiPriority w:val="0"/>
    <w:pPr>
      <w:ind w:firstLine="420" w:firstLineChars="200"/>
    </w:pPr>
    <w:rPr>
      <w:rFonts w:ascii="Times New Roman" w:hAnsi="Times New Roman" w:cs="Times New Roman"/>
      <w:szCs w:val="20"/>
    </w:rPr>
  </w:style>
  <w:style w:type="paragraph" w:styleId="8">
    <w:name w:val="Document Map"/>
    <w:basedOn w:val="1"/>
    <w:link w:val="63"/>
    <w:qFormat/>
    <w:uiPriority w:val="0"/>
    <w:pPr>
      <w:shd w:val="clear" w:color="auto" w:fill="000080"/>
    </w:pPr>
    <w:rPr>
      <w:rFonts w:ascii="Times New Roman" w:hAnsi="Times New Roman" w:cs="Times New Roman"/>
      <w:szCs w:val="20"/>
    </w:rPr>
  </w:style>
  <w:style w:type="paragraph" w:styleId="9">
    <w:name w:val="annotation text"/>
    <w:basedOn w:val="1"/>
    <w:link w:val="37"/>
    <w:qFormat/>
    <w:uiPriority w:val="99"/>
    <w:pPr>
      <w:widowControl/>
      <w:jc w:val="left"/>
    </w:pPr>
    <w:rPr>
      <w:rFonts w:ascii="宋体" w:hAnsi="宋体"/>
      <w:kern w:val="0"/>
      <w:sz w:val="24"/>
      <w:szCs w:val="24"/>
    </w:rPr>
  </w:style>
  <w:style w:type="paragraph" w:styleId="10">
    <w:name w:val="Body Text"/>
    <w:basedOn w:val="1"/>
    <w:link w:val="56"/>
    <w:qFormat/>
    <w:uiPriority w:val="0"/>
    <w:pPr>
      <w:autoSpaceDE w:val="0"/>
      <w:autoSpaceDN w:val="0"/>
      <w:adjustRightInd w:val="0"/>
      <w:spacing w:line="360" w:lineRule="auto"/>
      <w:jc w:val="left"/>
    </w:pPr>
    <w:rPr>
      <w:rFonts w:ascii="宋体"/>
      <w:kern w:val="0"/>
      <w:sz w:val="20"/>
      <w:szCs w:val="20"/>
    </w:rPr>
  </w:style>
  <w:style w:type="paragraph" w:styleId="11">
    <w:name w:val="toc 3"/>
    <w:basedOn w:val="1"/>
    <w:next w:val="1"/>
    <w:qFormat/>
    <w:uiPriority w:val="39"/>
    <w:pPr>
      <w:widowControl/>
      <w:spacing w:after="100" w:line="276" w:lineRule="auto"/>
      <w:ind w:left="440"/>
      <w:jc w:val="left"/>
    </w:pPr>
    <w:rPr>
      <w:kern w:val="0"/>
      <w:sz w:val="22"/>
    </w:rPr>
  </w:style>
  <w:style w:type="paragraph" w:styleId="12">
    <w:name w:val="Plain Text"/>
    <w:basedOn w:val="1"/>
    <w:link w:val="64"/>
    <w:qFormat/>
    <w:uiPriority w:val="0"/>
    <w:pPr>
      <w:adjustRightInd w:val="0"/>
      <w:spacing w:line="312" w:lineRule="atLeast"/>
      <w:textAlignment w:val="baseline"/>
    </w:pPr>
    <w:rPr>
      <w:rFonts w:ascii="宋体" w:hAnsi="Courier New" w:cs="Times New Roman"/>
      <w:kern w:val="0"/>
      <w:szCs w:val="20"/>
    </w:rPr>
  </w:style>
  <w:style w:type="paragraph" w:styleId="13">
    <w:name w:val="Body Text Indent 2"/>
    <w:basedOn w:val="1"/>
    <w:link w:val="71"/>
    <w:qFormat/>
    <w:uiPriority w:val="0"/>
    <w:pPr>
      <w:spacing w:line="360" w:lineRule="auto"/>
      <w:ind w:firstLine="425"/>
    </w:pPr>
    <w:rPr>
      <w:rFonts w:ascii="仿宋_GB2312" w:hAnsi="Times New Roman" w:eastAsia="仿宋_GB2312" w:cs="Times New Roman"/>
      <w:sz w:val="28"/>
      <w:szCs w:val="20"/>
    </w:rPr>
  </w:style>
  <w:style w:type="paragraph" w:styleId="14">
    <w:name w:val="Balloon Text"/>
    <w:basedOn w:val="1"/>
    <w:link w:val="38"/>
    <w:qFormat/>
    <w:uiPriority w:val="99"/>
    <w:rPr>
      <w:sz w:val="18"/>
      <w:szCs w:val="18"/>
    </w:rPr>
  </w:style>
  <w:style w:type="paragraph" w:styleId="15">
    <w:name w:val="footer"/>
    <w:basedOn w:val="1"/>
    <w:link w:val="34"/>
    <w:qFormat/>
    <w:uiPriority w:val="99"/>
    <w:pPr>
      <w:tabs>
        <w:tab w:val="center" w:pos="4153"/>
        <w:tab w:val="right" w:pos="8306"/>
      </w:tabs>
      <w:snapToGrid w:val="0"/>
      <w:jc w:val="left"/>
    </w:pPr>
    <w:rPr>
      <w:sz w:val="18"/>
      <w:szCs w:val="18"/>
    </w:rPr>
  </w:style>
  <w:style w:type="paragraph" w:styleId="16">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widowControl/>
      <w:spacing w:after="100" w:line="276" w:lineRule="auto"/>
      <w:jc w:val="left"/>
    </w:pPr>
    <w:rPr>
      <w:kern w:val="0"/>
      <w:sz w:val="22"/>
    </w:rPr>
  </w:style>
  <w:style w:type="paragraph" w:styleId="18">
    <w:name w:val="footnote text"/>
    <w:basedOn w:val="1"/>
    <w:link w:val="72"/>
    <w:qFormat/>
    <w:uiPriority w:val="0"/>
    <w:pPr>
      <w:snapToGrid w:val="0"/>
      <w:jc w:val="left"/>
    </w:pPr>
    <w:rPr>
      <w:rFonts w:ascii="Times New Roman" w:hAnsi="Times New Roman" w:cs="Times New Roman"/>
      <w:sz w:val="18"/>
      <w:szCs w:val="20"/>
    </w:rPr>
  </w:style>
  <w:style w:type="paragraph" w:styleId="19">
    <w:name w:val="Body Text Indent 3"/>
    <w:basedOn w:val="1"/>
    <w:link w:val="70"/>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0">
    <w:name w:val="toc 2"/>
    <w:basedOn w:val="1"/>
    <w:next w:val="1"/>
    <w:qFormat/>
    <w:uiPriority w:val="39"/>
    <w:pPr>
      <w:widowControl/>
      <w:spacing w:after="100" w:line="276" w:lineRule="auto"/>
      <w:ind w:left="220"/>
      <w:jc w:val="left"/>
    </w:pPr>
    <w:rPr>
      <w:kern w:val="0"/>
      <w:sz w:val="22"/>
    </w:rPr>
  </w:style>
  <w:style w:type="paragraph" w:styleId="21">
    <w:name w:val="HTML Preformatted"/>
    <w:basedOn w:val="1"/>
    <w:link w:val="4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2">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3">
    <w:name w:val="Title"/>
    <w:basedOn w:val="1"/>
    <w:next w:val="1"/>
    <w:link w:val="55"/>
    <w:qFormat/>
    <w:uiPriority w:val="0"/>
    <w:pPr>
      <w:spacing w:before="240" w:after="60"/>
      <w:jc w:val="center"/>
      <w:outlineLvl w:val="0"/>
    </w:pPr>
    <w:rPr>
      <w:rFonts w:ascii="Cambria" w:hAnsi="Cambria"/>
      <w:b/>
      <w:sz w:val="32"/>
      <w:szCs w:val="20"/>
    </w:rPr>
  </w:style>
  <w:style w:type="paragraph" w:styleId="24">
    <w:name w:val="annotation subject"/>
    <w:basedOn w:val="9"/>
    <w:next w:val="9"/>
    <w:link w:val="43"/>
    <w:qFormat/>
    <w:uiPriority w:val="0"/>
    <w:pPr>
      <w:widowControl w:val="0"/>
    </w:pPr>
    <w:rPr>
      <w:rFonts w:ascii="Calibri" w:hAnsi="Calibri"/>
      <w:b/>
      <w:bCs/>
      <w:kern w:val="2"/>
      <w:sz w:val="21"/>
      <w:szCs w:val="22"/>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page number"/>
    <w:basedOn w:val="27"/>
    <w:qFormat/>
    <w:uiPriority w:val="0"/>
  </w:style>
  <w:style w:type="character" w:styleId="30">
    <w:name w:val="Hyperlink"/>
    <w:basedOn w:val="27"/>
    <w:unhideWhenUsed/>
    <w:qFormat/>
    <w:uiPriority w:val="99"/>
    <w:rPr>
      <w:color w:val="0000FF" w:themeColor="hyperlink"/>
      <w:u w:val="single"/>
      <w14:textFill>
        <w14:solidFill>
          <w14:schemeClr w14:val="hlink"/>
        </w14:solidFill>
      </w14:textFill>
    </w:rPr>
  </w:style>
  <w:style w:type="character" w:styleId="31">
    <w:name w:val="annotation reference"/>
    <w:qFormat/>
    <w:uiPriority w:val="0"/>
    <w:rPr>
      <w:sz w:val="21"/>
      <w:szCs w:val="21"/>
    </w:rPr>
  </w:style>
  <w:style w:type="character" w:styleId="32">
    <w:name w:val="footnote reference"/>
    <w:qFormat/>
    <w:uiPriority w:val="0"/>
    <w:rPr>
      <w:vertAlign w:val="superscript"/>
    </w:rPr>
  </w:style>
  <w:style w:type="character" w:customStyle="1" w:styleId="33">
    <w:name w:val="页眉 Char"/>
    <w:basedOn w:val="27"/>
    <w:link w:val="16"/>
    <w:qFormat/>
    <w:uiPriority w:val="99"/>
    <w:rPr>
      <w:sz w:val="18"/>
      <w:szCs w:val="18"/>
    </w:rPr>
  </w:style>
  <w:style w:type="character" w:customStyle="1" w:styleId="34">
    <w:name w:val="页脚 Char"/>
    <w:basedOn w:val="27"/>
    <w:link w:val="15"/>
    <w:qFormat/>
    <w:uiPriority w:val="99"/>
    <w:rPr>
      <w:sz w:val="18"/>
      <w:szCs w:val="18"/>
    </w:rPr>
  </w:style>
  <w:style w:type="paragraph" w:customStyle="1" w:styleId="3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7">
    <w:name w:val="批注文字 Char"/>
    <w:basedOn w:val="27"/>
    <w:link w:val="9"/>
    <w:qFormat/>
    <w:uiPriority w:val="99"/>
    <w:rPr>
      <w:rFonts w:ascii="宋体" w:hAnsi="宋体" w:eastAsia="宋体" w:cs="宋体"/>
      <w:kern w:val="0"/>
      <w:sz w:val="24"/>
      <w:szCs w:val="24"/>
    </w:rPr>
  </w:style>
  <w:style w:type="character" w:customStyle="1" w:styleId="38">
    <w:name w:val="批注框文本 Char"/>
    <w:basedOn w:val="27"/>
    <w:link w:val="14"/>
    <w:qFormat/>
    <w:uiPriority w:val="99"/>
    <w:rPr>
      <w:sz w:val="18"/>
      <w:szCs w:val="18"/>
    </w:rPr>
  </w:style>
  <w:style w:type="paragraph" w:styleId="39">
    <w:name w:val="List Paragraph"/>
    <w:basedOn w:val="1"/>
    <w:qFormat/>
    <w:uiPriority w:val="0"/>
    <w:pPr>
      <w:ind w:firstLine="420" w:firstLineChars="200"/>
    </w:pPr>
  </w:style>
  <w:style w:type="character" w:customStyle="1" w:styleId="40">
    <w:name w:val="标题 1 Char"/>
    <w:basedOn w:val="27"/>
    <w:link w:val="3"/>
    <w:qFormat/>
    <w:uiPriority w:val="9"/>
    <w:rPr>
      <w:b/>
      <w:bCs/>
      <w:kern w:val="44"/>
      <w:sz w:val="44"/>
      <w:szCs w:val="44"/>
    </w:rPr>
  </w:style>
  <w:style w:type="paragraph" w:customStyle="1" w:styleId="41">
    <w:name w:val="TOC 标题1"/>
    <w:basedOn w:val="3"/>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2">
    <w:name w:val="修订1"/>
    <w:qFormat/>
    <w:uiPriority w:val="99"/>
    <w:rPr>
      <w:rFonts w:ascii="Calibri" w:hAnsi="Calibri" w:eastAsia="宋体" w:cs="宋体"/>
      <w:kern w:val="2"/>
      <w:sz w:val="21"/>
      <w:szCs w:val="22"/>
      <w:lang w:val="en-US" w:eastAsia="zh-CN" w:bidi="ar-SA"/>
    </w:rPr>
  </w:style>
  <w:style w:type="character" w:customStyle="1" w:styleId="43">
    <w:name w:val="批注主题 Char"/>
    <w:basedOn w:val="37"/>
    <w:link w:val="24"/>
    <w:qFormat/>
    <w:uiPriority w:val="99"/>
    <w:rPr>
      <w:rFonts w:ascii="宋体" w:hAnsi="宋体" w:eastAsia="宋体" w:cs="宋体"/>
      <w:b/>
      <w:bCs/>
      <w:kern w:val="0"/>
      <w:sz w:val="24"/>
      <w:szCs w:val="24"/>
    </w:rPr>
  </w:style>
  <w:style w:type="character" w:customStyle="1" w:styleId="44">
    <w:name w:val="HTML 预设格式 Char"/>
    <w:basedOn w:val="27"/>
    <w:link w:val="21"/>
    <w:qFormat/>
    <w:uiPriority w:val="99"/>
    <w:rPr>
      <w:rFonts w:ascii="宋体" w:hAnsi="宋体" w:eastAsia="宋体" w:cs="宋体"/>
      <w:kern w:val="0"/>
      <w:sz w:val="24"/>
      <w:szCs w:val="24"/>
    </w:rPr>
  </w:style>
  <w:style w:type="paragraph" w:customStyle="1" w:styleId="45">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6">
    <w:name w:val="修订2"/>
    <w:hidden/>
    <w:semiHidden/>
    <w:qFormat/>
    <w:uiPriority w:val="99"/>
    <w:rPr>
      <w:rFonts w:ascii="Calibri" w:hAnsi="Calibri" w:eastAsia="宋体" w:cs="宋体"/>
      <w:kern w:val="2"/>
      <w:sz w:val="21"/>
      <w:szCs w:val="22"/>
      <w:lang w:val="en-US" w:eastAsia="zh-CN" w:bidi="ar-SA"/>
    </w:rPr>
  </w:style>
  <w:style w:type="character" w:customStyle="1" w:styleId="47">
    <w:name w:val="批注文字 Char1"/>
    <w:basedOn w:val="27"/>
    <w:qFormat/>
    <w:uiPriority w:val="0"/>
    <w:rPr>
      <w:kern w:val="2"/>
      <w:sz w:val="21"/>
    </w:rPr>
  </w:style>
  <w:style w:type="paragraph" w:customStyle="1" w:styleId="48">
    <w:name w:val="修订3"/>
    <w:hidden/>
    <w:semiHidden/>
    <w:qFormat/>
    <w:uiPriority w:val="99"/>
    <w:rPr>
      <w:rFonts w:ascii="Calibri" w:hAnsi="Calibri" w:eastAsia="宋体" w:cs="宋体"/>
      <w:kern w:val="2"/>
      <w:sz w:val="21"/>
      <w:szCs w:val="22"/>
      <w:lang w:val="en-US" w:eastAsia="zh-CN" w:bidi="ar-SA"/>
    </w:rPr>
  </w:style>
  <w:style w:type="paragraph" w:customStyle="1" w:styleId="4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0">
    <w:name w:val="标题 2 Char"/>
    <w:basedOn w:val="27"/>
    <w:link w:val="4"/>
    <w:qFormat/>
    <w:uiPriority w:val="0"/>
    <w:rPr>
      <w:rFonts w:ascii="Arial" w:hAnsi="Arial" w:eastAsia="黑体" w:cs="Times New Roman"/>
      <w:b/>
      <w:kern w:val="2"/>
      <w:sz w:val="32"/>
    </w:rPr>
  </w:style>
  <w:style w:type="character" w:customStyle="1" w:styleId="51">
    <w:name w:val="标题 3 Char"/>
    <w:basedOn w:val="27"/>
    <w:link w:val="5"/>
    <w:qFormat/>
    <w:uiPriority w:val="0"/>
    <w:rPr>
      <w:rFonts w:ascii="Times New Roman" w:hAnsi="Times New Roman" w:cs="Times New Roman"/>
      <w:b/>
      <w:kern w:val="2"/>
      <w:sz w:val="32"/>
    </w:rPr>
  </w:style>
  <w:style w:type="character" w:customStyle="1" w:styleId="52">
    <w:name w:val="标题 4 Char"/>
    <w:basedOn w:val="27"/>
    <w:link w:val="6"/>
    <w:semiHidden/>
    <w:qFormat/>
    <w:uiPriority w:val="9"/>
    <w:rPr>
      <w:rFonts w:asciiTheme="majorHAnsi" w:hAnsiTheme="majorHAnsi" w:eastAsiaTheme="majorEastAsia" w:cstheme="majorBidi"/>
      <w:b/>
      <w:bCs/>
      <w:kern w:val="2"/>
      <w:sz w:val="28"/>
      <w:szCs w:val="28"/>
    </w:rPr>
  </w:style>
  <w:style w:type="character" w:customStyle="1" w:styleId="53">
    <w:name w:val="unnamed11"/>
    <w:qFormat/>
    <w:uiPriority w:val="0"/>
    <w:rPr>
      <w:rFonts w:hint="eastAsia" w:ascii="宋体" w:hAnsi="宋体" w:eastAsia="宋体"/>
      <w:sz w:val="18"/>
    </w:rPr>
  </w:style>
  <w:style w:type="character" w:customStyle="1" w:styleId="54">
    <w:name w:val="read"/>
    <w:basedOn w:val="27"/>
    <w:qFormat/>
    <w:uiPriority w:val="0"/>
  </w:style>
  <w:style w:type="character" w:customStyle="1" w:styleId="55">
    <w:name w:val="标题 Char"/>
    <w:link w:val="23"/>
    <w:qFormat/>
    <w:uiPriority w:val="0"/>
    <w:rPr>
      <w:rFonts w:ascii="Cambria" w:hAnsi="Cambria"/>
      <w:b/>
      <w:kern w:val="2"/>
      <w:sz w:val="32"/>
    </w:rPr>
  </w:style>
  <w:style w:type="character" w:customStyle="1" w:styleId="56">
    <w:name w:val="正文文本 Char"/>
    <w:link w:val="10"/>
    <w:qFormat/>
    <w:uiPriority w:val="0"/>
    <w:rPr>
      <w:rFonts w:ascii="宋体"/>
    </w:rPr>
  </w:style>
  <w:style w:type="paragraph" w:customStyle="1" w:styleId="57">
    <w:name w:val="Char"/>
    <w:basedOn w:val="1"/>
    <w:qFormat/>
    <w:uiPriority w:val="0"/>
    <w:rPr>
      <w:rFonts w:ascii="Times New Roman" w:hAnsi="Times New Roman" w:cs="Times New Roman"/>
      <w:szCs w:val="20"/>
    </w:rPr>
  </w:style>
  <w:style w:type="paragraph" w:customStyle="1" w:styleId="58">
    <w:name w:val="Char Char Char Char"/>
    <w:basedOn w:val="1"/>
    <w:qFormat/>
    <w:uiPriority w:val="0"/>
    <w:pPr>
      <w:tabs>
        <w:tab w:val="left" w:pos="360"/>
      </w:tabs>
    </w:pPr>
    <w:rPr>
      <w:rFonts w:ascii="Times New Roman" w:hAnsi="Times New Roman" w:cs="Times New Roman"/>
      <w:szCs w:val="20"/>
    </w:rPr>
  </w:style>
  <w:style w:type="paragraph" w:customStyle="1" w:styleId="59">
    <w:name w:val="Char Char1"/>
    <w:basedOn w:val="1"/>
    <w:qFormat/>
    <w:uiPriority w:val="0"/>
    <w:rPr>
      <w:rFonts w:ascii="Times New Roman" w:hAnsi="Times New Roman" w:cs="Times New Roman"/>
      <w:szCs w:val="20"/>
    </w:rPr>
  </w:style>
  <w:style w:type="paragraph" w:customStyle="1" w:styleId="60">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1">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2">
    <w:name w:val="Char2"/>
    <w:basedOn w:val="1"/>
    <w:qFormat/>
    <w:uiPriority w:val="0"/>
    <w:rPr>
      <w:rFonts w:ascii="Times New Roman" w:hAnsi="Times New Roman" w:cs="Times New Roman"/>
      <w:szCs w:val="20"/>
    </w:rPr>
  </w:style>
  <w:style w:type="character" w:customStyle="1" w:styleId="63">
    <w:name w:val="文档结构图 Char"/>
    <w:basedOn w:val="27"/>
    <w:link w:val="8"/>
    <w:qFormat/>
    <w:uiPriority w:val="0"/>
    <w:rPr>
      <w:rFonts w:ascii="Times New Roman" w:hAnsi="Times New Roman" w:cs="Times New Roman"/>
      <w:kern w:val="2"/>
      <w:sz w:val="21"/>
      <w:shd w:val="clear" w:color="auto" w:fill="000080"/>
    </w:rPr>
  </w:style>
  <w:style w:type="character" w:customStyle="1" w:styleId="64">
    <w:name w:val="纯文本 Char"/>
    <w:basedOn w:val="27"/>
    <w:link w:val="12"/>
    <w:qFormat/>
    <w:uiPriority w:val="0"/>
    <w:rPr>
      <w:rFonts w:ascii="宋体" w:hAnsi="Courier New" w:cs="Times New Roman"/>
      <w:sz w:val="21"/>
    </w:rPr>
  </w:style>
  <w:style w:type="paragraph" w:customStyle="1" w:styleId="65">
    <w:name w:val="Char Char"/>
    <w:basedOn w:val="1"/>
    <w:qFormat/>
    <w:uiPriority w:val="0"/>
    <w:rPr>
      <w:rFonts w:ascii="Times New Roman" w:hAnsi="Times New Roman" w:cs="Times New Roman"/>
      <w:szCs w:val="20"/>
    </w:rPr>
  </w:style>
  <w:style w:type="character" w:customStyle="1" w:styleId="66">
    <w:name w:val="正文文本 Char1"/>
    <w:basedOn w:val="27"/>
    <w:semiHidden/>
    <w:qFormat/>
    <w:uiPriority w:val="99"/>
    <w:rPr>
      <w:kern w:val="2"/>
      <w:sz w:val="21"/>
      <w:szCs w:val="22"/>
    </w:rPr>
  </w:style>
  <w:style w:type="character" w:customStyle="1" w:styleId="67">
    <w:name w:val="标题 Char1"/>
    <w:basedOn w:val="27"/>
    <w:qFormat/>
    <w:uiPriority w:val="10"/>
    <w:rPr>
      <w:rFonts w:asciiTheme="majorHAnsi" w:hAnsiTheme="majorHAnsi" w:cstheme="majorBidi"/>
      <w:b/>
      <w:bCs/>
      <w:kern w:val="2"/>
      <w:sz w:val="32"/>
      <w:szCs w:val="32"/>
    </w:rPr>
  </w:style>
  <w:style w:type="paragraph" w:customStyle="1" w:styleId="68">
    <w:name w:val="Char Char Char"/>
    <w:basedOn w:val="1"/>
    <w:qFormat/>
    <w:uiPriority w:val="0"/>
    <w:rPr>
      <w:rFonts w:ascii="Times New Roman" w:hAnsi="Times New Roman" w:cs="Times New Roman"/>
      <w:szCs w:val="20"/>
    </w:rPr>
  </w:style>
  <w:style w:type="paragraph" w:customStyle="1" w:styleId="69">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70">
    <w:name w:val="正文文本缩进 3 Char"/>
    <w:basedOn w:val="27"/>
    <w:link w:val="19"/>
    <w:qFormat/>
    <w:uiPriority w:val="0"/>
    <w:rPr>
      <w:rFonts w:ascii="Times New Roman" w:hAnsi="Times New Roman" w:cs="Times New Roman"/>
      <w:color w:val="0000FF"/>
      <w:kern w:val="2"/>
      <w:sz w:val="21"/>
    </w:rPr>
  </w:style>
  <w:style w:type="character" w:customStyle="1" w:styleId="71">
    <w:name w:val="正文文本缩进 2 Char"/>
    <w:basedOn w:val="27"/>
    <w:link w:val="13"/>
    <w:qFormat/>
    <w:uiPriority w:val="0"/>
    <w:rPr>
      <w:rFonts w:ascii="仿宋_GB2312" w:hAnsi="Times New Roman" w:eastAsia="仿宋_GB2312" w:cs="Times New Roman"/>
      <w:kern w:val="2"/>
      <w:sz w:val="28"/>
    </w:rPr>
  </w:style>
  <w:style w:type="character" w:customStyle="1" w:styleId="72">
    <w:name w:val="脚注文本 Char"/>
    <w:basedOn w:val="27"/>
    <w:link w:val="18"/>
    <w:qFormat/>
    <w:uiPriority w:val="0"/>
    <w:rPr>
      <w:rFonts w:ascii="Times New Roman" w:hAnsi="Times New Roman" w:cs="Times New Roman"/>
      <w:kern w:val="2"/>
      <w:sz w:val="18"/>
    </w:rPr>
  </w:style>
  <w:style w:type="paragraph" w:customStyle="1" w:styleId="73">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4">
    <w:name w:val="InfoBlue"/>
    <w:basedOn w:val="1"/>
    <w:next w:val="10"/>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5">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6">
    <w:name w:val="Char Char6"/>
    <w:basedOn w:val="1"/>
    <w:qFormat/>
    <w:uiPriority w:val="0"/>
    <w:rPr>
      <w:rFonts w:ascii="Times New Roman" w:hAnsi="Times New Roman" w:cs="Times New Roman"/>
      <w:szCs w:val="20"/>
    </w:rPr>
  </w:style>
  <w:style w:type="paragraph" w:customStyle="1" w:styleId="77">
    <w:name w:val="Char Char Char Char1"/>
    <w:basedOn w:val="1"/>
    <w:qFormat/>
    <w:uiPriority w:val="0"/>
    <w:pPr>
      <w:tabs>
        <w:tab w:val="left" w:pos="360"/>
      </w:tabs>
    </w:pPr>
    <w:rPr>
      <w:rFonts w:ascii="Times New Roman" w:hAnsi="Times New Roman" w:cs="Times New Roman"/>
      <w:szCs w:val="20"/>
    </w:rPr>
  </w:style>
  <w:style w:type="paragraph" w:customStyle="1" w:styleId="78">
    <w:name w:val="Char Char11"/>
    <w:basedOn w:val="1"/>
    <w:qFormat/>
    <w:uiPriority w:val="0"/>
    <w:rPr>
      <w:rFonts w:ascii="Times New Roman" w:hAnsi="Times New Roman" w:cs="Times New Roman"/>
      <w:szCs w:val="20"/>
    </w:rPr>
  </w:style>
  <w:style w:type="paragraph" w:customStyle="1" w:styleId="79">
    <w:name w:val="Char1"/>
    <w:basedOn w:val="1"/>
    <w:qFormat/>
    <w:uiPriority w:val="0"/>
    <w:rPr>
      <w:rFonts w:ascii="Times New Roman" w:hAnsi="Times New Roman" w:cs="Times New Roman"/>
      <w:szCs w:val="20"/>
    </w:rPr>
  </w:style>
  <w:style w:type="paragraph" w:customStyle="1" w:styleId="80">
    <w:name w:val="Char Char5"/>
    <w:basedOn w:val="1"/>
    <w:qFormat/>
    <w:uiPriority w:val="0"/>
    <w:rPr>
      <w:rFonts w:ascii="Times New Roman" w:hAnsi="Times New Roman" w:cs="Times New Roman"/>
      <w:szCs w:val="20"/>
    </w:rPr>
  </w:style>
  <w:style w:type="paragraph" w:customStyle="1" w:styleId="81">
    <w:name w:val="Char Char Char1"/>
    <w:basedOn w:val="1"/>
    <w:qFormat/>
    <w:uiPriority w:val="0"/>
    <w:rPr>
      <w:rFonts w:ascii="Times New Roman" w:hAnsi="Times New Roman" w:cs="Times New Roman"/>
      <w:szCs w:val="20"/>
    </w:rPr>
  </w:style>
  <w:style w:type="paragraph" w:customStyle="1" w:styleId="82">
    <w:name w:val="Char Char4"/>
    <w:basedOn w:val="1"/>
    <w:qFormat/>
    <w:uiPriority w:val="0"/>
    <w:rPr>
      <w:rFonts w:ascii="Times New Roman" w:hAnsi="Times New Roman" w:cs="Times New Roman"/>
      <w:szCs w:val="20"/>
    </w:rPr>
  </w:style>
  <w:style w:type="paragraph" w:customStyle="1" w:styleId="83">
    <w:name w:val="Char Char3"/>
    <w:basedOn w:val="1"/>
    <w:qFormat/>
    <w:uiPriority w:val="0"/>
    <w:rPr>
      <w:rFonts w:ascii="Times New Roman" w:hAnsi="Times New Roman" w:cs="Times New Roman"/>
      <w:szCs w:val="20"/>
    </w:rPr>
  </w:style>
  <w:style w:type="paragraph" w:customStyle="1" w:styleId="84">
    <w:name w:val="Char Char2"/>
    <w:basedOn w:val="1"/>
    <w:qFormat/>
    <w:uiPriority w:val="0"/>
    <w:rPr>
      <w:rFonts w:ascii="Times New Roman" w:hAnsi="Times New Roman" w:cs="Times New Roman"/>
      <w:szCs w:val="20"/>
    </w:rPr>
  </w:style>
  <w:style w:type="paragraph" w:customStyle="1" w:styleId="85">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BA638-9D3A-4AA3-A169-FF78BC0E4BE9}">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7E5C9D84-6DB6-48FB-8632-D5279FC233C8}">
  <ds:schemaRefs/>
</ds:datastoreItem>
</file>

<file path=customXml/itemProps12.xml><?xml version="1.0" encoding="utf-8"?>
<ds:datastoreItem xmlns:ds="http://schemas.openxmlformats.org/officeDocument/2006/customXml" ds:itemID="{2108FF18-8EC8-4170-A536-1AA8E39CC797}">
  <ds:schemaRefs/>
</ds:datastoreItem>
</file>

<file path=customXml/itemProps13.xml><?xml version="1.0" encoding="utf-8"?>
<ds:datastoreItem xmlns:ds="http://schemas.openxmlformats.org/officeDocument/2006/customXml" ds:itemID="{E6D3D55C-3DD8-4C31-8069-E5508DD844FB}">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BEEE0313-55EB-45FA-BBBD-C0232D367255}">
  <ds:schemaRefs/>
</ds:datastoreItem>
</file>

<file path=customXml/itemProps16.xml><?xml version="1.0" encoding="utf-8"?>
<ds:datastoreItem xmlns:ds="http://schemas.openxmlformats.org/officeDocument/2006/customXml" ds:itemID="{1A3BDF38-4832-4575-A8AB-7A1679738229}">
  <ds:schemaRefs/>
</ds:datastoreItem>
</file>

<file path=customXml/itemProps17.xml><?xml version="1.0" encoding="utf-8"?>
<ds:datastoreItem xmlns:ds="http://schemas.openxmlformats.org/officeDocument/2006/customXml" ds:itemID="{CF487381-D648-48A1-B1E4-A4540B0D3650}">
  <ds:schemaRefs/>
</ds:datastoreItem>
</file>

<file path=customXml/itemProps2.xml><?xml version="1.0" encoding="utf-8"?>
<ds:datastoreItem xmlns:ds="http://schemas.openxmlformats.org/officeDocument/2006/customXml" ds:itemID="{AC86F3EB-DB57-4B60-8A7E-BBB67A22EE0B}">
  <ds:schemaRefs/>
</ds:datastoreItem>
</file>

<file path=customXml/itemProps3.xml><?xml version="1.0" encoding="utf-8"?>
<ds:datastoreItem xmlns:ds="http://schemas.openxmlformats.org/officeDocument/2006/customXml" ds:itemID="{D902962D-C8CC-43BF-804A-CD60AE6D7475}">
  <ds:schemaRefs/>
</ds:datastoreItem>
</file>

<file path=customXml/itemProps4.xml><?xml version="1.0" encoding="utf-8"?>
<ds:datastoreItem xmlns:ds="http://schemas.openxmlformats.org/officeDocument/2006/customXml" ds:itemID="{0A7AA9EF-3B8C-4BAA-9155-A6E3E5337D3C}">
  <ds:schemaRefs/>
</ds:datastoreItem>
</file>

<file path=customXml/itemProps5.xml><?xml version="1.0" encoding="utf-8"?>
<ds:datastoreItem xmlns:ds="http://schemas.openxmlformats.org/officeDocument/2006/customXml" ds:itemID="{3A3C3A8D-C5E4-45AF-8B48-C3BF528808AD}">
  <ds:schemaRefs/>
</ds:datastoreItem>
</file>

<file path=customXml/itemProps6.xml><?xml version="1.0" encoding="utf-8"?>
<ds:datastoreItem xmlns:ds="http://schemas.openxmlformats.org/officeDocument/2006/customXml" ds:itemID="{A06CD169-7F5C-4082-81B2-6ECAA9AF6149}">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9114D43D-ED98-4C7B-A3AE-26D78B80CA82}">
  <ds:schemaRefs/>
</ds:datastoreItem>
</file>

<file path=customXml/itemProps9.xml><?xml version="1.0" encoding="utf-8"?>
<ds:datastoreItem xmlns:ds="http://schemas.openxmlformats.org/officeDocument/2006/customXml" ds:itemID="{1EEDD527-97BA-47F6-B37E-95B51416FA3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35</Pages>
  <Words>3557</Words>
  <Characters>20276</Characters>
  <Lines>168</Lines>
  <Paragraphs>47</Paragraphs>
  <TotalTime>9</TotalTime>
  <ScaleCrop>false</ScaleCrop>
  <LinksUpToDate>false</LinksUpToDate>
  <CharactersWithSpaces>23786</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2026-02-26T08:20:46Z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E7753498575549C58E5916A0AC4FD49A_13</vt:lpwstr>
  </property>
</Properties>
</file>