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930CC">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北银理财丰收系列京华远见春系列诚享21天持有期1号理财产品</w:t>
      </w:r>
    </w:p>
    <w:p w14:paraId="1A3F230D">
      <w:pPr>
        <w:tabs>
          <w:tab w:val="left" w:pos="915"/>
          <w:tab w:val="center" w:pos="5273"/>
        </w:tabs>
        <w:spacing w:before="50"/>
        <w:jc w:val="center"/>
        <w:outlineLvl w:val="0"/>
        <w:rPr>
          <w:rFonts w:hint="eastAsia" w:ascii="黑体" w:hAnsi="楷体" w:eastAsia="黑体"/>
          <w:b/>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（产品登记编码：Z7008925000573）</w:t>
      </w:r>
    </w:p>
    <w:p w14:paraId="1BD1C492">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理财产品说明书</w:t>
      </w:r>
    </w:p>
    <w:p w14:paraId="028912C9">
      <w:pPr>
        <w:pStyle w:val="3"/>
        <w:spacing w:after="0" w:line="360" w:lineRule="auto"/>
        <w:ind w:leftChars="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★一、重要须知</w:t>
      </w:r>
    </w:p>
    <w:p w14:paraId="7E2139DD">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1E9687F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详细了解和审慎评估本理财产品的资金投向等基本情况，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49C91A5E">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3FCDD2F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本理财产品仅向依据中华人民共和国有关法律法规、监管规定及本理财产品销售文件约定可以购买本理财产品的投资者（以下简称“投资者”）发售。本理财产品为开放式净值型理财产品、公募理财产品、</w:t>
      </w:r>
      <w:r>
        <w:rPr>
          <w:rFonts w:hint="eastAsia" w:ascii="宋体" w:hAnsi="宋体" w:cs="宋体"/>
          <w:color w:val="000000" w:themeColor="text1"/>
          <w:szCs w:val="21"/>
          <w:lang w:eastAsia="zh-Hans"/>
          <w14:textFill>
            <w14:solidFill>
              <w14:schemeClr w14:val="tx1"/>
            </w14:solidFill>
          </w14:textFill>
        </w:rPr>
        <w:t>非保本浮动收益</w:t>
      </w:r>
      <w:r>
        <w:rPr>
          <w:rFonts w:hint="eastAsia" w:ascii="宋体" w:hAnsi="宋体" w:cs="宋体"/>
          <w:color w:val="000000" w:themeColor="text1"/>
          <w:szCs w:val="21"/>
          <w14:textFill>
            <w14:solidFill>
              <w14:schemeClr w14:val="tx1"/>
            </w14:solidFill>
          </w14:textFill>
        </w:rPr>
        <w:t>型理财产品、</w:t>
      </w:r>
      <w:r>
        <w:rPr>
          <w:rFonts w:hint="eastAsia" w:ascii="宋体" w:hAnsi="宋体" w:cs="宋体"/>
          <w:color w:val="000000" w:themeColor="text1"/>
          <w:szCs w:val="21"/>
          <w:lang w:val="en-US" w:eastAsia="zh-CN"/>
          <w14:textFill>
            <w14:solidFill>
              <w14:schemeClr w14:val="tx1"/>
            </w14:solidFill>
          </w14:textFill>
        </w:rPr>
        <w:t>固定收益</w:t>
      </w:r>
      <w:r>
        <w:rPr>
          <w:rFonts w:hint="eastAsia" w:ascii="宋体" w:hAnsi="宋体" w:cs="宋体"/>
          <w:color w:val="000000" w:themeColor="text1"/>
          <w:szCs w:val="21"/>
          <w14:textFill>
            <w14:solidFill>
              <w14:schemeClr w14:val="tx1"/>
            </w14:solidFill>
          </w14:textFill>
        </w:rPr>
        <w:t>类理财产品。本理财产品的任何业绩比较基准或类似表述均不具有法律效力，不代表投资者可能获得的实际清算分配金额，亦不构成产品管理人对本理财产品的任何应分配金额承诺，仅供投资者作出投资决定时参考。</w:t>
      </w:r>
    </w:p>
    <w:p w14:paraId="3AAC6638">
      <w:pPr>
        <w:spacing w:line="360" w:lineRule="auto"/>
        <w:ind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二、释义</w:t>
      </w:r>
    </w:p>
    <w:p w14:paraId="3DB655E1">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（一）参与主体用语</w:t>
      </w:r>
    </w:p>
    <w:p w14:paraId="0DFF1F6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1.管理人/产品管理人：指北银理财有限责任公司。</w:t>
      </w:r>
    </w:p>
    <w:p w14:paraId="1A2D664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2.托管机构/托管人/产品托管人：指根据合同约定从事本理财产品托管业务的机构。</w:t>
      </w:r>
    </w:p>
    <w:p w14:paraId="5BCE307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3.销售机构：指直销机构及/或代销机构。其中，直销机构指北银理财有限责任公司，代销机构指</w:t>
      </w:r>
      <w:r>
        <w:rPr>
          <w:rFonts w:hint="eastAsia" w:ascii="宋体" w:hAnsi="宋体" w:cs="宋体"/>
          <w:color w:val="000000" w:themeColor="text1"/>
          <w:szCs w:val="21"/>
          <w:lang w:eastAsia="zh-Hans"/>
          <w14:textFill>
            <w14:solidFill>
              <w14:schemeClr w14:val="tx1"/>
            </w14:solidFill>
          </w14:textFill>
        </w:rPr>
        <w:t>接受</w:t>
      </w:r>
      <w:r>
        <w:rPr>
          <w:rFonts w:hint="eastAsia" w:ascii="宋体" w:hAnsi="宋体" w:cs="宋体"/>
          <w:color w:val="000000" w:themeColor="text1"/>
          <w:szCs w:val="21"/>
          <w14:textFill>
            <w14:solidFill>
              <w14:schemeClr w14:val="tx1"/>
            </w14:solidFill>
          </w14:textFill>
        </w:rPr>
        <w:t>产品管理人</w:t>
      </w:r>
      <w:r>
        <w:rPr>
          <w:rFonts w:hint="eastAsia" w:ascii="宋体" w:hAnsi="宋体" w:cs="宋体"/>
          <w:color w:val="000000" w:themeColor="text1"/>
          <w:szCs w:val="21"/>
          <w:lang w:eastAsia="zh-Hans"/>
          <w14:textFill>
            <w14:solidFill>
              <w14:schemeClr w14:val="tx1"/>
            </w14:solidFill>
          </w14:textFill>
        </w:rPr>
        <w:t>委托销售本理财产品的代理销售机构</w:t>
      </w:r>
      <w:r>
        <w:rPr>
          <w:rFonts w:hint="eastAsia" w:ascii="宋体" w:hAnsi="宋体" w:cs="宋体"/>
          <w:color w:val="000000" w:themeColor="text1"/>
          <w:szCs w:val="21"/>
          <w14:textFill>
            <w14:solidFill>
              <w14:schemeClr w14:val="tx1"/>
            </w14:solidFill>
          </w14:textFill>
        </w:rPr>
        <w:t>。</w:t>
      </w:r>
    </w:p>
    <w:p w14:paraId="6D72146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合作机构：包括但不限于本理财产品所投资资产管理产品的发行机构、根据合同约定从事本理财产品受托投资的机构，以及与本理财产品投资管理相关的投资顾问等。本理财产品投资合作机构依据监管要求进行名单制管理，所有投资合作机构均经过北银理财相关制度流程选任，符合准入标准和程序。</w:t>
      </w:r>
    </w:p>
    <w:p w14:paraId="29720FE6">
      <w:pPr>
        <w:spacing w:line="360" w:lineRule="auto"/>
        <w:ind w:firstLine="420" w:firstLineChars="200"/>
        <w:rPr>
          <w:rFonts w:hint="eastAsia"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lang w:eastAsia="zh-Hans"/>
          <w14:textFill>
            <w14:solidFill>
              <w14:schemeClr w14:val="tx1"/>
            </w14:solidFill>
          </w14:textFill>
        </w:rPr>
        <w:t>监管机构：指对</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产品管理人</w:t>
      </w:r>
      <w:r>
        <w:rPr>
          <w:rFonts w:hint="eastAsia" w:ascii="宋体" w:hAnsi="宋体" w:cs="宋体"/>
          <w:color w:val="000000" w:themeColor="text1"/>
          <w:szCs w:val="21"/>
          <w14:textFill>
            <w14:solidFill>
              <w14:schemeClr w14:val="tx1"/>
            </w14:solidFill>
          </w14:textFill>
        </w:rPr>
        <w:t>、本</w:t>
      </w:r>
      <w:r>
        <w:rPr>
          <w:rFonts w:hint="eastAsia" w:ascii="宋体" w:hAnsi="宋体" w:cs="宋体"/>
          <w:color w:val="000000" w:themeColor="text1"/>
          <w:szCs w:val="21"/>
          <w:lang w:eastAsia="zh-Hans"/>
          <w14:textFill>
            <w14:solidFill>
              <w14:schemeClr w14:val="tx1"/>
            </w14:solidFill>
          </w14:textFill>
        </w:rPr>
        <w:t>理财产品所投资的资管产品的</w:t>
      </w:r>
      <w:r>
        <w:rPr>
          <w:rFonts w:hint="eastAsia" w:ascii="宋体" w:hAnsi="宋体" w:cs="宋体"/>
          <w:color w:val="000000" w:themeColor="text1"/>
          <w:szCs w:val="21"/>
          <w14:textFill>
            <w14:solidFill>
              <w14:schemeClr w14:val="tx1"/>
            </w14:solidFill>
          </w14:textFill>
        </w:rPr>
        <w:t>资产管理人</w:t>
      </w:r>
      <w:r>
        <w:rPr>
          <w:rFonts w:hint="eastAsia" w:ascii="宋体" w:hAnsi="宋体" w:cs="宋体"/>
          <w:color w:val="000000" w:themeColor="text1"/>
          <w:szCs w:val="21"/>
          <w:lang w:eastAsia="zh-Hans"/>
          <w14:textFill>
            <w14:solidFill>
              <w14:schemeClr w14:val="tx1"/>
            </w14:solidFill>
          </w14:textFill>
        </w:rPr>
        <w:t>/受托人</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、相关投资顾问</w:t>
      </w:r>
      <w:r>
        <w:rPr>
          <w:rFonts w:hint="eastAsia" w:ascii="宋体" w:hAnsi="宋体" w:cs="宋体"/>
          <w:color w:val="000000" w:themeColor="text1"/>
          <w:szCs w:val="21"/>
          <w14:textFill>
            <w14:solidFill>
              <w14:schemeClr w14:val="tx1"/>
            </w14:solidFill>
          </w14:textFill>
        </w:rPr>
        <w:t>（若有）</w:t>
      </w:r>
      <w:r>
        <w:rPr>
          <w:rFonts w:hint="eastAsia" w:ascii="宋体" w:hAnsi="宋体" w:cs="宋体"/>
          <w:color w:val="000000" w:themeColor="text1"/>
          <w:szCs w:val="21"/>
          <w:lang w:eastAsia="zh-Hans"/>
          <w14:textFill>
            <w14:solidFill>
              <w14:schemeClr w14:val="tx1"/>
            </w14:solidFill>
          </w14:textFill>
        </w:rPr>
        <w:t>等实施监督管理的机构，包括但不限于中国人民银行、</w:t>
      </w:r>
      <w:r>
        <w:rPr>
          <w:rFonts w:hint="eastAsia" w:ascii="宋体" w:hAnsi="宋体" w:cs="宋体"/>
          <w:color w:val="000000" w:themeColor="text1"/>
          <w:szCs w:val="21"/>
          <w14:textFill>
            <w14:solidFill>
              <w14:schemeClr w14:val="tx1"/>
            </w14:solidFill>
          </w14:textFill>
        </w:rPr>
        <w:t>国家金融监督管理总局</w:t>
      </w:r>
      <w:r>
        <w:rPr>
          <w:rFonts w:hint="eastAsia" w:ascii="宋体" w:hAnsi="宋体" w:cs="宋体"/>
          <w:color w:val="000000" w:themeColor="text1"/>
          <w:szCs w:val="21"/>
          <w:lang w:eastAsia="zh-Hans"/>
          <w14:textFill>
            <w14:solidFill>
              <w14:schemeClr w14:val="tx1"/>
            </w14:solidFill>
          </w14:textFill>
        </w:rPr>
        <w:t>、中国证券监督管理委员会、外汇管理局、证券交易所、银行业理财登记托管中心等。</w:t>
      </w:r>
    </w:p>
    <w:p w14:paraId="58A21B68">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6.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14:paraId="7E94218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ascii="宋体" w:hAnsi="宋体" w:eastAsia="宋体" w:cs="宋体"/>
          <w:color w:val="000000" w:themeColor="text1"/>
          <w:sz w:val="21"/>
          <w:szCs w:val="21"/>
          <w:u w:val="none"/>
          <w:shd w:val="clear"/>
          <w:lang w:val="en-US" w:eastAsia="zh-CN"/>
          <w14:textFill>
            <w14:solidFill>
              <w14:schemeClr w14:val="tx1"/>
            </w14:solidFill>
          </w14:textFill>
        </w:rPr>
        <w:t>专业投资者之外的投资者为普通投资者。</w:t>
      </w:r>
    </w:p>
    <w:p w14:paraId="753DFD06">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（二）理财产品用语</w:t>
      </w:r>
    </w:p>
    <w:p w14:paraId="31B6D4D9">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1.理财/本理财产品/理财产品/本产品：指</w:t>
      </w:r>
      <w:r>
        <w:rPr>
          <w:rFonts w:hint="eastAsia" w:ascii="宋体" w:hAnsi="宋体" w:cs="宋体"/>
          <w:color w:val="000000" w:themeColor="text1"/>
          <w:lang w:eastAsia="zh-CN"/>
          <w14:textFill>
            <w14:solidFill>
              <w14:schemeClr w14:val="tx1"/>
            </w14:solidFill>
          </w14:textFill>
        </w:rPr>
        <w:t>北银理财丰收系列京华远见春系列诚享21天持有期1号理财产品</w:t>
      </w:r>
      <w:r>
        <w:rPr>
          <w:rFonts w:hint="eastAsia" w:ascii="宋体" w:hAnsi="宋体" w:cs="宋体"/>
          <w:color w:val="000000" w:themeColor="text1"/>
          <w14:textFill>
            <w14:solidFill>
              <w14:schemeClr w14:val="tx1"/>
            </w14:solidFill>
          </w14:textFill>
        </w:rPr>
        <w:t>。</w:t>
      </w:r>
    </w:p>
    <w:p w14:paraId="7207BA5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2.理财产品份额/产品份额：指投资者持有本理财产品的单位数额。投资者基于其所持有的本理财产品单位数额享有本理财产品收益、承担本理财产品风险。</w:t>
      </w:r>
    </w:p>
    <w:p w14:paraId="305EA82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理财产品份额类别/产品份额类别：指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各产品份额类别的差异性约定在本理财产品销售文件中进行明确列举，除明确列举所适用产品份额类别的条款外，本理财产品销售文件其他条款均适用于全部份额。投资者可根据实际情况自行选择认购/申购的产品份额类别，不同类别理财产品份额的差异性具体以其对应的理财产品销售文件之约定为准，且本理财产品销售文件可能因销售渠道原因仅列示部分产品份额类别。产品管理人有权在本理财产品项下增设新的产品份额类别，届时，产品管理人将依据本理财产品销售文件的约定进行信息披露。</w:t>
      </w:r>
    </w:p>
    <w:p w14:paraId="16D0F8C6">
      <w:pPr>
        <w:pStyle w:val="3"/>
        <w:spacing w:after="0"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★4.产品销售名称：指本理财产品可能存在不同产品份额类别，产品管理人在理财产品销售管理过程中为区分不同产品份额类别，在同一理财产品名称项下设置的产品销售名称。</w:t>
      </w:r>
    </w:p>
    <w:p w14:paraId="2CEDCFB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★5.产品销售代码：指本理财产品可能存在不同产品份额类别，产品管理人在理财产品销售管理过程中为区分不同产品份额类别，在同一理财产品登记编码项下设置的内部识别码。</w:t>
      </w:r>
    </w:p>
    <w:p w14:paraId="2CE63C0C">
      <w:pPr>
        <w:spacing w:line="360" w:lineRule="auto"/>
        <w:ind w:firstLine="417" w:firstLineChars="199"/>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6.理财产品资产净值/产品资产净值/净资产：指产品资产总值减去产品负债总值后的</w:t>
      </w:r>
      <w:r>
        <w:rPr>
          <w:rFonts w:hint="eastAsia" w:ascii="宋体" w:hAnsi="宋体" w:cs="宋体"/>
          <w:color w:val="000000" w:themeColor="text1"/>
          <w:szCs w:val="21"/>
          <w:lang w:val="en-US" w:eastAsia="zh-CN"/>
          <w14:textFill>
            <w14:solidFill>
              <w14:schemeClr w14:val="tx1"/>
            </w14:solidFill>
          </w14:textFill>
        </w:rPr>
        <w:t>价值</w:t>
      </w:r>
      <w:r>
        <w:rPr>
          <w:rFonts w:hint="eastAsia" w:ascii="宋体" w:hAnsi="宋体" w:cs="宋体"/>
          <w:color w:val="000000" w:themeColor="text1"/>
          <w:szCs w:val="21"/>
          <w14:textFill>
            <w14:solidFill>
              <w14:schemeClr w14:val="tx1"/>
            </w14:solidFill>
          </w14:textFill>
        </w:rPr>
        <w:t>。产品资产总值是指本理财产品所购买的各类证券价值、银行存款本息和本理财产品应收款项以及其他投资所形成的价值总和。产品负债总值是指本理财产品运作及融资时形成的负债价值总和，包括融资资金本息、应付各项费用（包括销售手续费、固定管理费、托管费、超额业绩报酬（若有）以及其他费用等）、应付税金及其他应付款项等。</w:t>
      </w:r>
    </w:p>
    <w:p w14:paraId="0290F88C">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7.理财产品单位净值/产品单位净值/产品份额净值：指本理财产品份额的单位净值，即每1份理财产品份额以</w:t>
      </w:r>
      <w:r>
        <w:rPr>
          <w:rFonts w:hint="eastAsia" w:ascii="宋体" w:hAnsi="宋体" w:cs="宋体"/>
          <w:color w:val="000000" w:themeColor="text1"/>
          <w:szCs w:val="21"/>
          <w:lang w:val="en-US" w:eastAsia="zh-CN"/>
          <w14:textFill>
            <w14:solidFill>
              <w14:schemeClr w14:val="tx1"/>
            </w14:solidFill>
          </w14:textFill>
        </w:rPr>
        <w:t>人民币</w:t>
      </w:r>
      <w:r>
        <w:rPr>
          <w:rFonts w:hint="eastAsia" w:ascii="宋体" w:hAnsi="宋体" w:cs="宋体"/>
          <w:color w:val="000000" w:themeColor="text1"/>
          <w:szCs w:val="21"/>
          <w14:textFill>
            <w14:solidFill>
              <w14:schemeClr w14:val="tx1"/>
            </w14:solidFill>
          </w14:textFill>
        </w:rPr>
        <w:t>计价的价格。理财产品单位净值=当日产品资产净值/当日产品份额总额，单位净值保留至小数点后</w:t>
      </w: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cs="宋体"/>
          <w:color w:val="000000" w:themeColor="text1"/>
          <w:szCs w:val="21"/>
          <w14:textFill>
            <w14:solidFill>
              <w14:schemeClr w14:val="tx1"/>
            </w14:solidFill>
          </w14:textFill>
        </w:rPr>
        <w:t>位（舍位法），小数点后第</w:t>
      </w:r>
      <w:r>
        <w:rPr>
          <w:rFonts w:hint="eastAsia" w:ascii="宋体" w:hAnsi="宋体" w:cs="宋体"/>
          <w:color w:val="000000" w:themeColor="text1"/>
          <w:szCs w:val="21"/>
          <w:lang w:val="en-US" w:eastAsia="zh-CN"/>
          <w14:textFill>
            <w14:solidFill>
              <w14:schemeClr w14:val="tx1"/>
            </w14:solidFill>
          </w14:textFill>
        </w:rPr>
        <w:t>七</w:t>
      </w:r>
      <w:r>
        <w:rPr>
          <w:rFonts w:hint="eastAsia" w:ascii="宋体" w:hAnsi="宋体" w:cs="宋体"/>
          <w:color w:val="000000" w:themeColor="text1"/>
          <w:szCs w:val="21"/>
          <w14:textFill>
            <w14:solidFill>
              <w14:schemeClr w14:val="tx1"/>
            </w14:solidFill>
          </w14:textFill>
        </w:rPr>
        <w:t>位及之后数值舍去（不进行四舍五入）。投资者按理财产品单位净值进行本理财产品的申购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w:t>
      </w:r>
    </w:p>
    <w:p w14:paraId="63165243">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8.理财产品单位累计净值/产品单位累计净值/产品份额累计净值：指本理财产品单位净值累加每1份理财产品份额自本理财产品成立以来的分红除权的金额（若有）所得的每1份理财产品份额价值。</w:t>
      </w:r>
    </w:p>
    <w:p w14:paraId="0F4E9A7C">
      <w:pPr>
        <w:spacing w:line="360" w:lineRule="auto"/>
        <w:ind w:left="13" w:leftChars="6" w:firstLine="407" w:firstLineChars="193"/>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9.业绩比较基准：</w:t>
      </w:r>
      <w:r>
        <w:rPr>
          <w:rFonts w:hint="eastAsia" w:ascii="宋体" w:hAnsi="宋体" w:cs="宋体"/>
          <w:color w:val="000000" w:themeColor="text1"/>
          <w:szCs w:val="21"/>
          <w14:textFill>
            <w14:solidFill>
              <w14:schemeClr w14:val="tx1"/>
            </w14:solidFill>
          </w14:textFill>
        </w:rPr>
        <w:t>指产品管理人基于产品性质、投资策略、过往投资经验及对产品存续期投资市场波动的预判而对本理财产品所设定的投资目标。</w:t>
      </w:r>
      <w:r>
        <w:rPr>
          <w:rFonts w:hint="eastAsia" w:ascii="宋体" w:hAnsi="宋体" w:cs="宋体"/>
          <w:b/>
          <w:bCs/>
          <w:color w:val="000000" w:themeColor="text1"/>
          <w:szCs w:val="21"/>
          <w14:textFill>
            <w14:solidFill>
              <w14:schemeClr w14:val="tx1"/>
            </w14:solidFill>
          </w14:textFill>
        </w:rPr>
        <w:t>业绩比较基准不是预期收益率，不代表本理财产品的未来表现和实际收益，不构成产品管理人对本理财产品进行的收益承诺，投资须谨慎。</w:t>
      </w:r>
    </w:p>
    <w:p w14:paraId="662B8350">
      <w:pPr>
        <w:spacing w:line="360" w:lineRule="auto"/>
        <w:ind w:left="13" w:leftChars="6" w:firstLine="405" w:firstLineChars="193"/>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10.理财产品估值：指计算评估本理财产品资产以确定本理财产品单位净值的过程。</w:t>
      </w:r>
    </w:p>
    <w:p w14:paraId="5BF4C41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11.认购：指投资者在本理财产品募集期内购买本理财产品份额的行为。</w:t>
      </w:r>
    </w:p>
    <w:p w14:paraId="275E7EA2">
      <w:pPr>
        <w:spacing w:line="360" w:lineRule="auto"/>
        <w:ind w:firstLine="417" w:firstLineChars="199"/>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12.申购：指投资者在本理财产品开放日内购买本理财产品份额的行为。</w:t>
      </w:r>
    </w:p>
    <w:p w14:paraId="4A0812B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13.赎回：指投资者在本理财产品</w:t>
      </w:r>
      <w:r>
        <w:rPr>
          <w:rFonts w:hint="eastAsia" w:ascii="宋体" w:hAnsi="宋体" w:cs="宋体"/>
          <w:b/>
          <w:bCs/>
          <w:color w:val="000000" w:themeColor="text1"/>
          <w:szCs w:val="21"/>
          <w14:textFill>
            <w14:solidFill>
              <w14:schemeClr w14:val="tx1"/>
            </w14:solidFill>
          </w14:textFill>
        </w:rPr>
        <w:t>开放日内卖出本理财产品份额的行为，且本理财产品投资者提出赎回申请应满足每笔认购</w:t>
      </w:r>
      <w:r>
        <w:rPr>
          <w:rFonts w:ascii="宋体" w:hAnsi="宋体" w:cs="宋体"/>
          <w:b/>
          <w:bCs/>
          <w:color w:val="000000" w:themeColor="text1"/>
          <w:szCs w:val="21"/>
          <w14:textFill>
            <w14:solidFill>
              <w14:schemeClr w14:val="tx1"/>
            </w14:solidFill>
          </w14:textFill>
        </w:rPr>
        <w:t>/申购的产品份额的最低持有期限要求。</w:t>
      </w:r>
    </w:p>
    <w:p w14:paraId="4CA5D17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14.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14:paraId="7A71807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14:paraId="2C4C95E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）期间与日期：</w:t>
      </w:r>
    </w:p>
    <w:p w14:paraId="3F83594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1.工作日：指国内法定工作日。</w:t>
      </w:r>
    </w:p>
    <w:p w14:paraId="0126270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2.证券交易所交易日/交易日：指上海证券交易所、深圳证券交易所和北京证券交易所的正常开盘交易日。</w:t>
      </w:r>
    </w:p>
    <w:p w14:paraId="5DF525C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3.募集期：指本理财产品成立前，产品管理人接受本理财产品认购的时间。</w:t>
      </w:r>
    </w:p>
    <w:p w14:paraId="019FD6E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4.成立日：指本理财产品募集期结束后满足合同生效条件，正式进入本理财产品存续期的起始日。</w:t>
      </w:r>
    </w:p>
    <w:p w14:paraId="6CCDEC4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5.产品存续期/存续期：指自本理财产品成立日起，至本理财产品终止日的期间。</w:t>
      </w:r>
    </w:p>
    <w:p w14:paraId="33FE136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6.开放日/T日：指产品管理人以该日的产品单位净值确认投资者申购份额或赎回金额。</w:t>
      </w:r>
    </w:p>
    <w:p w14:paraId="16E9B584">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7.申购/赎回确认日：指投资者办理申购/赎回后，产品管理人对满足条件的有效申购/赎回申请进行确认的日期，详见本《理财产品说明书》“六、产品的申购和赎回”部分。</w:t>
      </w:r>
    </w:p>
    <w:p w14:paraId="4849098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8.终止日：指发生本《理财产品说明书》“八</w:t>
      </w:r>
      <w:r>
        <w:rPr>
          <w:rFonts w:hint="eastAsia" w:ascii="宋体" w:hAnsi="宋体" w:cs="宋体"/>
          <w:bCs/>
          <w:color w:val="000000" w:themeColor="text1"/>
          <w:szCs w:val="21"/>
          <w14:textFill>
            <w14:solidFill>
              <w14:schemeClr w14:val="tx1"/>
            </w14:solidFill>
          </w14:textFill>
        </w:rPr>
        <w:t>、产品的终止与清算</w:t>
      </w:r>
      <w:r>
        <w:rPr>
          <w:rFonts w:hint="eastAsia" w:ascii="宋体" w:hAnsi="宋体" w:cs="宋体"/>
          <w:color w:val="000000" w:themeColor="text1"/>
          <w:szCs w:val="21"/>
          <w14:textFill>
            <w14:solidFill>
              <w14:schemeClr w14:val="tx1"/>
            </w14:solidFill>
          </w14:textFill>
        </w:rPr>
        <w:t>”中“（一）产品的提前终止”约定的情况时，产品管理人行使提前终止权，终止本理财产品的日期。</w:t>
      </w:r>
    </w:p>
    <w:p w14:paraId="4FB14E7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9.清算期：指自本理财产品终止日（不含）至投资者理财本金及收益到账日（含）之间为本理财产品的清算期。</w:t>
      </w:r>
    </w:p>
    <w:p w14:paraId="43E1D4CD">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★10.最低持有期：指本理财产品对投资者每笔有效认购</w:t>
      </w:r>
      <w:r>
        <w:rPr>
          <w:rFonts w:ascii="宋体" w:hAnsi="宋体" w:cs="宋体"/>
          <w:b/>
          <w:bCs/>
          <w:color w:val="000000" w:themeColor="text1"/>
          <w:szCs w:val="21"/>
          <w14:textFill>
            <w14:solidFill>
              <w14:schemeClr w14:val="tx1"/>
            </w14:solidFill>
          </w14:textFill>
        </w:rPr>
        <w:t>/申购的产品份额设置的最低持有期限。</w:t>
      </w:r>
    </w:p>
    <w:p w14:paraId="3E99C889">
      <w:pPr>
        <w:pStyle w:val="3"/>
        <w:spacing w:after="0" w:line="360" w:lineRule="auto"/>
        <w:ind w:left="0" w:leftChars="0"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w:t>
      </w:r>
      <w:r>
        <w:rPr>
          <w:rFonts w:hint="eastAsia" w:ascii="宋体" w:hAnsi="宋体" w:cs="宋体"/>
          <w:b/>
          <w:color w:val="000000" w:themeColor="text1"/>
          <w14:textFill>
            <w14:solidFill>
              <w14:schemeClr w14:val="tx1"/>
            </w14:solidFill>
          </w14:textFill>
        </w:rPr>
        <w:t>三、产品概况和基本要素</w:t>
      </w:r>
    </w:p>
    <w:tbl>
      <w:tblPr>
        <w:tblStyle w:val="8"/>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14:paraId="50846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CA26553">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产品名称</w:t>
            </w:r>
          </w:p>
        </w:tc>
        <w:tc>
          <w:tcPr>
            <w:tcW w:w="6633" w:type="dxa"/>
            <w:vAlign w:val="center"/>
          </w:tcPr>
          <w:p w14:paraId="4AB29CF5">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北银理财丰收系列京华远见春系列诚享21天持有期1号理财产品</w:t>
            </w:r>
          </w:p>
        </w:tc>
      </w:tr>
      <w:tr w14:paraId="71CCA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6825F1FB">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产品销售名称</w:t>
            </w:r>
          </w:p>
        </w:tc>
        <w:tc>
          <w:tcPr>
            <w:tcW w:w="6633" w:type="dxa"/>
          </w:tcPr>
          <w:p w14:paraId="34050777">
            <w:pPr>
              <w:spacing w:line="360" w:lineRule="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F</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color w:val="000000" w:themeColor="text1"/>
                <w:lang w:eastAsia="zh-CN"/>
                <w14:textFill>
                  <w14:solidFill>
                    <w14:schemeClr w14:val="tx1"/>
                  </w14:solidFill>
                </w14:textFill>
              </w:rPr>
              <w:t>丰收系列诚享21天持有期1号</w:t>
            </w:r>
            <w:r>
              <w:rPr>
                <w:rFonts w:hint="eastAsia" w:ascii="宋体" w:hAnsi="宋体" w:cs="宋体"/>
                <w:color w:val="000000" w:themeColor="text1"/>
                <w:szCs w:val="21"/>
                <w:lang w:val="en-US" w:eastAsia="zh-CN"/>
                <w14:textFill>
                  <w14:solidFill>
                    <w14:schemeClr w14:val="tx1"/>
                  </w14:solidFill>
                </w14:textFill>
              </w:rPr>
              <w:t>F</w:t>
            </w:r>
            <w:r>
              <w:rPr>
                <w:rFonts w:hint="eastAsia" w:ascii="宋体" w:hAnsi="宋体" w:cs="宋体"/>
                <w:color w:val="000000" w:themeColor="text1"/>
                <w:lang w:val="en-US" w:eastAsia="zh-CN"/>
                <w14:textFill>
                  <w14:solidFill>
                    <w14:schemeClr w14:val="tx1"/>
                  </w14:solidFill>
                </w14:textFill>
              </w:rPr>
              <w:t>类份额</w:t>
            </w:r>
          </w:p>
          <w:p w14:paraId="030218CA">
            <w:pPr>
              <w:spacing w:line="360" w:lineRule="auto"/>
              <w:rPr>
                <w:rFonts w:hint="default" w:ascii="宋体" w:hAnsi="宋体" w:cs="宋体"/>
                <w:color w:val="000000" w:themeColor="text1"/>
                <w:szCs w:val="21"/>
                <w:lang w:val="en-US"/>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S</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color w:val="000000" w:themeColor="text1"/>
                <w:lang w:eastAsia="zh-CN"/>
                <w14:textFill>
                  <w14:solidFill>
                    <w14:schemeClr w14:val="tx1"/>
                  </w14:solidFill>
                </w14:textFill>
              </w:rPr>
              <w:t>丰收系列诚享21天持有期1号</w:t>
            </w:r>
            <w:r>
              <w:rPr>
                <w:rFonts w:hint="eastAsia" w:ascii="宋体" w:hAnsi="宋体" w:cs="宋体"/>
                <w:color w:val="000000" w:themeColor="text1"/>
                <w:lang w:val="en-US" w:eastAsia="zh-CN"/>
                <w14:textFill>
                  <w14:solidFill>
                    <w14:schemeClr w14:val="tx1"/>
                  </w14:solidFill>
                </w14:textFill>
              </w:rPr>
              <w:t>S类份额</w:t>
            </w:r>
          </w:p>
        </w:tc>
      </w:tr>
      <w:tr w14:paraId="025C7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62A09F0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产品代码</w:t>
            </w:r>
          </w:p>
        </w:tc>
        <w:tc>
          <w:tcPr>
            <w:tcW w:w="6633" w:type="dxa"/>
          </w:tcPr>
          <w:p w14:paraId="72A3A8C4">
            <w:pPr>
              <w:spacing w:line="360" w:lineRule="auto"/>
              <w:rPr>
                <w:rFonts w:hint="default" w:ascii="宋体" w:hAnsi="宋体" w:eastAsia="宋体" w:cs="宋体"/>
                <w:color w:val="000000" w:themeColor="text1"/>
                <w:lang w:val="en-US"/>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FS01251001</w:t>
            </w:r>
          </w:p>
        </w:tc>
      </w:tr>
      <w:tr w14:paraId="2F18D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51E48A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产品销售代码</w:t>
            </w:r>
          </w:p>
        </w:tc>
        <w:tc>
          <w:tcPr>
            <w:tcW w:w="6633" w:type="dxa"/>
          </w:tcPr>
          <w:p w14:paraId="166A45D2">
            <w:pPr>
              <w:spacing w:line="360" w:lineRule="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F</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FS01251001</w:t>
            </w:r>
            <w:r>
              <w:rPr>
                <w:rFonts w:hint="eastAsia" w:ascii="宋体" w:hAnsi="宋体" w:cs="宋体"/>
                <w:color w:val="000000" w:themeColor="text1"/>
                <w:lang w:val="en-US" w:eastAsia="zh-CN"/>
                <w14:textFill>
                  <w14:solidFill>
                    <w14:schemeClr w14:val="tx1"/>
                  </w14:solidFill>
                </w14:textFill>
              </w:rPr>
              <w:t>F</w:t>
            </w:r>
          </w:p>
          <w:p w14:paraId="78F87D07">
            <w:pPr>
              <w:spacing w:line="360" w:lineRule="auto"/>
              <w:rPr>
                <w:rFonts w:hint="default" w:ascii="宋体" w:hAnsi="宋体" w:eastAsia="宋体" w:cs="宋体"/>
                <w:color w:val="000000" w:themeColor="text1"/>
                <w:lang w:val="en-US"/>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S</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FS01251001</w:t>
            </w:r>
            <w:r>
              <w:rPr>
                <w:rFonts w:hint="eastAsia" w:ascii="宋体" w:hAnsi="宋体" w:cs="宋体"/>
                <w:color w:val="000000" w:themeColor="text1"/>
                <w:lang w:val="en-US" w:eastAsia="zh-CN"/>
                <w14:textFill>
                  <w14:solidFill>
                    <w14:schemeClr w14:val="tx1"/>
                  </w14:solidFill>
                </w14:textFill>
              </w:rPr>
              <w:t>S</w:t>
            </w:r>
          </w:p>
        </w:tc>
      </w:tr>
      <w:tr w14:paraId="1F9BF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3F07B9EC">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产品登记编码</w:t>
            </w:r>
          </w:p>
        </w:tc>
        <w:tc>
          <w:tcPr>
            <w:tcW w:w="6633" w:type="dxa"/>
          </w:tcPr>
          <w:p w14:paraId="1626A69B">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产品登记编码：</w:t>
            </w:r>
            <w:r>
              <w:rPr>
                <w:rFonts w:hint="eastAsia" w:ascii="宋体" w:hAnsi="宋体" w:cs="宋体"/>
                <w:color w:val="000000" w:themeColor="text1"/>
                <w:lang w:eastAsia="zh-CN"/>
                <w14:textFill>
                  <w14:solidFill>
                    <w14:schemeClr w14:val="tx1"/>
                  </w14:solidFill>
                </w14:textFill>
              </w:rPr>
              <w:t>Z7008925000573</w:t>
            </w:r>
          </w:p>
          <w:p w14:paraId="2F26689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（投资者可依据该产品登记编码在“</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”查询本理财产品信息，“</w:t>
            </w:r>
            <w:r>
              <w:rPr>
                <w:rFonts w:hint="eastAsia" w:ascii="宋体" w:hAnsi="宋体" w:cs="宋体"/>
                <w:color w:val="000000" w:themeColor="text1"/>
                <w:szCs w:val="21"/>
                <w:lang w:eastAsia="zh-CN"/>
                <w14:textFill>
                  <w14:solidFill>
                    <w14:schemeClr w14:val="tx1"/>
                  </w14:solidFill>
                </w14:textFill>
              </w:rPr>
              <w:t>中国理财网</w:t>
            </w:r>
            <w:r>
              <w:rPr>
                <w:rFonts w:hint="eastAsia" w:ascii="宋体" w:hAnsi="宋体" w:cs="宋体"/>
                <w:color w:val="000000" w:themeColor="text1"/>
                <w:szCs w:val="21"/>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"http://www.chinawealth.com.cn/"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www.chinawealth.com.cn</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w:t>
            </w:r>
          </w:p>
        </w:tc>
      </w:tr>
      <w:tr w14:paraId="6604A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51" w:type="dxa"/>
            <w:vAlign w:val="center"/>
          </w:tcPr>
          <w:p w14:paraId="4D692C5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投资及收益币种</w:t>
            </w:r>
          </w:p>
        </w:tc>
        <w:tc>
          <w:tcPr>
            <w:tcW w:w="6633" w:type="dxa"/>
          </w:tcPr>
          <w:p w14:paraId="06C52EC1">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人民币</w:t>
            </w:r>
          </w:p>
        </w:tc>
      </w:tr>
      <w:tr w14:paraId="5A220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183A2C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募集方式</w:t>
            </w:r>
          </w:p>
        </w:tc>
        <w:tc>
          <w:tcPr>
            <w:tcW w:w="6633" w:type="dxa"/>
          </w:tcPr>
          <w:p w14:paraId="1593072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公募</w:t>
            </w:r>
          </w:p>
        </w:tc>
      </w:tr>
      <w:tr w14:paraId="0E50A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AF2ED7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产品运作模式</w:t>
            </w:r>
            <w:r>
              <w:rPr>
                <w:rFonts w:hint="eastAsia" w:ascii="宋体" w:hAnsi="宋体" w:cs="宋体"/>
                <w:bCs/>
                <w:color w:val="000000" w:themeColor="text1"/>
                <w:szCs w:val="21"/>
                <w:lang w:val="en-US" w:eastAsia="zh-CN"/>
                <w14:textFill>
                  <w14:solidFill>
                    <w14:schemeClr w14:val="tx1"/>
                  </w14:solidFill>
                </w14:textFill>
              </w:rPr>
              <w:t>/方式</w:t>
            </w:r>
          </w:p>
        </w:tc>
        <w:tc>
          <w:tcPr>
            <w:tcW w:w="6633" w:type="dxa"/>
          </w:tcPr>
          <w:p w14:paraId="776E4080">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开放式净值型</w:t>
            </w:r>
          </w:p>
        </w:tc>
      </w:tr>
      <w:tr w14:paraId="2F8BE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34FAC9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产品类型</w:t>
            </w:r>
          </w:p>
        </w:tc>
        <w:tc>
          <w:tcPr>
            <w:tcW w:w="6633" w:type="dxa"/>
          </w:tcPr>
          <w:p w14:paraId="56DAD00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固定收益</w:t>
            </w:r>
            <w:r>
              <w:rPr>
                <w:rFonts w:hint="eastAsia" w:ascii="宋体" w:hAnsi="宋体" w:cs="宋体"/>
                <w:b/>
                <w:bCs/>
                <w:color w:val="000000" w:themeColor="text1"/>
                <w:szCs w:val="21"/>
                <w14:textFill>
                  <w14:solidFill>
                    <w14:schemeClr w14:val="tx1"/>
                  </w14:solidFill>
                </w14:textFill>
              </w:rPr>
              <w:t>类、非保本浮动收益型</w:t>
            </w:r>
          </w:p>
        </w:tc>
      </w:tr>
      <w:tr w14:paraId="53C2C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3BBAEC9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适合的投资者</w:t>
            </w:r>
          </w:p>
        </w:tc>
        <w:tc>
          <w:tcPr>
            <w:tcW w:w="6633" w:type="dxa"/>
          </w:tcPr>
          <w:p w14:paraId="4522FD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ascii="宋体" w:hAnsi="宋体" w:cs="宋体"/>
                <w:b w:val="0"/>
                <w:bCs/>
                <w:color w:val="000000" w:themeColor="text1"/>
                <w:szCs w:val="21"/>
                <w:lang w:eastAsia="zh-CN"/>
                <w14:textFill>
                  <w14:solidFill>
                    <w14:schemeClr w14:val="tx1"/>
                  </w14:solidFill>
                </w14:textFill>
              </w:rPr>
              <w:t>符合相关法律法规、监管规定要求的自然人、法人和其他组织。</w:t>
            </w:r>
            <w:r>
              <w:rPr>
                <w:rFonts w:hint="eastAsia" w:ascii="宋体" w:hAnsi="宋体" w:cs="宋体"/>
                <w:b w:val="0"/>
                <w:bCs/>
                <w:color w:val="000000" w:themeColor="text1"/>
                <w:szCs w:val="21"/>
                <w:lang w:val="en-US" w:eastAsia="zh-CN"/>
                <w14:textFill>
                  <w14:solidFill>
                    <w14:schemeClr w14:val="tx1"/>
                  </w14:solidFill>
                </w14:textFill>
              </w:rPr>
              <w:t>投资者</w:t>
            </w:r>
            <w:r>
              <w:rPr>
                <w:rFonts w:hint="eastAsia" w:ascii="宋体" w:hAnsi="宋体" w:cs="宋体"/>
                <w:b w:val="0"/>
                <w:bCs/>
                <w:color w:val="000000" w:themeColor="text1"/>
                <w:szCs w:val="21"/>
                <w:lang w:eastAsia="zh-CN"/>
                <w14:textFill>
                  <w14:solidFill>
                    <w14:schemeClr w14:val="tx1"/>
                  </w14:solidFill>
                </w14:textFill>
              </w:rPr>
              <w:t>经</w:t>
            </w:r>
            <w:r>
              <w:rPr>
                <w:rFonts w:hint="eastAsia" w:ascii="宋体" w:hAnsi="宋体" w:cs="宋体"/>
                <w:b w:val="0"/>
                <w:bCs/>
                <w:color w:val="000000" w:themeColor="text1"/>
                <w:szCs w:val="21"/>
                <w:lang w:val="en-US" w:eastAsia="zh-CN"/>
                <w14:textFill>
                  <w14:solidFill>
                    <w14:schemeClr w14:val="tx1"/>
                  </w14:solidFill>
                </w14:textFill>
              </w:rPr>
              <w:t>代理销售</w:t>
            </w:r>
            <w:r>
              <w:rPr>
                <w:rFonts w:hint="eastAsia" w:ascii="宋体" w:hAnsi="宋体" w:cs="宋体"/>
                <w:b w:val="0"/>
                <w:bCs/>
                <w:color w:val="000000" w:themeColor="text1"/>
                <w:szCs w:val="21"/>
                <w:lang w:eastAsia="zh-CN"/>
                <w14:textFill>
                  <w14:solidFill>
                    <w14:schemeClr w14:val="tx1"/>
                  </w14:solidFill>
                </w14:textFill>
              </w:rPr>
              <w:t>机构</w:t>
            </w:r>
            <w:r>
              <w:rPr>
                <w:rFonts w:hint="eastAsia" w:ascii="宋体" w:hAnsi="宋体" w:cs="宋体"/>
                <w:b w:val="0"/>
                <w:bCs/>
                <w:color w:val="000000" w:themeColor="text1"/>
                <w:szCs w:val="21"/>
                <w:lang w:val="en-US" w:eastAsia="zh-CN"/>
                <w14:textFill>
                  <w14:solidFill>
                    <w14:schemeClr w14:val="tx1"/>
                  </w14:solidFill>
                </w14:textFill>
              </w:rPr>
              <w:t>评估</w:t>
            </w:r>
            <w:r>
              <w:rPr>
                <w:rFonts w:hint="eastAsia" w:ascii="宋体" w:hAnsi="宋体" w:cs="宋体"/>
                <w:b w:val="0"/>
                <w:bCs/>
                <w:color w:val="000000" w:themeColor="text1"/>
                <w:szCs w:val="21"/>
                <w:lang w:eastAsia="zh-CN"/>
                <w14:textFill>
                  <w14:solidFill>
                    <w14:schemeClr w14:val="tx1"/>
                  </w14:solidFill>
                </w14:textFill>
              </w:rPr>
              <w:t>的投资者风险承受能力等级</w:t>
            </w:r>
            <w:r>
              <w:rPr>
                <w:rFonts w:hint="eastAsia" w:ascii="宋体" w:hAnsi="宋体" w:cs="宋体"/>
                <w:b w:val="0"/>
                <w:bCs/>
                <w:color w:val="000000" w:themeColor="text1"/>
                <w:szCs w:val="21"/>
                <w:lang w:val="en-US" w:eastAsia="zh-CN"/>
                <w14:textFill>
                  <w14:solidFill>
                    <w14:schemeClr w14:val="tx1"/>
                  </w14:solidFill>
                </w14:textFill>
              </w:rPr>
              <w:t>须</w:t>
            </w:r>
            <w:r>
              <w:rPr>
                <w:rFonts w:hint="eastAsia" w:ascii="宋体" w:hAnsi="宋体" w:cs="宋体"/>
                <w:b w:val="0"/>
                <w:bCs/>
                <w:color w:val="000000" w:themeColor="text1"/>
                <w:szCs w:val="21"/>
                <w:lang w:eastAsia="zh-CN"/>
                <w14:textFill>
                  <w14:solidFill>
                    <w14:schemeClr w14:val="tx1"/>
                  </w14:solidFill>
                </w14:textFill>
              </w:rPr>
              <w:t>不低于本理财产品风险评级</w:t>
            </w:r>
            <w:r>
              <w:rPr>
                <w:rFonts w:hint="eastAsia" w:ascii="宋体" w:hAnsi="宋体" w:cs="宋体"/>
                <w:b w:val="0"/>
                <w:bCs/>
                <w:color w:val="000000" w:themeColor="text1"/>
                <w:szCs w:val="21"/>
                <w:lang w:val="en-US" w:eastAsia="zh-CN"/>
                <w14:textFill>
                  <w14:solidFill>
                    <w14:schemeClr w14:val="tx1"/>
                  </w14:solidFill>
                </w14:textFill>
              </w:rPr>
              <w:t>结果</w:t>
            </w:r>
            <w:r>
              <w:rPr>
                <w:rFonts w:hint="eastAsia" w:ascii="宋体" w:hAnsi="宋体" w:cs="宋体"/>
                <w:b w:val="0"/>
                <w:bCs/>
                <w:color w:val="000000" w:themeColor="text1"/>
                <w:szCs w:val="21"/>
                <w:lang w:eastAsia="zh-CN"/>
                <w14:textFill>
                  <w14:solidFill>
                    <w14:schemeClr w14:val="tx1"/>
                  </w14:solidFill>
                </w14:textFill>
              </w:rPr>
              <w:t>（本理财产品通过代销机构销售的，销售客群最终以代销机构要求为准）。</w:t>
            </w:r>
          </w:p>
          <w:p w14:paraId="6337EE1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★本理财产品不允许单一投资者持有份额超过本理财产品总份额的50%。</w:t>
            </w:r>
          </w:p>
        </w:tc>
      </w:tr>
      <w:tr w14:paraId="19CE1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27961A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产品管理人</w:t>
            </w:r>
          </w:p>
        </w:tc>
        <w:tc>
          <w:tcPr>
            <w:tcW w:w="6633" w:type="dxa"/>
          </w:tcPr>
          <w:p w14:paraId="0B2C73EB">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北银理财有限责任公司</w:t>
            </w:r>
          </w:p>
        </w:tc>
      </w:tr>
      <w:tr w14:paraId="27099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A0DD088">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产品托管人</w:t>
            </w:r>
          </w:p>
        </w:tc>
        <w:tc>
          <w:tcPr>
            <w:tcW w:w="6633" w:type="dxa"/>
          </w:tcPr>
          <w:p w14:paraId="54C33CAB">
            <w:pPr>
              <w:spacing w:line="360" w:lineRule="auto"/>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北京银行股份有限公司</w:t>
            </w:r>
          </w:p>
        </w:tc>
      </w:tr>
      <w:tr w14:paraId="43652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1733CBFF">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销售机构</w:t>
            </w:r>
          </w:p>
        </w:tc>
        <w:tc>
          <w:tcPr>
            <w:tcW w:w="6633" w:type="dxa"/>
          </w:tcPr>
          <w:p w14:paraId="7BA3ABBD">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F</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cs="宋体"/>
                <w:color w:val="000000" w:themeColor="text1"/>
                <w:lang w:val="en-US" w:eastAsia="zh-CN"/>
                <w14:textFill>
                  <w14:solidFill>
                    <w14:schemeClr w14:val="tx1"/>
                  </w14:solidFill>
                </w14:textFill>
              </w:rPr>
              <w:t>S</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w:t>
            </w:r>
            <w:r>
              <w:rPr>
                <w:rFonts w:hint="eastAsia" w:ascii="宋体" w:hAnsi="宋体" w:eastAsia="宋体" w:cs="宋体"/>
                <w:color w:val="000000" w:themeColor="text1"/>
                <w:sz w:val="21"/>
                <w:szCs w:val="21"/>
                <w14:textFill>
                  <w14:solidFill>
                    <w14:schemeClr w14:val="tx1"/>
                  </w14:solidFill>
                </w14:textFill>
              </w:rPr>
              <w:t>浙江衢州柯城农村商业银行股份有限公司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、浙江松阳农村商业银行股份有限公司、浙江江山农村商业银行股份有限公司、浙江义乌农村商业银行股份有限公司、浙江桐庐农村商业银行股份有限公司、浙江新昌农村商业银行股份有限公司、</w:t>
            </w:r>
            <w:r>
              <w:rPr>
                <w:rFonts w:hint="eastAsia" w:ascii="宋体" w:hAnsi="宋体" w:eastAsia="宋体" w:cs="宋体"/>
                <w:color w:val="000000" w:themeColor="text1"/>
                <w:sz w:val="21"/>
                <w:szCs w:val="21"/>
                <w14:textFill>
                  <w14:solidFill>
                    <w14:schemeClr w14:val="tx1"/>
                  </w14:solidFill>
                </w14:textFill>
              </w:rPr>
              <w:t>浙江衢州衢江农村商业银行股份有限公司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、浙江临安农村商业银行股份有限公司、</w:t>
            </w:r>
            <w:r>
              <w:rPr>
                <w:rFonts w:hint="eastAsia" w:ascii="宋体" w:hAnsi="宋体" w:eastAsia="宋体" w:cs="宋体"/>
                <w:color w:val="000000" w:themeColor="text1"/>
                <w:sz w:val="21"/>
                <w:szCs w:val="21"/>
                <w14:textFill>
                  <w14:solidFill>
                    <w14:schemeClr w14:val="tx1"/>
                  </w14:solidFill>
                </w14:textFill>
              </w:rPr>
              <w:t>浙江萧山农村商业银行股份有限公司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、浙江温岭农村商业银行股份有限公司、浙江长兴农村商业银行股份有限公司、</w:t>
            </w:r>
            <w:r>
              <w:rPr>
                <w:rFonts w:hint="eastAsia" w:ascii="宋体" w:hAnsi="宋体" w:eastAsia="宋体" w:cs="宋体"/>
                <w:color w:val="000000" w:themeColor="text1"/>
                <w:sz w:val="21"/>
                <w:szCs w:val="21"/>
                <w14:textFill>
                  <w14:solidFill>
                    <w14:schemeClr w14:val="tx1"/>
                  </w14:solidFill>
                </w14:textFill>
              </w:rPr>
              <w:t>浙江兰溪农村商业银行股份有限公司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、浙江杭州余杭农村商业银行股份有限公司、浙江缙云农村商业银行股份有限公司、浙江海宁农村商业银行股份有限公司、</w:t>
            </w:r>
            <w:r>
              <w:rPr>
                <w:rFonts w:hint="eastAsia" w:ascii="宋体" w:hAnsi="宋体" w:eastAsia="宋体" w:cs="宋体"/>
                <w:color w:val="000000" w:themeColor="text1"/>
                <w:sz w:val="21"/>
                <w:szCs w:val="21"/>
                <w14:textFill>
                  <w14:solidFill>
                    <w14:schemeClr w14:val="tx1"/>
                  </w14:solidFill>
                </w14:textFill>
              </w:rPr>
              <w:t>浙江桐乡农村商业银行股份有限公司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、浙江仙居农村商业银行股份有限公司、</w:t>
            </w:r>
            <w:r>
              <w:rPr>
                <w:rFonts w:hint="eastAsia" w:ascii="宋体" w:hAnsi="宋体" w:eastAsia="宋体" w:cs="宋体"/>
                <w:color w:val="000000" w:themeColor="text1"/>
                <w:sz w:val="21"/>
                <w:szCs w:val="21"/>
                <w14:textFill>
                  <w14:solidFill>
                    <w14:schemeClr w14:val="tx1"/>
                  </w14:solidFill>
                </w14:textFill>
              </w:rPr>
              <w:t>浙江遂昌农村商业银行股份有限公司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、浙江丽水莲都农村商业银行股份有限公司、浙江开化农村商业银行股份有限公司、浙江武义农村商业银行股份有限公司、浙江临海农村商业银行股份有限公司、</w:t>
            </w:r>
            <w:r>
              <w:rPr>
                <w:rFonts w:hint="eastAsia" w:ascii="宋体" w:hAnsi="宋体" w:eastAsia="宋体" w:cs="宋体"/>
                <w:color w:val="000000" w:themeColor="text1"/>
                <w:sz w:val="21"/>
                <w:szCs w:val="21"/>
                <w14:textFill>
                  <w14:solidFill>
                    <w14:schemeClr w14:val="tx1"/>
                  </w14:solidFill>
                </w14:textFill>
              </w:rPr>
              <w:t>浙江台州黄岩农村商业银行股份有限公司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、浙江天台农村商业银行股份有限公司、浙江庆元农村商业银行股份有限公司、浙江金华成泰农村商业银行股份有限公司、</w:t>
            </w:r>
            <w:r>
              <w:rPr>
                <w:rFonts w:hint="eastAsia" w:ascii="宋体" w:hAnsi="宋体" w:eastAsia="宋体" w:cs="宋体"/>
                <w:color w:val="000000" w:themeColor="text1"/>
                <w:sz w:val="21"/>
                <w:szCs w:val="21"/>
                <w14:textFill>
                  <w14:solidFill>
                    <w14:schemeClr w14:val="tx1"/>
                  </w14:solidFill>
                </w14:textFill>
              </w:rPr>
              <w:t>浙江安吉农村商业银行股份有限公司</w:t>
            </w:r>
          </w:p>
        </w:tc>
      </w:tr>
      <w:tr w14:paraId="67300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6B61E6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产品风险评级</w:t>
            </w:r>
          </w:p>
        </w:tc>
        <w:tc>
          <w:tcPr>
            <w:tcW w:w="6633" w:type="dxa"/>
          </w:tcPr>
          <w:p w14:paraId="41EE5288">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b w:val="0"/>
                <w:bCs w:val="0"/>
                <w:color w:val="000000" w:themeColor="text1"/>
                <w:szCs w:val="21"/>
                <w14:textFill>
                  <w14:solidFill>
                    <w14:schemeClr w14:val="tx1"/>
                  </w14:solidFill>
                </w14:textFill>
              </w:rPr>
              <w:t>（</w:t>
            </w:r>
            <w:r>
              <w:rPr>
                <w:rFonts w:ascii="宋体" w:hAnsi="宋体" w:cs="宋体"/>
                <w:b w:val="0"/>
                <w:bCs w:val="0"/>
                <w:color w:val="000000" w:themeColor="text1"/>
                <w:szCs w:val="21"/>
                <w14:textFill>
                  <w14:solidFill>
                    <w14:schemeClr w14:val="tx1"/>
                  </w14:solidFill>
                </w14:textFill>
              </w:rPr>
              <w:t>PR</w:t>
            </w:r>
            <w:r>
              <w:rPr>
                <w:rFonts w:hint="eastAsia" w:ascii="宋体" w:hAnsi="宋体" w:cs="宋体"/>
                <w:b w:val="0"/>
                <w:bCs w:val="0"/>
                <w:color w:val="000000" w:themeColor="text1"/>
                <w:szCs w:val="21"/>
                <w:lang w:val="en-US" w:eastAsia="zh-CN"/>
                <w14:textFill>
                  <w14:solidFill>
                    <w14:schemeClr w14:val="tx1"/>
                  </w14:solidFill>
                </w14:textFill>
              </w:rPr>
              <w:t>2</w:t>
            </w:r>
            <w:r>
              <w:rPr>
                <w:rFonts w:hint="eastAsia" w:ascii="宋体" w:hAnsi="宋体" w:cs="宋体"/>
                <w:b w:val="0"/>
                <w:bCs w:val="0"/>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（本风险评级为北银理财内部评级，仅供参考）</w:t>
            </w:r>
          </w:p>
          <w:p w14:paraId="1A835FE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tc>
      </w:tr>
      <w:tr w14:paraId="661C9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E7ADCEC">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产品规模</w:t>
            </w:r>
          </w:p>
        </w:tc>
        <w:tc>
          <w:tcPr>
            <w:tcW w:w="6633" w:type="dxa"/>
          </w:tcPr>
          <w:p w14:paraId="1A1E1CCC">
            <w:pPr>
              <w:pStyle w:val="12"/>
              <w:spacing w:line="360" w:lineRule="auto"/>
              <w:jc w:val="both"/>
              <w:rPr>
                <w:rFonts w:ascii="宋体" w:hAnsi="宋体" w:eastAsia="宋体" w:cs="宋体"/>
                <w:bCs/>
                <w:color w:val="000000" w:themeColor="text1"/>
                <w:kern w:val="2"/>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lang w:eastAsia="zh-CN"/>
                <w14:textFill>
                  <w14:solidFill>
                    <w14:schemeClr w14:val="tx1"/>
                  </w14:solidFill>
                </w14:textFill>
              </w:rPr>
              <w:t>产品管理人</w:t>
            </w:r>
            <w:r>
              <w:rPr>
                <w:rFonts w:hint="eastAsia" w:ascii="宋体" w:hAnsi="宋体" w:eastAsia="宋体" w:cs="宋体"/>
                <w:bCs/>
                <w:color w:val="000000" w:themeColor="text1"/>
                <w:sz w:val="21"/>
                <w:szCs w:val="21"/>
                <w14:textFill>
                  <w14:solidFill>
                    <w14:schemeClr w14:val="tx1"/>
                  </w14:solidFill>
                </w14:textFill>
              </w:rPr>
              <w:t>可根据市场和</w:t>
            </w:r>
            <w:r>
              <w:rPr>
                <w:rFonts w:hint="eastAsia" w:ascii="宋体" w:hAnsi="宋体" w:eastAsia="宋体" w:cs="宋体"/>
                <w:bCs/>
                <w:color w:val="000000" w:themeColor="text1"/>
                <w:sz w:val="21"/>
                <w:szCs w:val="21"/>
                <w:lang w:eastAsia="zh-CN"/>
                <w14:textFill>
                  <w14:solidFill>
                    <w14:schemeClr w14:val="tx1"/>
                  </w14:solidFill>
                </w14:textFill>
              </w:rPr>
              <w:t>本理财</w:t>
            </w:r>
            <w:r>
              <w:rPr>
                <w:rFonts w:hint="eastAsia" w:ascii="宋体" w:hAnsi="宋体" w:eastAsia="宋体" w:cs="宋体"/>
                <w:bCs/>
                <w:color w:val="000000" w:themeColor="text1"/>
                <w:sz w:val="21"/>
                <w:szCs w:val="21"/>
                <w14:textFill>
                  <w14:solidFill>
                    <w14:schemeClr w14:val="tx1"/>
                  </w14:solidFill>
                </w14:textFill>
              </w:rPr>
              <w:t>产品运</w:t>
            </w:r>
            <w:r>
              <w:rPr>
                <w:rFonts w:hint="eastAsia" w:ascii="宋体" w:hAnsi="宋体" w:eastAsia="宋体" w:cs="宋体"/>
                <w:bCs/>
                <w:color w:val="000000" w:themeColor="text1"/>
                <w:sz w:val="21"/>
                <w:szCs w:val="21"/>
                <w:lang w:val="en-US" w:eastAsia="zh-CN"/>
                <w14:textFill>
                  <w14:solidFill>
                    <w14:schemeClr w14:val="tx1"/>
                  </w14:solidFill>
                </w14:textFill>
              </w:rPr>
              <w:t>作</w:t>
            </w:r>
            <w:r>
              <w:rPr>
                <w:rFonts w:hint="eastAsia" w:ascii="宋体" w:hAnsi="宋体" w:eastAsia="宋体" w:cs="宋体"/>
                <w:bCs/>
                <w:color w:val="000000" w:themeColor="text1"/>
                <w:sz w:val="21"/>
                <w:szCs w:val="21"/>
                <w14:textFill>
                  <w14:solidFill>
                    <w14:schemeClr w14:val="tx1"/>
                  </w14:solidFill>
                </w14:textFill>
              </w:rPr>
              <w:t>情况调整产品规模上下限</w:t>
            </w:r>
            <w:r>
              <w:rPr>
                <w:rFonts w:hint="eastAsia" w:ascii="宋体" w:hAnsi="宋体" w:eastAsia="宋体" w:cs="宋体"/>
                <w:bCs/>
                <w:color w:val="000000" w:themeColor="text1"/>
                <w:kern w:val="2"/>
                <w:sz w:val="21"/>
                <w:szCs w:val="21"/>
                <w14:textFill>
                  <w14:solidFill>
                    <w14:schemeClr w14:val="tx1"/>
                  </w14:solidFill>
                </w14:textFill>
              </w:rPr>
              <w:t>。</w:t>
            </w:r>
          </w:p>
        </w:tc>
      </w:tr>
      <w:tr w14:paraId="2DE05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51" w:type="dxa"/>
            <w:vAlign w:val="center"/>
          </w:tcPr>
          <w:p w14:paraId="2B608BEC">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销售区域</w:t>
            </w:r>
          </w:p>
        </w:tc>
        <w:tc>
          <w:tcPr>
            <w:tcW w:w="6633" w:type="dxa"/>
            <w:vAlign w:val="center"/>
          </w:tcPr>
          <w:p w14:paraId="5514F00D">
            <w:pPr>
              <w:spacing w:line="360" w:lineRule="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F</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全国</w:t>
            </w:r>
          </w:p>
          <w:p w14:paraId="3BC7E8ED">
            <w:pPr>
              <w:snapToGrid w:val="0"/>
              <w:spacing w:line="360" w:lineRule="auto"/>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S</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全国</w:t>
            </w:r>
          </w:p>
        </w:tc>
      </w:tr>
      <w:tr w14:paraId="2E56C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13C4D913">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募集期</w:t>
            </w:r>
          </w:p>
        </w:tc>
        <w:tc>
          <w:tcPr>
            <w:tcW w:w="6633" w:type="dxa"/>
            <w:vAlign w:val="center"/>
          </w:tcPr>
          <w:p w14:paraId="74D67728">
            <w:p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2025</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日</w:t>
            </w:r>
            <w:r>
              <w:rPr>
                <w:rFonts w:hint="eastAsia" w:ascii="宋体" w:hAnsi="宋体" w:eastAsia="宋体" w:cs="宋体"/>
                <w:color w:val="000000" w:themeColor="text1"/>
                <w:szCs w:val="21"/>
                <w:lang w:val="en-US" w:eastAsia="zh-CN"/>
                <w14:textFill>
                  <w14:solidFill>
                    <w14:schemeClr w14:val="tx1"/>
                  </w14:solidFill>
                </w14:textFill>
              </w:rPr>
              <w:t>9：00</w:t>
            </w:r>
            <w:r>
              <w:rPr>
                <w:rFonts w:hint="eastAsia" w:ascii="宋体" w:hAnsi="宋体" w:eastAsia="宋体" w:cs="宋体"/>
                <w:color w:val="000000" w:themeColor="text1"/>
                <w:szCs w:val="21"/>
                <w14:textFill>
                  <w14:solidFill>
                    <w14:schemeClr w14:val="tx1"/>
                  </w14:solidFill>
                </w14:textFill>
              </w:rPr>
              <w:t>至</w:t>
            </w:r>
            <w:r>
              <w:rPr>
                <w:rFonts w:hint="eastAsia" w:ascii="宋体" w:hAnsi="宋体" w:eastAsia="宋体" w:cs="宋体"/>
                <w:color w:val="000000" w:themeColor="text1"/>
                <w:szCs w:val="21"/>
                <w:lang w:val="en-US" w:eastAsia="zh-CN"/>
                <w14:textFill>
                  <w14:solidFill>
                    <w14:schemeClr w14:val="tx1"/>
                  </w14:solidFill>
                </w14:textFill>
              </w:rPr>
              <w:t>2025</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日</w:t>
            </w:r>
            <w:r>
              <w:rPr>
                <w:rFonts w:hint="eastAsia" w:ascii="宋体" w:hAnsi="宋体" w:eastAsia="宋体" w:cs="宋体"/>
                <w:color w:val="000000" w:themeColor="text1"/>
                <w:szCs w:val="21"/>
                <w:lang w:val="en-US" w:eastAsia="zh-CN"/>
                <w14:textFill>
                  <w14:solidFill>
                    <w14:schemeClr w14:val="tx1"/>
                  </w14:solidFill>
                </w14:textFill>
              </w:rPr>
              <w:t>17：00</w:t>
            </w:r>
            <w:r>
              <w:rPr>
                <w:rFonts w:hint="eastAsia" w:ascii="宋体" w:hAnsi="宋体" w:eastAsia="宋体" w:cs="宋体"/>
                <w:color w:val="000000" w:themeColor="text1"/>
                <w:szCs w:val="21"/>
                <w14:textFill>
                  <w14:solidFill>
                    <w14:schemeClr w14:val="tx1"/>
                  </w14:solidFill>
                </w14:textFill>
              </w:rPr>
              <w:t>（不含）。</w:t>
            </w:r>
          </w:p>
          <w:p w14:paraId="3F45477F">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★产品管理人有权根据市场情况提前结束或延长募集期并相应调整本理财产品成立日。</w:t>
            </w:r>
          </w:p>
          <w:p w14:paraId="6998FAAA">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★如经产品管理人判断需提前结束或延长募集期，产品管理人将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14:paraId="431D0C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51" w:type="dxa"/>
            <w:vAlign w:val="center"/>
          </w:tcPr>
          <w:p w14:paraId="2E95DE1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成立日</w:t>
            </w:r>
          </w:p>
        </w:tc>
        <w:tc>
          <w:tcPr>
            <w:tcW w:w="6633" w:type="dxa"/>
            <w:vAlign w:val="center"/>
          </w:tcPr>
          <w:p w14:paraId="638F6E0C">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2025</w:t>
            </w:r>
            <w:r>
              <w:rPr>
                <w:rFonts w:hint="eastAsia" w:ascii="宋体" w:hAnsi="宋体" w:cs="宋体"/>
                <w:bCs/>
                <w:color w:val="000000" w:themeColor="text1"/>
                <w:szCs w:val="21"/>
                <w14:textFill>
                  <w14:solidFill>
                    <w14:schemeClr w14:val="tx1"/>
                  </w14:solidFill>
                </w14:textFill>
              </w:rPr>
              <w:t>年</w:t>
            </w:r>
            <w:r>
              <w:rPr>
                <w:rFonts w:hint="eastAsia" w:ascii="宋体" w:hAnsi="宋体" w:cs="宋体"/>
                <w:bCs/>
                <w:color w:val="000000" w:themeColor="text1"/>
                <w:szCs w:val="21"/>
                <w:lang w:val="en-US" w:eastAsia="zh-CN"/>
                <w14:textFill>
                  <w14:solidFill>
                    <w14:schemeClr w14:val="tx1"/>
                  </w14:solidFill>
                </w14:textFill>
              </w:rPr>
              <w:t>11</w:t>
            </w:r>
            <w:r>
              <w:rPr>
                <w:rFonts w:hint="eastAsia" w:ascii="宋体" w:hAnsi="宋体" w:cs="宋体"/>
                <w:bCs/>
                <w:color w:val="000000" w:themeColor="text1"/>
                <w:szCs w:val="21"/>
                <w14:textFill>
                  <w14:solidFill>
                    <w14:schemeClr w14:val="tx1"/>
                  </w14:solidFill>
                </w14:textFill>
              </w:rPr>
              <w:t>月</w:t>
            </w:r>
            <w:r>
              <w:rPr>
                <w:rFonts w:hint="eastAsia" w:ascii="宋体" w:hAnsi="宋体" w:cs="宋体"/>
                <w:bCs/>
                <w:color w:val="000000" w:themeColor="text1"/>
                <w:szCs w:val="21"/>
                <w:lang w:val="en-US" w:eastAsia="zh-CN"/>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日。</w:t>
            </w:r>
          </w:p>
        </w:tc>
      </w:tr>
      <w:tr w14:paraId="78D70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51" w:type="dxa"/>
            <w:vAlign w:val="center"/>
          </w:tcPr>
          <w:p w14:paraId="75100BA9">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产品单位面值</w:t>
            </w:r>
          </w:p>
        </w:tc>
        <w:tc>
          <w:tcPr>
            <w:tcW w:w="6633" w:type="dxa"/>
            <w:vAlign w:val="center"/>
          </w:tcPr>
          <w:p w14:paraId="105F5A3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本理财产品的初始产品单位面值为1.00元/份。</w:t>
            </w:r>
          </w:p>
        </w:tc>
      </w:tr>
      <w:tr w14:paraId="69768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08B875D5">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投资起点</w:t>
            </w:r>
          </w:p>
        </w:tc>
        <w:tc>
          <w:tcPr>
            <w:tcW w:w="6633" w:type="dxa"/>
            <w:vAlign w:val="center"/>
          </w:tcPr>
          <w:p w14:paraId="2EC731B8">
            <w:pPr>
              <w:snapToGrid w:val="0"/>
              <w:spacing w:line="360" w:lineRule="auto"/>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F</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投资起点为</w:t>
            </w:r>
            <w:r>
              <w:rPr>
                <w:rFonts w:hint="eastAsia" w:ascii="宋体" w:hAnsi="宋体" w:cs="宋体"/>
                <w:bCs/>
                <w:color w:val="000000" w:themeColor="text1"/>
                <w:szCs w:val="21"/>
                <w:lang w:val="en-US" w:eastAsia="zh-CN"/>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元，并以</w:t>
            </w:r>
            <w:r>
              <w:rPr>
                <w:rFonts w:hint="eastAsia" w:ascii="宋体" w:hAnsi="宋体" w:cs="宋体"/>
                <w:bCs/>
                <w:color w:val="000000" w:themeColor="text1"/>
                <w:szCs w:val="21"/>
                <w:lang w:val="en-US" w:eastAsia="zh-CN"/>
                <w14:textFill>
                  <w14:solidFill>
                    <w14:schemeClr w14:val="tx1"/>
                  </w14:solidFill>
                </w14:textFill>
              </w:rPr>
              <w:t>0.01</w:t>
            </w:r>
            <w:r>
              <w:rPr>
                <w:rFonts w:hint="eastAsia" w:ascii="宋体" w:hAnsi="宋体" w:cs="宋体"/>
                <w:bCs/>
                <w:color w:val="000000" w:themeColor="text1"/>
                <w:szCs w:val="21"/>
                <w14:textFill>
                  <w14:solidFill>
                    <w14:schemeClr w14:val="tx1"/>
                  </w14:solidFill>
                </w14:textFill>
              </w:rPr>
              <w:t>元为单位递增</w:t>
            </w:r>
            <w:r>
              <w:rPr>
                <w:rFonts w:hint="eastAsia" w:ascii="宋体" w:hAnsi="宋体" w:cs="宋体"/>
                <w:bCs/>
                <w:color w:val="000000" w:themeColor="text1"/>
                <w:szCs w:val="21"/>
                <w:lang w:eastAsia="zh-CN"/>
                <w14:textFill>
                  <w14:solidFill>
                    <w14:schemeClr w14:val="tx1"/>
                  </w14:solidFill>
                </w14:textFill>
              </w:rPr>
              <w:t>；</w:t>
            </w:r>
          </w:p>
          <w:p w14:paraId="5E72E8CA">
            <w:pPr>
              <w:snapToGrid w:val="0"/>
              <w:spacing w:line="360" w:lineRule="auto"/>
              <w:rPr>
                <w:rFonts w:hint="eastAsia" w:ascii="宋体" w:hAnsi="宋体" w:eastAsia="宋体" w:cs="宋体"/>
                <w:bCs/>
                <w:color w:val="000000" w:themeColor="text1"/>
                <w:szCs w:val="21"/>
                <w:lang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S</w:t>
            </w:r>
            <w:r>
              <w:rPr>
                <w:rFonts w:hint="eastAsia" w:ascii="宋体" w:hAnsi="宋体" w:eastAsia="宋体" w:cs="宋体"/>
                <w:color w:val="000000" w:themeColor="text1"/>
                <w:lang w:eastAsia="zh-CN"/>
                <w14:textFill>
                  <w14:solidFill>
                    <w14:schemeClr w14:val="tx1"/>
                  </w14:solidFill>
                </w14:textFill>
              </w:rPr>
              <w:t>类份额</w:t>
            </w:r>
            <w:r>
              <w:rPr>
                <w:rFonts w:hint="eastAsia" w:ascii="宋体" w:hAnsi="宋体" w:eastAsia="宋体" w:cs="宋体"/>
                <w:color w:val="000000" w:themeColor="text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投资起点为</w:t>
            </w:r>
            <w:r>
              <w:rPr>
                <w:rFonts w:hint="eastAsia" w:ascii="宋体" w:hAnsi="宋体" w:cs="宋体"/>
                <w:bCs/>
                <w:color w:val="000000" w:themeColor="text1"/>
                <w:szCs w:val="21"/>
                <w:lang w:val="en-US" w:eastAsia="zh-CN"/>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元，并以</w:t>
            </w:r>
            <w:r>
              <w:rPr>
                <w:rFonts w:hint="eastAsia" w:ascii="宋体" w:hAnsi="宋体" w:cs="宋体"/>
                <w:bCs/>
                <w:color w:val="000000" w:themeColor="text1"/>
                <w:szCs w:val="21"/>
                <w:lang w:val="en-US" w:eastAsia="zh-CN"/>
                <w14:textFill>
                  <w14:solidFill>
                    <w14:schemeClr w14:val="tx1"/>
                  </w14:solidFill>
                </w14:textFill>
              </w:rPr>
              <w:t>0.01</w:t>
            </w:r>
            <w:r>
              <w:rPr>
                <w:rFonts w:hint="eastAsia" w:ascii="宋体" w:hAnsi="宋体" w:cs="宋体"/>
                <w:bCs/>
                <w:color w:val="000000" w:themeColor="text1"/>
                <w:szCs w:val="21"/>
                <w14:textFill>
                  <w14:solidFill>
                    <w14:schemeClr w14:val="tx1"/>
                  </w14:solidFill>
                </w14:textFill>
              </w:rPr>
              <w:t>元为单位递增</w:t>
            </w:r>
            <w:r>
              <w:rPr>
                <w:rFonts w:hint="eastAsia" w:ascii="宋体" w:hAnsi="宋体" w:cs="宋体"/>
                <w:bCs/>
                <w:color w:val="000000" w:themeColor="text1"/>
                <w:szCs w:val="21"/>
                <w:lang w:eastAsia="zh-CN"/>
                <w14:textFill>
                  <w14:solidFill>
                    <w14:schemeClr w14:val="tx1"/>
                  </w14:solidFill>
                </w14:textFill>
              </w:rPr>
              <w:t>。</w:t>
            </w:r>
          </w:p>
          <w:p w14:paraId="508F8359">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tc>
      </w:tr>
      <w:tr w14:paraId="1B7D5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70E477A3">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产品募集规模下限</w:t>
            </w:r>
          </w:p>
        </w:tc>
        <w:tc>
          <w:tcPr>
            <w:tcW w:w="6633" w:type="dxa"/>
            <w:vAlign w:val="center"/>
          </w:tcPr>
          <w:p w14:paraId="468D200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本理财产品募集规模下限为：</w:t>
            </w:r>
            <w:r>
              <w:rPr>
                <w:rFonts w:hint="eastAsia" w:ascii="宋体" w:hAnsi="宋体" w:cs="宋体"/>
                <w:bCs/>
                <w:color w:val="000000" w:themeColor="text1"/>
                <w:szCs w:val="21"/>
                <w:lang w:val="en-US" w:eastAsia="zh-CN"/>
                <w14:textFill>
                  <w14:solidFill>
                    <w14:schemeClr w14:val="tx1"/>
                  </w14:solidFill>
                </w14:textFill>
              </w:rPr>
              <w:t>不设下限</w:t>
            </w:r>
            <w:r>
              <w:rPr>
                <w:rFonts w:hint="eastAsia" w:ascii="宋体" w:hAnsi="宋体" w:cs="宋体"/>
                <w:bCs/>
                <w:color w:val="000000" w:themeColor="text1"/>
                <w:szCs w:val="21"/>
                <w14:textFill>
                  <w14:solidFill>
                    <w14:schemeClr w14:val="tx1"/>
                  </w14:solidFill>
                </w14:textFill>
              </w:rPr>
              <w:t>。</w:t>
            </w:r>
          </w:p>
          <w:p w14:paraId="251047DA">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★本理财产品募集期届满或产品管理人提前/延迟结束募集期时，若募集资金达到募集下限，</w:t>
            </w:r>
            <w:r>
              <w:rPr>
                <w:rFonts w:hint="eastAsia" w:ascii="宋体" w:hAnsi="宋体" w:cs="宋体"/>
                <w:color w:val="000000" w:themeColor="text1"/>
                <w14:textFill>
                  <w14:solidFill>
                    <w14:schemeClr w14:val="tx1"/>
                  </w14:solidFill>
                </w14:textFill>
              </w:rPr>
              <w:t>且不存在其他因素导致产品不成立的，</w:t>
            </w:r>
            <w:r>
              <w:rPr>
                <w:rFonts w:hint="eastAsia" w:ascii="宋体" w:hAnsi="宋体" w:cs="宋体"/>
                <w:bCs/>
                <w:color w:val="000000" w:themeColor="text1"/>
                <w14:textFill>
                  <w14:solidFill>
                    <w14:schemeClr w14:val="tx1"/>
                  </w14:solidFill>
                </w14:textFill>
              </w:rPr>
              <w:t>则本理财产品成立；否则，本理财产品不成立。</w:t>
            </w:r>
          </w:p>
          <w:p w14:paraId="28B55C2E">
            <w:pPr>
              <w:pStyle w:val="2"/>
              <w:spacing w:line="360" w:lineRule="auto"/>
              <w:ind w:left="0" w:leftChars="0" w:firstLine="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★产品管理人有权根据市场情况调整产品募集规模下限。</w:t>
            </w:r>
          </w:p>
        </w:tc>
      </w:tr>
      <w:tr w14:paraId="4FC49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20780FA5">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产品募集规模上限</w:t>
            </w:r>
          </w:p>
        </w:tc>
        <w:tc>
          <w:tcPr>
            <w:tcW w:w="6633" w:type="dxa"/>
            <w:vAlign w:val="center"/>
          </w:tcPr>
          <w:p w14:paraId="6FE3A857">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本理财产品募集规模上限为：</w:t>
            </w:r>
            <w:r>
              <w:rPr>
                <w:rFonts w:hint="eastAsia" w:ascii="宋体" w:hAnsi="宋体" w:cs="宋体"/>
                <w:bCs/>
                <w:color w:val="000000" w:themeColor="text1"/>
                <w:szCs w:val="21"/>
                <w:lang w:val="en-US" w:eastAsia="zh-CN"/>
                <w14:textFill>
                  <w14:solidFill>
                    <w14:schemeClr w14:val="tx1"/>
                  </w14:solidFill>
                </w14:textFill>
              </w:rPr>
              <w:t>500亿元</w:t>
            </w:r>
            <w:r>
              <w:rPr>
                <w:rFonts w:hint="eastAsia" w:ascii="宋体" w:hAnsi="宋体" w:cs="宋体"/>
                <w:bCs/>
                <w:color w:val="000000" w:themeColor="text1"/>
                <w:szCs w:val="21"/>
                <w14:textFill>
                  <w14:solidFill>
                    <w14:schemeClr w14:val="tx1"/>
                  </w14:solidFill>
                </w14:textFill>
              </w:rPr>
              <w:t>。</w:t>
            </w:r>
          </w:p>
          <w:p w14:paraId="1E86E6E9">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★产品管理人有权根据市场情况调整产品募集规模上限。</w:t>
            </w:r>
          </w:p>
        </w:tc>
      </w:tr>
      <w:tr w14:paraId="70A63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69912852">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开放日（T日）</w:t>
            </w:r>
          </w:p>
        </w:tc>
        <w:tc>
          <w:tcPr>
            <w:tcW w:w="6633" w:type="dxa"/>
            <w:vAlign w:val="center"/>
          </w:tcPr>
          <w:p w14:paraId="48219D40">
            <w:pPr>
              <w:spacing w:line="360" w:lineRule="auto"/>
              <w:rPr>
                <w:rFonts w:ascii="宋体" w:hAnsi="宋体" w:cs="宋体"/>
                <w:bCs/>
                <w:color w:val="000000" w:themeColor="text1"/>
                <w:szCs w:val="21"/>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自本理财产品成立起的每个证券交易所交易日（如为非交易日则相应顺延至下一交易日）</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w:t>
            </w:r>
          </w:p>
        </w:tc>
      </w:tr>
      <w:tr w14:paraId="6D3F3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14:paraId="44F74686">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★最低持有期</w:t>
            </w:r>
          </w:p>
        </w:tc>
        <w:tc>
          <w:tcPr>
            <w:tcW w:w="6633" w:type="dxa"/>
            <w:vAlign w:val="center"/>
          </w:tcPr>
          <w:p w14:paraId="10E74386">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指投资者每笔认购/申购的产品份额自认购/申购确认日（含）起，最低需持有</w:t>
            </w:r>
            <w:r>
              <w:rPr>
                <w:rFonts w:hint="eastAsia" w:ascii="宋体" w:hAnsi="宋体" w:cs="宋体"/>
                <w:b/>
                <w:bCs/>
                <w:color w:val="000000" w:themeColor="text1"/>
                <w:szCs w:val="21"/>
                <w:lang w:val="en-US" w:eastAsia="zh-CN"/>
                <w14:textFill>
                  <w14:solidFill>
                    <w14:schemeClr w14:val="tx1"/>
                  </w14:solidFill>
                </w14:textFill>
              </w:rPr>
              <w:t>21</w:t>
            </w:r>
            <w:r>
              <w:rPr>
                <w:rFonts w:hint="eastAsia" w:ascii="宋体" w:hAnsi="宋体" w:cs="宋体"/>
                <w:b/>
                <w:bCs/>
                <w:color w:val="000000" w:themeColor="text1"/>
                <w:szCs w:val="21"/>
                <w14:textFill>
                  <w14:solidFill>
                    <w14:schemeClr w14:val="tx1"/>
                  </w14:solidFill>
                </w14:textFill>
              </w:rPr>
              <w:t>个自然日。</w:t>
            </w:r>
          </w:p>
          <w:p w14:paraId="3FB20FF9">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★如最低持有期结束日为非开放日，投资者最低持有期限实际上可能长于</w:t>
            </w:r>
            <w:r>
              <w:rPr>
                <w:rFonts w:hint="eastAsia" w:ascii="宋体" w:hAnsi="宋体" w:cs="宋体"/>
                <w:b/>
                <w:bCs/>
                <w:color w:val="000000" w:themeColor="text1"/>
                <w:szCs w:val="21"/>
                <w:lang w:val="en-US" w:eastAsia="zh-CN"/>
                <w14:textFill>
                  <w14:solidFill>
                    <w14:schemeClr w14:val="tx1"/>
                  </w14:solidFill>
                </w14:textFill>
              </w:rPr>
              <w:t>21</w:t>
            </w:r>
            <w:r>
              <w:rPr>
                <w:rFonts w:hint="eastAsia" w:ascii="宋体" w:hAnsi="宋体" w:cs="宋体"/>
                <w:b/>
                <w:bCs/>
                <w:color w:val="000000" w:themeColor="text1"/>
                <w:szCs w:val="21"/>
                <w14:textFill>
                  <w14:solidFill>
                    <w14:schemeClr w14:val="tx1"/>
                  </w14:solidFill>
                </w14:textFill>
              </w:rPr>
              <w:t>个自然日。</w:t>
            </w:r>
          </w:p>
        </w:tc>
      </w:tr>
      <w:tr w14:paraId="12BFD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14:paraId="4F309DBF">
            <w:pPr>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交易时间</w:t>
            </w:r>
          </w:p>
        </w:tc>
        <w:tc>
          <w:tcPr>
            <w:tcW w:w="6633" w:type="dxa"/>
            <w:vAlign w:val="center"/>
          </w:tcPr>
          <w:p w14:paraId="60119795">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本理财产品认购交易时间为募集期开始日至结束日的每日</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（不含）；申购交易时间为开放日当日的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（不含）；赎回交易时间为最低持有期结束日（含）及后续每个开放日的</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（含）-</w:t>
            </w:r>
            <w:r>
              <w:rPr>
                <w:rFonts w:hint="eastAsia" w:ascii="宋体" w:hAnsi="宋体" w:cs="宋体"/>
                <w:color w:val="000000" w:themeColor="text1"/>
                <w:lang w:val="en-US" w:eastAsia="zh-CN"/>
                <w14:textFill>
                  <w14:solidFill>
                    <w14:schemeClr w14:val="tx1"/>
                  </w14:solidFill>
                </w14:textFill>
              </w:rPr>
              <w:t>17</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00（</w:t>
            </w:r>
            <w:r>
              <w:rPr>
                <w:rFonts w:hint="eastAsia" w:ascii="宋体" w:hAnsi="宋体" w:cs="宋体"/>
                <w:color w:val="000000" w:themeColor="text1"/>
                <w14:textFill>
                  <w14:solidFill>
                    <w14:schemeClr w14:val="tx1"/>
                  </w14:solidFill>
                </w14:textFill>
              </w:rPr>
              <w:t>不含），如最低持有期结束日为非开放日，则顺延至下一开放日。</w:t>
            </w:r>
          </w:p>
          <w:p w14:paraId="1F7E3BA4">
            <w:pPr>
              <w:pStyle w:val="2"/>
              <w:spacing w:line="360" w:lineRule="auto"/>
              <w:ind w:left="0" w:leftChars="0" w:firstLine="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★投资者通过销售机构购买本理财产品的，还应按照销售机构对于交易时间和交易申请的相关规定执行。</w:t>
            </w:r>
          </w:p>
          <w:p w14:paraId="3BD3AA47">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以上规则如有调整，</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提前1个工作日在本理财产品销售文件约定的信息披露渠道公告。</w:t>
            </w:r>
          </w:p>
        </w:tc>
      </w:tr>
      <w:tr w14:paraId="263E1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15DF3C5E">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业绩比较基准</w:t>
            </w:r>
          </w:p>
        </w:tc>
        <w:tc>
          <w:tcPr>
            <w:tcW w:w="6633" w:type="dxa"/>
            <w:vAlign w:val="center"/>
          </w:tcPr>
          <w:p w14:paraId="379099E7">
            <w:pPr>
              <w:spacing w:line="360" w:lineRule="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本理财产品业绩比较基准为</w:t>
            </w:r>
            <w:r>
              <w:rPr>
                <w:rFonts w:hint="eastAsia" w:ascii="宋体" w:hAnsi="宋体" w:eastAsia="宋体" w:cs="宋体"/>
                <w:color w:val="000000" w:themeColor="text1"/>
                <w:szCs w:val="21"/>
                <w:lang w:eastAsia="zh-CN"/>
                <w14:textFill>
                  <w14:solidFill>
                    <w14:schemeClr w14:val="tx1"/>
                  </w14:solidFill>
                </w14:textFill>
              </w:rPr>
              <w:t>：</w:t>
            </w:r>
          </w:p>
          <w:p w14:paraId="066FE0B2">
            <w:pPr>
              <w:spacing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F</w:t>
            </w:r>
            <w:r>
              <w:rPr>
                <w:rFonts w:hint="eastAsia" w:ascii="宋体" w:hAnsi="宋体" w:eastAsia="宋体" w:cs="宋体"/>
                <w:color w:val="000000" w:themeColor="text1"/>
                <w:sz w:val="21"/>
                <w:szCs w:val="21"/>
                <w:lang w:eastAsia="zh-CN"/>
                <w14:textFill>
                  <w14:solidFill>
                    <w14:schemeClr w14:val="tx1"/>
                  </w14:solidFill>
                </w14:textFill>
              </w:rPr>
              <w:t>类</w:t>
            </w:r>
            <w:r>
              <w:rPr>
                <w:rFonts w:hint="eastAsia" w:ascii="宋体" w:hAnsi="宋体" w:eastAsia="宋体" w:cs="宋体"/>
                <w:color w:val="000000" w:themeColor="text1"/>
                <w:sz w:val="21"/>
                <w:szCs w:val="21"/>
                <w14:textFill>
                  <w14:solidFill>
                    <w14:schemeClr w14:val="tx1"/>
                  </w14:solidFill>
                </w14:textFill>
              </w:rPr>
              <w:t>份额：</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60</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2.40</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p>
          <w:p w14:paraId="7ABBEC0A">
            <w:pPr>
              <w:spacing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S</w:t>
            </w:r>
            <w:r>
              <w:rPr>
                <w:rFonts w:hint="eastAsia" w:ascii="宋体" w:hAnsi="宋体" w:eastAsia="宋体" w:cs="宋体"/>
                <w:color w:val="000000" w:themeColor="text1"/>
                <w:sz w:val="21"/>
                <w:szCs w:val="21"/>
                <w:lang w:eastAsia="zh-CN"/>
                <w14:textFill>
                  <w14:solidFill>
                    <w14:schemeClr w14:val="tx1"/>
                  </w14:solidFill>
                </w14:textFill>
              </w:rPr>
              <w:t>类</w:t>
            </w:r>
            <w:r>
              <w:rPr>
                <w:rFonts w:hint="eastAsia" w:ascii="宋体" w:hAnsi="宋体" w:eastAsia="宋体" w:cs="宋体"/>
                <w:color w:val="000000" w:themeColor="text1"/>
                <w:sz w:val="21"/>
                <w:szCs w:val="21"/>
                <w14:textFill>
                  <w14:solidFill>
                    <w14:schemeClr w14:val="tx1"/>
                  </w14:solidFill>
                </w14:textFill>
              </w:rPr>
              <w:t>份额：</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70</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2.50</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p>
          <w:p w14:paraId="1B6B13C6">
            <w:pPr>
              <w:spacing w:line="36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本理财产品业绩比较基准是产品管理人在本《理财产品说明书》约定的投资范围内，根据产品投资策略、市场环境、各类资产的投资比例，并同时参考发行时已知的</w:t>
            </w:r>
            <w:r>
              <w:rPr>
                <w:rFonts w:hint="eastAsia" w:ascii="宋体" w:hAnsi="宋体" w:eastAsia="宋体" w:cs="宋体"/>
                <w:color w:val="000000" w:themeColor="text1"/>
                <w:sz w:val="21"/>
                <w:szCs w:val="21"/>
                <w14:textFill>
                  <w14:solidFill>
                    <w14:schemeClr w14:val="tx1"/>
                  </w14:solidFill>
                </w14:textFill>
              </w:rPr>
              <w:t>同业存单、信用债和存款等资产仓位不低于8</w:t>
            </w:r>
            <w:r>
              <w:rPr>
                <w:rFonts w:hint="eastAsia" w:ascii="宋体" w:hAnsi="宋体" w:eastAsia="宋体" w:cs="宋体"/>
                <w:color w:val="000000" w:themeColor="text1"/>
                <w:sz w:val="21"/>
                <w:szCs w:val="21"/>
                <w:lang w:val="en-US"/>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%为例</w:t>
            </w:r>
            <w:r>
              <w:rPr>
                <w:rFonts w:hint="eastAsia" w:ascii="宋体" w:hAnsi="宋体" w:eastAsia="宋体" w:cs="宋体"/>
                <w:color w:val="000000" w:themeColor="text1"/>
                <w:sz w:val="21"/>
                <w:szCs w:val="21"/>
                <w:lang w:val="en-US" w:eastAsia="zh-CN"/>
                <w14:textFill>
                  <w14:solidFill>
                    <w14:schemeClr w14:val="tx1"/>
                  </w14:solidFill>
                </w14:textFill>
              </w:rPr>
              <w:t>及</w:t>
            </w:r>
            <w:r>
              <w:rPr>
                <w:rFonts w:hint="eastAsia" w:ascii="宋体" w:hAnsi="宋体" w:eastAsia="宋体" w:cs="宋体"/>
                <w:color w:val="000000" w:themeColor="text1"/>
                <w:sz w:val="21"/>
                <w:szCs w:val="21"/>
                <w14:textFill>
                  <w14:solidFill>
                    <w14:schemeClr w14:val="tx1"/>
                  </w14:solidFill>
                </w14:textFill>
              </w:rPr>
              <w:t>中债-综合财富指数收益率、产品综合费率</w:t>
            </w:r>
            <w:r>
              <w:rPr>
                <w:rFonts w:hint="eastAsia" w:ascii="宋体" w:hAnsi="宋体" w:eastAsia="宋体" w:cs="宋体"/>
                <w:color w:val="000000" w:themeColor="text1"/>
                <w:sz w:val="21"/>
                <w:szCs w:val="21"/>
                <w:lang w:val="en-US" w:eastAsia="zh-CN"/>
                <w14:textFill>
                  <w14:solidFill>
                    <w14:schemeClr w14:val="tx1"/>
                  </w14:solidFill>
                </w14:textFill>
              </w:rPr>
              <w:t>等因素综合测算而得出。</w:t>
            </w:r>
          </w:p>
          <w:p w14:paraId="474E9C46">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★业绩比较基准是产品管理人基于产品性质、投资策略、过往经验、市场预判等因素对本理财产品设定的投资目标。</w:t>
            </w:r>
            <w:r>
              <w:rPr>
                <w:rFonts w:hint="eastAsia" w:ascii="宋体" w:hAnsi="宋体" w:cs="宋体"/>
                <w:b/>
                <w:bCs/>
                <w:color w:val="000000" w:themeColor="text1"/>
                <w:szCs w:val="21"/>
                <w14:textFill>
                  <w14:solidFill>
                    <w14:schemeClr w14:val="tx1"/>
                  </w14:solidFill>
                </w14:textFill>
              </w:rPr>
              <w:t>业绩比较基准不是预期收益率，不代表产品的未来表现和实际收益，不构成对产品收益的承诺</w:t>
            </w:r>
            <w:r>
              <w:rPr>
                <w:rFonts w:hint="eastAsia" w:ascii="宋体" w:hAnsi="宋体" w:cs="宋体"/>
                <w:b/>
                <w:bCs/>
                <w:color w:val="000000" w:themeColor="text1"/>
                <w:szCs w:val="21"/>
                <w:lang w:eastAsia="zh-Hans"/>
                <w14:textFill>
                  <w14:solidFill>
                    <w14:schemeClr w14:val="tx1"/>
                  </w14:solidFill>
                </w14:textFill>
              </w:rPr>
              <w:t>，投资</w:t>
            </w:r>
            <w:r>
              <w:rPr>
                <w:rFonts w:hint="eastAsia" w:ascii="宋体" w:hAnsi="宋体" w:cs="宋体"/>
                <w:b/>
                <w:bCs/>
                <w:color w:val="000000" w:themeColor="text1"/>
                <w:szCs w:val="21"/>
                <w14:textFill>
                  <w14:solidFill>
                    <w14:schemeClr w14:val="tx1"/>
                  </w14:solidFill>
                </w14:textFill>
              </w:rPr>
              <w:t>须</w:t>
            </w:r>
            <w:r>
              <w:rPr>
                <w:rFonts w:hint="eastAsia" w:ascii="宋体" w:hAnsi="宋体" w:cs="宋体"/>
                <w:b/>
                <w:bCs/>
                <w:color w:val="000000" w:themeColor="text1"/>
                <w:szCs w:val="21"/>
                <w:lang w:eastAsia="zh-Hans"/>
                <w14:textFill>
                  <w14:solidFill>
                    <w14:schemeClr w14:val="tx1"/>
                  </w14:solidFill>
                </w14:textFill>
              </w:rPr>
              <w:t>谨慎</w:t>
            </w:r>
            <w:r>
              <w:rPr>
                <w:rFonts w:hint="eastAsia" w:ascii="宋体" w:hAnsi="宋体" w:cs="宋体"/>
                <w:b/>
                <w:bCs/>
                <w:color w:val="000000" w:themeColor="text1"/>
                <w:szCs w:val="21"/>
                <w14:textFill>
                  <w14:solidFill>
                    <w14:schemeClr w14:val="tx1"/>
                  </w14:solidFill>
                </w14:textFill>
              </w:rPr>
              <w:t>。</w:t>
            </w:r>
          </w:p>
          <w:p w14:paraId="5BFF0E5C">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★如因产品投资策略、投资范围发生重大变化而确需调整业绩比较基准的</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产品管理人将</w:t>
            </w:r>
            <w:r>
              <w:rPr>
                <w:rFonts w:hint="eastAsia" w:ascii="宋体" w:hAnsi="宋体" w:cs="宋体"/>
                <w:color w:val="000000" w:themeColor="text1"/>
                <w:szCs w:val="21"/>
                <w:lang w:val="en-US" w:eastAsia="zh-CN"/>
                <w14:textFill>
                  <w14:solidFill>
                    <w14:schemeClr w14:val="tx1"/>
                  </w14:solidFill>
                </w14:textFill>
              </w:rPr>
              <w:t>根据相关法律法规、监管规定并</w:t>
            </w:r>
            <w:r>
              <w:rPr>
                <w:rFonts w:hint="eastAsia" w:ascii="宋体" w:hAnsi="宋体" w:cs="宋体"/>
                <w:color w:val="000000" w:themeColor="text1"/>
                <w:szCs w:val="21"/>
                <w14:textFill>
                  <w14:solidFill>
                    <w14:schemeClr w14:val="tx1"/>
                  </w14:solidFill>
                </w14:textFill>
              </w:rPr>
              <w:t>按照本理财产品销售文件约定的信息披露渠道及时履行向理财产品持有人的告知义务。</w:t>
            </w:r>
          </w:p>
        </w:tc>
      </w:tr>
      <w:tr w14:paraId="0663C9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0FAD6B0B">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收益分配方式</w:t>
            </w:r>
          </w:p>
        </w:tc>
        <w:tc>
          <w:tcPr>
            <w:tcW w:w="6633" w:type="dxa"/>
            <w:vAlign w:val="center"/>
          </w:tcPr>
          <w:p w14:paraId="1C06D2E3">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tc>
      </w:tr>
      <w:tr w14:paraId="5F5A2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4C0CC892">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★产品费用</w:t>
            </w:r>
          </w:p>
        </w:tc>
        <w:tc>
          <w:tcPr>
            <w:tcW w:w="6633" w:type="dxa"/>
            <w:vAlign w:val="center"/>
          </w:tcPr>
          <w:p w14:paraId="1A9CEC6B">
            <w:pPr>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★1.销售手续费率（销售机构收取）：</w:t>
            </w:r>
          </w:p>
          <w:p w14:paraId="7873923F">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F</w:t>
            </w:r>
            <w:r>
              <w:rPr>
                <w:rFonts w:hint="eastAsia" w:ascii="宋体" w:hAnsi="宋体" w:cs="宋体"/>
                <w:color w:val="000000" w:themeColor="text1"/>
                <w:szCs w:val="21"/>
                <w:lang w:eastAsia="zh-CN"/>
                <w14:textFill>
                  <w14:solidFill>
                    <w14:schemeClr w14:val="tx1"/>
                  </w14:solidFill>
                </w14:textFill>
              </w:rPr>
              <w:t>类份额</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0.20</w:t>
            </w:r>
            <w:r>
              <w:rPr>
                <w:rFonts w:hint="eastAsia" w:ascii="宋体" w:hAnsi="宋体" w:cs="宋体"/>
                <w:color w:val="000000" w:themeColor="text1"/>
                <w:szCs w:val="21"/>
                <w14:textFill>
                  <w14:solidFill>
                    <w14:schemeClr w14:val="tx1"/>
                  </w14:solidFill>
                </w14:textFill>
              </w:rPr>
              <w:t>%/年</w:t>
            </w:r>
            <w:r>
              <w:rPr>
                <w:rFonts w:hint="eastAsia" w:ascii="宋体" w:hAnsi="宋体" w:eastAsia="宋体" w:cs="宋体"/>
                <w:color w:val="000000" w:themeColor="text1"/>
                <w:sz w:val="21"/>
                <w:szCs w:val="21"/>
                <w:lang w:eastAsia="zh-CN"/>
                <w14:textFill>
                  <w14:solidFill>
                    <w14:schemeClr w14:val="tx1"/>
                  </w14:solidFill>
                </w14:textFill>
              </w:rPr>
              <w:t>；</w:t>
            </w:r>
          </w:p>
          <w:p w14:paraId="6EB80D63">
            <w:pPr>
              <w:spacing w:line="360" w:lineRule="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S</w:t>
            </w:r>
            <w:r>
              <w:rPr>
                <w:rFonts w:hint="eastAsia" w:ascii="宋体" w:hAnsi="宋体" w:cs="宋体"/>
                <w:color w:val="000000" w:themeColor="text1"/>
                <w:szCs w:val="21"/>
                <w:lang w:eastAsia="zh-CN"/>
                <w14:textFill>
                  <w14:solidFill>
                    <w14:schemeClr w14:val="tx1"/>
                  </w14:solidFill>
                </w14:textFill>
              </w:rPr>
              <w:t>类份额</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0.10</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lang w:eastAsia="zh-CN"/>
                <w14:textFill>
                  <w14:solidFill>
                    <w14:schemeClr w14:val="tx1"/>
                  </w14:solidFill>
                </w14:textFill>
              </w:rPr>
              <w:t>。</w:t>
            </w:r>
          </w:p>
          <w:p w14:paraId="5D9BFD77">
            <w:pPr>
              <w:spacing w:line="360" w:lineRule="auto"/>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★2.固定管理费率（产品管理人收取）：</w:t>
            </w:r>
            <w:r>
              <w:rPr>
                <w:rFonts w:hint="eastAsia" w:ascii="宋体" w:hAnsi="宋体" w:cs="宋体"/>
                <w:color w:val="000000" w:themeColor="text1"/>
                <w:szCs w:val="21"/>
                <w:lang w:val="en-US" w:eastAsia="zh-CN"/>
                <w14:textFill>
                  <w14:solidFill>
                    <w14:schemeClr w14:val="tx1"/>
                  </w14:solidFill>
                </w14:textFill>
              </w:rPr>
              <w:t>0.16</w:t>
            </w:r>
            <w:r>
              <w:rPr>
                <w:rFonts w:hint="eastAsia" w:ascii="宋体" w:hAnsi="宋体" w:cs="宋体"/>
                <w:color w:val="000000" w:themeColor="text1"/>
                <w:szCs w:val="21"/>
                <w14:textFill>
                  <w14:solidFill>
                    <w14:schemeClr w14:val="tx1"/>
                  </w14:solidFill>
                </w14:textFill>
              </w:rPr>
              <w:t>%/年</w:t>
            </w:r>
          </w:p>
          <w:p w14:paraId="4280FD41">
            <w:pPr>
              <w:pStyle w:val="13"/>
              <w:numPr>
                <w:ilvl w:val="255"/>
                <w:numId w:val="0"/>
              </w:num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★3.托管费率（产品托管人收取）：</w:t>
            </w:r>
            <w:r>
              <w:rPr>
                <w:rFonts w:hint="eastAsia" w:ascii="宋体" w:hAnsi="宋体" w:eastAsia="宋体" w:cs="宋体"/>
                <w:color w:val="000000" w:themeColor="text1"/>
                <w:kern w:val="2"/>
                <w:sz w:val="21"/>
                <w:szCs w:val="21"/>
                <w:lang w:val="en-US" w:eastAsia="zh-CN" w:bidi="ar-SA"/>
                <w14:textFill>
                  <w14:solidFill>
                    <w14:schemeClr w14:val="tx1"/>
                  </w14:solidFill>
                </w14:textFill>
              </w:rPr>
              <w:t>0.03%/年</w:t>
            </w:r>
          </w:p>
          <w:p w14:paraId="5956D531">
            <w:pPr>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★4.超额业绩报酬（产品管理人收取，如有）：</w:t>
            </w: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14:paraId="53C839FA">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★5.管理成本费用（相关机构收取）：</w:t>
            </w:r>
            <w:r>
              <w:rPr>
                <w:rFonts w:hint="eastAsia" w:ascii="宋体" w:hAnsi="宋体" w:cs="宋体"/>
                <w:color w:val="000000" w:themeColor="text1"/>
                <w:szCs w:val="21"/>
                <w14:textFill>
                  <w14:solidFill>
                    <w14:schemeClr w14:val="tx1"/>
                  </w14:solidFill>
                </w14:textFill>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302C08F6">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★6.其他成本费用（产品支付）：</w:t>
            </w:r>
            <w:r>
              <w:rPr>
                <w:rFonts w:hint="eastAsia" w:ascii="宋体" w:hAnsi="宋体" w:cs="宋体"/>
                <w:color w:val="000000" w:themeColor="text1"/>
                <w:szCs w:val="21"/>
                <w14:textFill>
                  <w14:solidFill>
                    <w14:schemeClr w14:val="tx1"/>
                  </w14:solidFill>
                </w14:textFill>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685897E7">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★产品费用详情请见本《理财产品说明书》“九、产品的费用”部分。</w:t>
            </w:r>
          </w:p>
        </w:tc>
      </w:tr>
      <w:tr w14:paraId="46E40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51" w:type="dxa"/>
            <w:vAlign w:val="center"/>
          </w:tcPr>
          <w:p w14:paraId="1F88946D">
            <w:pPr>
              <w:snapToGrid w:val="0"/>
              <w:spacing w:line="360" w:lineRule="auto"/>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税款</w:t>
            </w:r>
          </w:p>
        </w:tc>
        <w:tc>
          <w:tcPr>
            <w:tcW w:w="6633" w:type="dxa"/>
            <w:vAlign w:val="center"/>
          </w:tcPr>
          <w:p w14:paraId="195B7313">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运作过程中涉及的各纳税主体，其纳税义务按国家税收法律、法规执行。本理财产品运营过程中发生的应由本理财产品承担的增值税应税行为，由产品管理人申报和缴纳增值税及附加税费，该等税款直接从本理财产品账户中扣付缴纳。除法律法规特别要求外，投资者从本理财产品取得的收益应纳税款由投资者自行申报及缴纳，产品管理人不承担相关代扣代缴或纳税义务。</w:t>
            </w:r>
          </w:p>
        </w:tc>
      </w:tr>
    </w:tbl>
    <w:p w14:paraId="6AC243CE">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四、产品的投资运作</w:t>
      </w:r>
    </w:p>
    <w:p w14:paraId="4E97445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（一）投资范围</w:t>
      </w:r>
    </w:p>
    <w:p w14:paraId="48C3B69B">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本理财产品可投资于境内外市场发行的固定收益类资产、权益类资产和商品及金融衍生品类资产，具体包括：</w:t>
      </w:r>
      <w:r>
        <w:rPr>
          <w:rFonts w:hint="eastAsia" w:ascii="宋体" w:hAnsi="宋体" w:eastAsia="宋体" w:cs="宋体"/>
          <w:color w:val="000000" w:themeColor="text1"/>
          <w:szCs w:val="21"/>
          <w:lang w:val="en-US" w:eastAsia="zh-CN"/>
          <w14:textFill>
            <w14:solidFill>
              <w14:schemeClr w14:val="tx1"/>
            </w14:solidFill>
          </w14:textFill>
        </w:rPr>
        <w:cr/>
      </w:r>
      <w:r>
        <w:rPr>
          <w:rFonts w:hint="eastAsia" w:ascii="宋体" w:hAnsi="宋体" w:eastAsia="宋体" w:cs="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固定收益类资产，包括但不限于银行存款、同业存款、大额存单、资金拆借、债券回购等货币市场工具；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货币型公募证券投资基金、债券型公募证券投资基金；</w:t>
      </w:r>
      <w:r>
        <w:rPr>
          <w:rFonts w:hint="eastAsia" w:ascii="宋体" w:hAnsi="宋体" w:eastAsia="宋体" w:cs="宋体"/>
          <w:color w:val="000000" w:themeColor="text1"/>
          <w:kern w:val="2"/>
          <w:sz w:val="21"/>
          <w:szCs w:val="21"/>
          <w:lang w:val="en-US" w:eastAsia="zh-CN" w:bidi="ar-SA"/>
          <w14:textFill>
            <w14:solidFill>
              <w14:schemeClr w14:val="tx1"/>
            </w14:solidFill>
          </w14:textFill>
        </w:rPr>
        <w:cr/>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权益类资产，仅限于境内外发行的优先股；</w:t>
      </w:r>
      <w:r>
        <w:rPr>
          <w:rFonts w:hint="eastAsia" w:ascii="宋体" w:hAnsi="宋体" w:eastAsia="宋体" w:cs="宋体"/>
          <w:color w:val="000000" w:themeColor="text1"/>
          <w:kern w:val="2"/>
          <w:sz w:val="21"/>
          <w:szCs w:val="21"/>
          <w:lang w:val="en-US" w:eastAsia="zh-CN" w:bidi="ar-SA"/>
          <w14:textFill>
            <w14:solidFill>
              <w14:schemeClr w14:val="tx1"/>
            </w14:solidFill>
          </w14:textFill>
        </w:rPr>
        <w:cr/>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商品及金融衍生品类资产，包括但不限于期货、期权、远期、互换、风险缓释工具等。</w:t>
      </w:r>
      <w:r>
        <w:rPr>
          <w:rFonts w:hint="eastAsia" w:ascii="宋体" w:hAnsi="宋体" w:eastAsia="宋体" w:cs="宋体"/>
          <w:color w:val="000000" w:themeColor="text1"/>
          <w:kern w:val="2"/>
          <w:sz w:val="21"/>
          <w:szCs w:val="21"/>
          <w:lang w:val="en-US" w:eastAsia="zh-CN" w:bidi="ar-SA"/>
          <w14:textFill>
            <w14:solidFill>
              <w14:schemeClr w14:val="tx1"/>
            </w14:solidFill>
          </w14:textFill>
        </w:rPr>
        <w:cr/>
      </w:r>
      <w:r>
        <w:rPr>
          <w:rFonts w:hint="eastAsia" w:ascii="宋体" w:hAnsi="宋体" w:eastAsia="宋体" w:cs="宋体"/>
          <w:color w:val="000000" w:themeColor="text1"/>
          <w:kern w:val="2"/>
          <w:sz w:val="21"/>
          <w:szCs w:val="21"/>
          <w:lang w:val="en-US" w:eastAsia="zh-CN" w:bidi="ar-SA"/>
          <w14:textFill>
            <w14:solidFill>
              <w14:schemeClr w14:val="tx1"/>
            </w14:solidFill>
          </w14:textFill>
        </w:rPr>
        <w:t xml:space="preserve">    本理财产品可投资于以上述资产为投资对象的公募证券投资基金及其他资产管理产品。</w:t>
      </w:r>
    </w:p>
    <w:p w14:paraId="1C6F7F6A">
      <w:pPr>
        <w:pStyle w:val="2"/>
        <w:spacing w:line="360" w:lineRule="auto"/>
        <w:ind w:left="0" w:leftChars="0" w:firstLine="420" w:firstLineChars="200"/>
        <w:rPr>
          <w:rFonts w:hint="eastAsia" w:ascii="宋体" w:hAnsi="宋体" w:eastAsia="宋体" w:cs="宋体"/>
          <w:color w:val="000000" w:themeColor="text1"/>
          <w:sz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如因所持可转换债券与可交换债券转股导致不符合上述投资范围的，产品管理人将在股票可上市交易后10个交易日内调整至重新符合上述约定。</w:t>
      </w:r>
    </w:p>
    <w:p w14:paraId="36E97288">
      <w:pPr>
        <w:spacing w:line="360" w:lineRule="auto"/>
        <w:ind w:left="479" w:leftChars="228" w:firstLine="0" w:firstLineChars="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（二）投资比例</w:t>
      </w:r>
    </w:p>
    <w:p w14:paraId="64AC067F">
      <w:pPr>
        <w:spacing w:line="360" w:lineRule="auto"/>
        <w:ind w:left="479" w:leftChars="228" w:firstLine="0" w:firstLineChars="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1.直接或间接投资于固定收益类资产的比例为8</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lang w:val="en-US" w:eastAsia="zh-CN"/>
          <w14:textFill>
            <w14:solidFill>
              <w14:schemeClr w14:val="tx1"/>
            </w14:solidFill>
          </w14:textFill>
        </w:rPr>
        <w:t>%-100%。</w:t>
      </w:r>
    </w:p>
    <w:p w14:paraId="3FA0EC20">
      <w:pPr>
        <w:spacing w:line="360" w:lineRule="auto"/>
        <w:ind w:left="479" w:leftChars="228" w:firstLine="0" w:firstLineChars="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2.直接或间接投资于权益类资产的比例为0%-</w:t>
      </w:r>
      <w:r>
        <w:rPr>
          <w:rFonts w:hint="eastAsia" w:ascii="宋体" w:hAnsi="宋体" w:cs="宋体"/>
          <w:color w:val="000000" w:themeColor="text1"/>
          <w:szCs w:val="21"/>
          <w:lang w:val="en-US" w:eastAsia="zh-CN"/>
          <w14:textFill>
            <w14:solidFill>
              <w14:schemeClr w14:val="tx1"/>
            </w14:solidFill>
          </w14:textFill>
        </w:rPr>
        <w:t>15</w:t>
      </w:r>
      <w:r>
        <w:rPr>
          <w:rFonts w:hint="eastAsia" w:ascii="宋体" w:hAnsi="宋体" w:eastAsia="宋体" w:cs="宋体"/>
          <w:color w:val="000000" w:themeColor="text1"/>
          <w:szCs w:val="21"/>
          <w:lang w:val="en-US" w:eastAsia="zh-CN"/>
          <w14:textFill>
            <w14:solidFill>
              <w14:schemeClr w14:val="tx1"/>
            </w14:solidFill>
          </w14:textFill>
        </w:rPr>
        <w:t>%。</w:t>
      </w:r>
    </w:p>
    <w:p w14:paraId="61743EAD">
      <w:pPr>
        <w:spacing w:line="360" w:lineRule="auto"/>
        <w:ind w:firstLine="420" w:firstLineChars="2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3.直接或间接投资于商品及金融衍生品类资产的比例为0%-15%，且仅限于从事套期保值类衍生产品交易。</w:t>
      </w:r>
    </w:p>
    <w:p w14:paraId="1B0B51A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特别提示：1.非因产品管理人原因导致本理财产品销售文件项下理财产品投资突破前述投资比例限制的，产品管理人将在所投资的流动性受限资产可出售、可转让或者恢复交易之日起15个交易日内调整至上述投资比例内；</w:t>
      </w:r>
    </w:p>
    <w:p w14:paraId="12C9399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2.在本理财产品存续期内，金融市场发生重大变化导致前述投资比例暂时超出浮动区间且可能对本理财产品收益产生重大影响的，产品管理人将根据本理财产品销售文件约定向投资者进行信息披露。</w:t>
      </w:r>
    </w:p>
    <w:p w14:paraId="1EA9E50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3.本理财产品将会在产品成立日起的</w:t>
      </w:r>
      <w:r>
        <w:rPr>
          <w:rFonts w:hint="eastAsia" w:ascii="宋体" w:hAnsi="宋体" w:cs="宋体"/>
          <w:color w:val="000000" w:themeColor="text1"/>
          <w:szCs w:val="21"/>
          <w:lang w:val="en-US" w:eastAsia="zh-CN"/>
          <w14:textFill>
            <w14:solidFill>
              <w14:schemeClr w14:val="tx1"/>
            </w14:solidFill>
          </w14:textFill>
        </w:rPr>
        <w:t>7个交易日</w:t>
      </w:r>
      <w:r>
        <w:rPr>
          <w:rFonts w:hint="eastAsia" w:ascii="宋体" w:hAnsi="宋体" w:eastAsia="宋体" w:cs="宋体"/>
          <w:color w:val="000000" w:themeColor="text1"/>
          <w:szCs w:val="21"/>
          <w14:textFill>
            <w14:solidFill>
              <w14:schemeClr w14:val="tx1"/>
            </w14:solidFill>
          </w14:textFill>
        </w:rPr>
        <w:t>内使资产配置比例符合上述规定。</w:t>
      </w:r>
    </w:p>
    <w:p w14:paraId="08889EC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（三）投资策略</w:t>
      </w:r>
    </w:p>
    <w:p w14:paraId="1043E49C">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本理财产品在综合分析国家宏观经济形势、财政以及货币政策的基础上，采用“配置为主、交易增强”的投资策略，产品运作期间，视资金成本情况，适度采用杠杆策略，以获取超额收益。</w:t>
      </w:r>
    </w:p>
    <w:p w14:paraId="26AC50A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1.资产配置策略</w:t>
      </w:r>
    </w:p>
    <w:p w14:paraId="572EE93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从宏观环境、政策因素、资金供求因素、证券市场基本面等角度进行综合分析，判断各类资产的市场趋势和预期风险收益，在严格控制风险的前提下，确定投资组合在债券、基金、现金、衍生工具等资产类别的投资比例，并根据宏观经济形势和市场时机的变化适时进行动态调整。</w:t>
      </w:r>
    </w:p>
    <w:p w14:paraId="2C4826F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2.信用投资策略</w:t>
      </w:r>
    </w:p>
    <w:p w14:paraId="463FF3DF">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根据产品管理人的内部信用评级标准，辅以外部信用评级，研究债权资产发行主体的信用状况，平衡风险与收益选择信用风险适当的主体和券种作为投资对象。</w:t>
      </w:r>
    </w:p>
    <w:p w14:paraId="2C1652E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3.久期配置策略</w:t>
      </w:r>
    </w:p>
    <w:p w14:paraId="49FB630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本理财产品将基于对市场利率变化趋势的预判，分析债券市场的反映，并据此对债券组合的久期进行调整，从而获取利率下行导致债券价格上升带来的收益，并缓解利率上行导致债券价格下降的风险。</w:t>
      </w:r>
    </w:p>
    <w:p w14:paraId="3E2CF93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.杠杆配置策略</w:t>
      </w:r>
    </w:p>
    <w:p w14:paraId="20BDB56D">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资金成本预测，通过融入短期资金，适度运用杠杆策略增厚组合收益，从而获得杠杆放大收益；产品管理人将根据市场利率水平以及对利率期限结构的预期等，对杠杆比例适时进行调整，尽可能平滑投资组合的净值波动。</w:t>
      </w:r>
    </w:p>
    <w:p w14:paraId="2BBD501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衍生品对冲策略</w:t>
      </w:r>
    </w:p>
    <w:p w14:paraId="751AA88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产品管理人根据对未来市场利率走势的判断，择机使用一定仓位的衍生品对冲，以期降低组合的久期暴露从而减少净值波动。</w:t>
      </w:r>
    </w:p>
    <w:p w14:paraId="7F20602E">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（四）投资限制</w:t>
      </w:r>
    </w:p>
    <w:p w14:paraId="00F1FC22">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1.投资集中度限制</w:t>
      </w:r>
    </w:p>
    <w:p w14:paraId="6DC7019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（1）本理财产品投资于单只证券或者单只公募证券投资基金的市值不得超过本理财产品净资产的10%。</w:t>
      </w:r>
    </w:p>
    <w:p w14:paraId="17AD5DF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w:t>
      </w:r>
    </w:p>
    <w:p w14:paraId="0F1AE009">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（3）产品管理人发行的全部理财产品投资单一上市公司发行的股票，不得超过该上市公司可流通股票的30%。</w:t>
      </w:r>
    </w:p>
    <w:p w14:paraId="4B01973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投资于国债、地方政府债券、中央银行票据、政府机构债券、政策性金融债券以及完全按照有关指数的构成比例进行投资的不受上述（1）（2）（3）项限制。</w:t>
      </w:r>
    </w:p>
    <w:p w14:paraId="38DDFDE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2.投资杠杆率限制</w:t>
      </w:r>
    </w:p>
    <w:p w14:paraId="2DA9FDF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本理财产品的杠杆水平不得超过140%。</w:t>
      </w:r>
    </w:p>
    <w:p w14:paraId="0492972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3.投资比例限制</w:t>
      </w:r>
    </w:p>
    <w:p w14:paraId="69B943C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（1）本理财产品持有现金或者到期日在一年以内的国债、中央银行票据和政策性金融债券占本理财产品资产净值不低于5%。</w:t>
      </w:r>
    </w:p>
    <w:p w14:paraId="221D9A6D">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（2）本理财产品直接投资于流动性受限资产的市值在开放日不得超过本理财产品资产净值的15%。</w:t>
      </w:r>
    </w:p>
    <w:p w14:paraId="09258746">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（3）在开放日前一工作日内，本理财产品7个工作日可变现资产的可变现价值应当不低于本理财产品资产净值的10%。</w:t>
      </w:r>
    </w:p>
    <w:p w14:paraId="27F2AEE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（4）本理财产品若投资不存在活跃交易市场，并且需要采用估值技术确定公允价值的资产，其投资比例应低于本理财产品净资产的50%。</w:t>
      </w:r>
    </w:p>
    <w:p w14:paraId="423FD92B">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4.法律法规及国家金融监督管理总局规定的其他投资限制。</w:t>
      </w:r>
    </w:p>
    <w:p w14:paraId="6824C250">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★特别提示：</w:t>
      </w:r>
    </w:p>
    <w:p w14:paraId="7E8655B4">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1.非因产品管理人主观因素导致本理财产品突破前述第1点比例限制的，本理财产品的产品管理人将在所投资的流动性受限资产可出售、可转让或者恢复交易之日起10个交易日内调整至符合上述投资限制。</w:t>
      </w:r>
      <w:r>
        <w:rPr>
          <w:rFonts w:hint="eastAsia" w:ascii="宋体" w:hAnsi="宋体" w:eastAsia="宋体" w:cs="宋体"/>
          <w:color w:val="000000" w:themeColor="text1"/>
          <w:szCs w:val="21"/>
          <w:lang w:val="en-US" w:eastAsia="zh-CN"/>
          <w14:textFill>
            <w14:solidFill>
              <w14:schemeClr w14:val="tx1"/>
            </w14:solidFill>
          </w14:textFill>
        </w:rPr>
        <w:t>金融监督管理部门另有规定的除外。</w:t>
      </w:r>
    </w:p>
    <w:p w14:paraId="43C2A88A">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2.因证券市场波动、上市公司股票停牌、理财产品规模变动等因素导致本理财产品不符合第3（2）点比例限制的，产品管理人不得主动新增投资流动性受限资产。</w:t>
      </w:r>
    </w:p>
    <w:p w14:paraId="43D9F50E">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3.非因产品管理人主观因素导致本理财产品突破前述第3（4）点比例限制的，本理财产品不得新增投资不存在活跃交易市场并且需要采用估值技术确定公允价值的资产。</w:t>
      </w:r>
    </w:p>
    <w:p w14:paraId="20291593">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4.本理财产品的上述投资限制将有可能随国家法律法规及监管政策的变化而产生变化，如发生变化，产品管理人将及时进行信息披露。</w:t>
      </w:r>
    </w:p>
    <w:p w14:paraId="584840E1">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（五）投资目标</w:t>
      </w:r>
    </w:p>
    <w:p w14:paraId="0CEAEF01">
      <w:pPr>
        <w:spacing w:line="360" w:lineRule="auto"/>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以投资价值分析为基础，宏观与微观、定性与定量相结合，进行主动式管理，在追求理财投资资产稳定增值的基础上，为投资者获得较高的收益。</w:t>
      </w:r>
    </w:p>
    <w:p w14:paraId="56D0E572">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五、产品的募集和认购</w:t>
      </w:r>
    </w:p>
    <w:p w14:paraId="12B3657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（一）投资者在指定向北银理财申请购买本理财产品销售文件项下的理财产品时应已经在代销机构开立活期存款账户。</w:t>
      </w:r>
    </w:p>
    <w:p w14:paraId="4F4E0D9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应指定其开立在代销机构的相关账户作为清算账户。该账户用于产品管理人和投资者之间根据本理财产品销售文件办理投资金额与清算分配金额等款项收付。投资者同意，代销机构制作的该账户收款、付款记录是证明该账户项下款项收付的有效凭证。</w:t>
      </w:r>
    </w:p>
    <w:p w14:paraId="10F4EFEA">
      <w:pPr>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（三）本理财产品认购金额要求：投资者购买本理财产品</w:t>
      </w:r>
      <w:r>
        <w:rPr>
          <w:rFonts w:hint="eastAsia" w:ascii="宋体" w:hAnsi="宋体" w:cs="宋体"/>
          <w:color w:val="000000" w:themeColor="text1"/>
          <w:szCs w:val="21"/>
          <w:lang w:eastAsia="zh-CN"/>
          <w14:textFill>
            <w14:solidFill>
              <w14:schemeClr w14:val="tx1"/>
            </w14:solidFill>
          </w14:textFill>
        </w:rPr>
        <w:t>A类份额</w:t>
      </w:r>
      <w:r>
        <w:rPr>
          <w:rFonts w:hint="eastAsia" w:ascii="宋体" w:hAnsi="宋体" w:cs="宋体"/>
          <w:color w:val="000000" w:themeColor="text1"/>
          <w:szCs w:val="21"/>
          <w14:textFill>
            <w14:solidFill>
              <w14:schemeClr w14:val="tx1"/>
            </w14:solidFill>
          </w14:textFill>
        </w:rPr>
        <w:t>的投资起点为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r>
        <w:rPr>
          <w:rFonts w:hint="eastAsia" w:ascii="宋体" w:hAnsi="宋体" w:cs="宋体"/>
          <w:bCs/>
          <w:color w:val="000000" w:themeColor="text1"/>
          <w:szCs w:val="21"/>
          <w14:textFill>
            <w14:solidFill>
              <w14:schemeClr w14:val="tx1"/>
            </w14:solidFill>
          </w14:textFill>
        </w:rPr>
        <w:t>。</w:t>
      </w:r>
    </w:p>
    <w:p w14:paraId="442EE69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★如销售机构另有要求的，实际投资起点金额及递增金额应当以销售机构展示/提示为准，但不得低于本理财产品销售文件约定的投资起点金额及递增金额。</w:t>
      </w:r>
    </w:p>
    <w:p w14:paraId="28B5E5C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（四）认购份额的计算：认购份额=认购金额/产品单位面值，本理财产品成立日的产品单位面值为1.00元，认购份额以四舍五入的方法保留到小数点后两位。实际认购份额以产品管理人确认的份额为准。</w:t>
      </w:r>
    </w:p>
    <w:p w14:paraId="309572B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（五）认购费用：</w:t>
      </w:r>
      <w:r>
        <w:rPr>
          <w:rFonts w:hint="eastAsia" w:ascii="宋体" w:hAnsi="宋体" w:cs="宋体"/>
          <w:color w:val="000000" w:themeColor="text1"/>
          <w:szCs w:val="21"/>
          <w:lang w:val="en-US" w:eastAsia="zh-CN"/>
          <w14:textFill>
            <w14:solidFill>
              <w14:schemeClr w14:val="tx1"/>
            </w14:solidFill>
          </w14:textFill>
        </w:rPr>
        <w:t>本理财产品暂不收取认购费用。</w:t>
      </w:r>
    </w:p>
    <w:p w14:paraId="207EA6F2">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六）受理时间和确认时间：投资者可在认购交易时间内购买本理财产品。通过代销机构渠道销售本理财产品的，代销机构有权冻结认购款项，并于本理财产品成立日由代销机构划款。销售机构受理认购申请并不代表对该申请成功的确认，而仅代表其收到了认购申请，申请是否成功应以产品管理人的系统确认为准。产品管理人在本理财产品成立日确认产品份额。</w:t>
      </w:r>
    </w:p>
    <w:p w14:paraId="2FE31733">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若因本理财产品销售文件约定的特殊情况（包括但不限于单一投资者认（申）购金额、比例或产品募集上限等条件、产品不成立，以及在认（申）购期内发生的有权机关查封、冻结、扣划等情况）发生，导致投资者全部或部分认（申）购失败的，如资金已划转至产品管理人，产品管理人将于本产品成立日起2个工作日内将对应资金退回</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机构，由</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机构退回投资者；如资金尚未划转至产品管理人，则由</w:t>
      </w:r>
      <w:r>
        <w:rPr>
          <w:rFonts w:hint="eastAsia" w:ascii="宋体" w:hAnsi="宋体" w:cs="宋体"/>
          <w:color w:val="000000" w:themeColor="text1"/>
          <w:szCs w:val="21"/>
          <w:lang w:val="en-US" w:eastAsia="zh-CN"/>
          <w14:textFill>
            <w14:solidFill>
              <w14:schemeClr w14:val="tx1"/>
            </w14:solidFill>
          </w14:textFill>
        </w:rPr>
        <w:t>销售</w:t>
      </w:r>
      <w:r>
        <w:rPr>
          <w:rFonts w:hint="eastAsia" w:ascii="宋体" w:hAnsi="宋体" w:cs="宋体"/>
          <w:color w:val="000000" w:themeColor="text1"/>
          <w:szCs w:val="21"/>
          <w14:textFill>
            <w14:solidFill>
              <w14:schemeClr w14:val="tx1"/>
            </w14:solidFill>
          </w14:textFill>
        </w:rPr>
        <w:t>机构退回投资者。</w:t>
      </w:r>
      <w:r>
        <w:rPr>
          <w:rFonts w:hint="eastAsia" w:ascii="宋体" w:hAnsi="宋体" w:cs="宋体"/>
          <w:b/>
          <w:bCs/>
          <w:color w:val="000000" w:themeColor="text1"/>
          <w:szCs w:val="21"/>
          <w14:textFill>
            <w14:solidFill>
              <w14:schemeClr w14:val="tx1"/>
            </w14:solidFill>
          </w14:textFill>
        </w:rPr>
        <w:t>本理财产品募集结束后至认购失败对应资金退回到账日期间不计利息。</w:t>
      </w:r>
    </w:p>
    <w:p w14:paraId="40C40B8C">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（七）募集期的利息计算：募集期内，</w:t>
      </w:r>
      <w:r>
        <w:rPr>
          <w:rFonts w:hint="eastAsia" w:ascii="宋体" w:hAnsi="宋体" w:cs="宋体"/>
          <w:bCs/>
          <w:color w:val="000000" w:themeColor="text1"/>
          <w:szCs w:val="21"/>
          <w14:textFill>
            <w14:solidFill>
              <w14:schemeClr w14:val="tx1"/>
            </w14:solidFill>
          </w14:textFill>
        </w:rPr>
        <w:t>认购资金是否计息等相关安排以销售机构为准</w:t>
      </w:r>
      <w:r>
        <w:rPr>
          <w:rFonts w:hint="eastAsia" w:ascii="宋体" w:hAnsi="宋体" w:cs="宋体"/>
          <w:color w:val="000000" w:themeColor="text1"/>
          <w:szCs w:val="21"/>
          <w14:textFill>
            <w14:solidFill>
              <w14:schemeClr w14:val="tx1"/>
            </w14:solidFill>
          </w14:textFill>
        </w:rPr>
        <w:t>。</w:t>
      </w:r>
    </w:p>
    <w:p w14:paraId="53235A6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（八）受理渠道：</w:t>
      </w:r>
      <w:r>
        <w:rPr>
          <w:rFonts w:hint="eastAsia" w:ascii="宋体" w:hAnsi="宋体" w:cs="宋体"/>
          <w:bCs/>
          <w:color w:val="000000" w:themeColor="text1"/>
          <w:szCs w:val="21"/>
          <w14:textFill>
            <w14:solidFill>
              <w14:schemeClr w14:val="tx1"/>
            </w14:solidFill>
          </w14:textFill>
        </w:rPr>
        <w:t>通过代销机构渠道销售本理财产品的，</w:t>
      </w:r>
      <w:r>
        <w:rPr>
          <w:rFonts w:hint="eastAsia" w:ascii="宋体" w:hAnsi="宋体" w:cs="宋体"/>
          <w:color w:val="000000" w:themeColor="text1"/>
          <w:szCs w:val="21"/>
          <w14:textFill>
            <w14:solidFill>
              <w14:schemeClr w14:val="tx1"/>
            </w14:solidFill>
          </w14:textFill>
        </w:rPr>
        <w:t>投资者可通过代销机构各营业网点、代销机构手机银行等电子渠道办理理财账户的开户手续，可通过代销机构各营业网点、代销机构手机银行等电子渠道办理本理财产品的购买手续（具体以代销机构要求为准）。</w:t>
      </w:r>
    </w:p>
    <w:p w14:paraId="493493B7">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（九）撤销认购：投资者可在本理财产品认购交易时间内撤销购买（具体按销售机构对于交易时间和交易申请的相关规定执行），撤销后的资金原则上将于2个工作日内到账，具体到账时间以销售机构提示为准。</w:t>
      </w:r>
      <w:r>
        <w:rPr>
          <w:rFonts w:hint="eastAsia" w:ascii="宋体" w:hAnsi="宋体" w:cs="宋体"/>
          <w:b/>
          <w:bCs/>
          <w:color w:val="000000" w:themeColor="text1"/>
          <w:szCs w:val="21"/>
          <w:u w:val="single"/>
          <w14:textFill>
            <w14:solidFill>
              <w14:schemeClr w14:val="tx1"/>
            </w14:solidFill>
          </w14:textFill>
        </w:rPr>
        <w:t>本理财产品募集期结束后，投资者不能撤销购买本理财产品。</w:t>
      </w:r>
    </w:p>
    <w:p w14:paraId="364E6E3E">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六、产品的申购和赎回</w:t>
      </w:r>
    </w:p>
    <w:p w14:paraId="4352A6F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（一）申购/赎回规则</w:t>
      </w:r>
    </w:p>
    <w:p w14:paraId="1C6E6B7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1.本理财产品采用金额申购、份额赎回的原则，即申购以金额申请，赎回以份额申请。</w:t>
      </w:r>
    </w:p>
    <w:p w14:paraId="16E9D24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2.投资者可在本理财产品申购或赎回交易时间内提交申请，产品管理人公告暂停开放的日期除外。</w:t>
      </w:r>
    </w:p>
    <w:p w14:paraId="6D38915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非申购或赎回交易时间提交的申请，将于投资者提出申请后的产品最近一个开放日正式受理，非申购或赎回交易时间是否可提交申请以销售机构为准。</w:t>
      </w:r>
    </w:p>
    <w:p w14:paraId="6508B17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投资者可在本理财产品申购或赎回交易时间内撤销申请，具体是否可撤销以及撤销规则以销售机构为准。撤销后的申购资金原则上于2个工作日内到账，具体到账时间以销售机构提示为准。</w:t>
      </w:r>
    </w:p>
    <w:p w14:paraId="41DE074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3.投资者申购、赎回本理财产品时，采用“未知价原则”，即本理财产品申购申请和赎回申请提交时，适用的产品单位净值都是未知的。</w:t>
      </w:r>
    </w:p>
    <w:p w14:paraId="44520BD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（二）申购/赎回的数额限制</w:t>
      </w:r>
    </w:p>
    <w:p w14:paraId="4DD3324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1.申购金额要求：本理财产品</w:t>
      </w:r>
      <w:r>
        <w:rPr>
          <w:rFonts w:hint="eastAsia" w:ascii="宋体" w:hAnsi="宋体" w:cs="宋体"/>
          <w:color w:val="000000" w:themeColor="text1"/>
          <w:szCs w:val="21"/>
          <w:lang w:val="en-US" w:eastAsia="zh-CN"/>
          <w14:textFill>
            <w14:solidFill>
              <w14:schemeClr w14:val="tx1"/>
            </w14:solidFill>
          </w14:textFill>
        </w:rPr>
        <w:t>F</w:t>
      </w:r>
      <w:r>
        <w:rPr>
          <w:rFonts w:hint="eastAsia" w:ascii="宋体" w:hAnsi="宋体" w:cs="宋体"/>
          <w:color w:val="000000" w:themeColor="text1"/>
          <w:szCs w:val="21"/>
          <w:lang w:eastAsia="zh-CN"/>
          <w14:textFill>
            <w14:solidFill>
              <w14:schemeClr w14:val="tx1"/>
            </w14:solidFill>
          </w14:textFill>
        </w:rPr>
        <w:t>类</w:t>
      </w:r>
      <w:r>
        <w:rPr>
          <w:rFonts w:hint="eastAsia" w:ascii="宋体" w:hAnsi="宋体" w:cs="宋体"/>
          <w:color w:val="000000" w:themeColor="text1"/>
          <w:szCs w:val="21"/>
          <w14:textFill>
            <w14:solidFill>
              <w14:schemeClr w14:val="tx1"/>
            </w14:solidFill>
          </w14:textFill>
        </w:rPr>
        <w:t>份额申购起点金额为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S</w:t>
      </w:r>
      <w:r>
        <w:rPr>
          <w:rFonts w:hint="eastAsia" w:ascii="宋体" w:hAnsi="宋体" w:cs="宋体"/>
          <w:color w:val="000000" w:themeColor="text1"/>
          <w:szCs w:val="21"/>
          <w:lang w:eastAsia="zh-CN"/>
          <w14:textFill>
            <w14:solidFill>
              <w14:schemeClr w14:val="tx1"/>
            </w14:solidFill>
          </w14:textFill>
        </w:rPr>
        <w:t>类</w:t>
      </w:r>
      <w:r>
        <w:rPr>
          <w:rFonts w:hint="eastAsia" w:ascii="宋体" w:hAnsi="宋体" w:cs="宋体"/>
          <w:color w:val="000000" w:themeColor="text1"/>
          <w:szCs w:val="21"/>
          <w14:textFill>
            <w14:solidFill>
              <w14:schemeClr w14:val="tx1"/>
            </w14:solidFill>
          </w14:textFill>
        </w:rPr>
        <w:t>份额申购起点金额为</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元，并以</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元为单位递增。</w:t>
      </w:r>
    </w:p>
    <w:p w14:paraId="44A05DA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★如销售机构另有要求的，实际</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起点金额及递增金额应当以销售机构展示/提示为准，但不得低于本理财产品销售文件约定的</w:t>
      </w:r>
      <w:r>
        <w:rPr>
          <w:rFonts w:hint="eastAsia" w:ascii="宋体" w:hAnsi="宋体" w:cs="宋体"/>
          <w:bCs/>
          <w:color w:val="000000" w:themeColor="text1"/>
          <w:szCs w:val="21"/>
          <w:lang w:val="en-US" w:eastAsia="zh-CN"/>
          <w14:textFill>
            <w14:solidFill>
              <w14:schemeClr w14:val="tx1"/>
            </w14:solidFill>
          </w14:textFill>
        </w:rPr>
        <w:t>申购</w:t>
      </w:r>
      <w:r>
        <w:rPr>
          <w:rFonts w:hint="eastAsia" w:ascii="宋体" w:hAnsi="宋体" w:cs="宋体"/>
          <w:bCs/>
          <w:color w:val="000000" w:themeColor="text1"/>
          <w:szCs w:val="21"/>
          <w14:textFill>
            <w14:solidFill>
              <w14:schemeClr w14:val="tx1"/>
            </w14:solidFill>
          </w14:textFill>
        </w:rPr>
        <w:t>起点金额及递增金额。</w:t>
      </w:r>
    </w:p>
    <w:p w14:paraId="08AE249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2.赎回份额要求：投资者可以选择全部赎回或部分赎回本理财产品，本理财产品</w:t>
      </w:r>
      <w:r>
        <w:rPr>
          <w:rFonts w:hint="eastAsia" w:ascii="宋体" w:hAnsi="宋体" w:cs="宋体"/>
          <w:color w:val="000000" w:themeColor="text1"/>
          <w:szCs w:val="21"/>
          <w:lang w:val="en-US" w:eastAsia="zh-CN"/>
          <w14:textFill>
            <w14:solidFill>
              <w14:schemeClr w14:val="tx1"/>
            </w14:solidFill>
          </w14:textFill>
        </w:rPr>
        <w:t>F类</w:t>
      </w:r>
      <w:r>
        <w:rPr>
          <w:rFonts w:hint="eastAsia" w:ascii="宋体" w:hAnsi="宋体" w:cs="宋体"/>
          <w:color w:val="000000" w:themeColor="text1"/>
          <w:szCs w:val="21"/>
          <w14:textFill>
            <w14:solidFill>
              <w14:schemeClr w14:val="tx1"/>
            </w14:solidFill>
          </w14:textFill>
        </w:rPr>
        <w:t>份额最低赎回份额为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份，最低持有份额为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F类</w:t>
      </w:r>
      <w:r>
        <w:rPr>
          <w:rFonts w:hint="eastAsia" w:ascii="宋体" w:hAnsi="宋体" w:cs="宋体"/>
          <w:color w:val="000000" w:themeColor="text1"/>
          <w:szCs w:val="21"/>
          <w14:textFill>
            <w14:solidFill>
              <w14:schemeClr w14:val="tx1"/>
            </w14:solidFill>
          </w14:textFill>
        </w:rPr>
        <w:t>份额最低赎回份额为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份，最低持有份额为</w:t>
      </w:r>
      <w:r>
        <w:rPr>
          <w:rFonts w:hint="eastAsia" w:ascii="宋体" w:hAnsi="宋体" w:cs="宋体"/>
          <w:color w:val="000000" w:themeColor="text1"/>
          <w:szCs w:val="21"/>
          <w:lang w:val="en-US" w:eastAsia="zh-CN"/>
          <w14:textFill>
            <w14:solidFill>
              <w14:schemeClr w14:val="tx1"/>
            </w14:solidFill>
          </w14:textFill>
        </w:rPr>
        <w:t>0.01</w:t>
      </w:r>
      <w:r>
        <w:rPr>
          <w:rFonts w:hint="eastAsia" w:ascii="宋体" w:hAnsi="宋体" w:cs="宋体"/>
          <w:color w:val="000000" w:themeColor="text1"/>
          <w:szCs w:val="21"/>
          <w14:textFill>
            <w14:solidFill>
              <w14:schemeClr w14:val="tx1"/>
            </w14:solidFill>
          </w14:textFill>
        </w:rPr>
        <w:t>份。若投资者申请部分赎回后，其持有的剩余产品份额少于最低持有份额，投资者应申请全部赎回本理财产品，否则该部分赎回申请将不被受理。</w:t>
      </w:r>
    </w:p>
    <w:p w14:paraId="1DDBA52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.对于可能导致单一投资者持有份额超过本理财产品总份额的50%的申购申请，产品管理人有权拒绝接受或部分接受，确保单一投资者持有份额不超过本理财产品总份额的50%。</w:t>
      </w:r>
    </w:p>
    <w:p w14:paraId="08748D8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.产品管理人在不损害理财产品份额持有人权益的情况下有权更改上述原则，但最迟须在新的原则实施前1个工作日予以公告。</w:t>
      </w:r>
    </w:p>
    <w:p w14:paraId="764E503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（三）申购/赎回的受理和确认</w:t>
      </w:r>
    </w:p>
    <w:p w14:paraId="11469F8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提交申购申请时须按销售机构规定方式备足资金，在提交赎回申请时须持有足够的理财产品份额，否则所提交的申购/赎回申请将失败。销售机构受理申购/赎回申请并不代表对该申请成功的确认，而仅代表其收到了申购/赎回申请，申请是否成功应以产品管理人的系统确认为准。</w:t>
      </w:r>
    </w:p>
    <w:p w14:paraId="23857F10">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2.申</w:t>
      </w:r>
      <w:r>
        <w:rPr>
          <w:rFonts w:hint="eastAsia" w:ascii="宋体" w:hAnsi="宋体" w:cs="宋体"/>
          <w:bCs/>
          <w:color w:val="000000" w:themeColor="text1"/>
          <w:szCs w:val="21"/>
          <w14:textFill>
            <w14:solidFill>
              <w14:schemeClr w14:val="tx1"/>
            </w14:solidFill>
          </w14:textFill>
        </w:rPr>
        <w:t>购资金是否计息等相关安排以销售机构为准</w:t>
      </w:r>
      <w:r>
        <w:rPr>
          <w:rFonts w:hint="eastAsia" w:ascii="宋体" w:hAnsi="宋体" w:cs="宋体"/>
          <w:color w:val="000000" w:themeColor="text1"/>
          <w:szCs w:val="21"/>
          <w14:textFill>
            <w14:solidFill>
              <w14:schemeClr w14:val="tx1"/>
            </w14:solidFill>
          </w14:textFill>
        </w:rPr>
        <w:t>。</w:t>
      </w:r>
    </w:p>
    <w:p w14:paraId="2861D3DD">
      <w:pPr>
        <w:numPr>
          <w:ilvl w:val="255"/>
          <w:numId w:val="0"/>
        </w:num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3.申购确认</w:t>
      </w:r>
    </w:p>
    <w:p w14:paraId="641E1A3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投资者在申购交易时间内提出的申购申请，申购日为开放日当日，产品管理人在该日的下一个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日对满足条件的有效申购申请予以确认；投资者在非申购交易时间提出的申购申请，申购日为投资者提出申请后的产品最近一个开放日，产品管理人将在该日的下一个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日对满足条件的有效申购申请予以确认。</w:t>
      </w:r>
    </w:p>
    <w:p w14:paraId="7A46969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确认投资者申购申请的，投资者自申购确认日起持有本理财产品份额。投资者实际申购份额以产品管理人确认份额为准。申购份额=申购金额÷申购价格，申购价格为申购日的产品单位净值，申购份额以四舍五入的方法保留到小数点后两位。</w:t>
      </w:r>
    </w:p>
    <w:p w14:paraId="2375469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ascii="宋体" w:hAnsi="宋体" w:cs="宋体"/>
          <w:b/>
          <w:bCs/>
          <w:color w:val="000000" w:themeColor="text1"/>
          <w:szCs w:val="21"/>
          <w14:textFill>
            <w14:solidFill>
              <w14:schemeClr w14:val="tx1"/>
            </w14:solidFill>
          </w14:textFill>
        </w:rPr>
        <w:t>4.赎回的确认和到账时间</w:t>
      </w:r>
    </w:p>
    <w:p w14:paraId="4B2B4FA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投资者在赎回交易时间内提出的赎回申请，赎回日为开放日当日，产品管理人在该日的下一个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日对满足条件的有效赎回申请予以确认；投资者在非赎回交易时间提出的赎回申请（不满足最低持有期要求的除外），赎回日为投资者提出申请后的产品最近一个开放日，产品管理人将在该日的下一个</w:t>
      </w:r>
      <w:r>
        <w:rPr>
          <w:rFonts w:hint="eastAsia" w:ascii="宋体" w:hAnsi="宋体" w:cs="宋体"/>
          <w:color w:val="000000" w:themeColor="text1"/>
          <w:szCs w:val="21"/>
          <w:lang w:val="en-US" w:eastAsia="zh-CN"/>
          <w14:textFill>
            <w14:solidFill>
              <w14:schemeClr w14:val="tx1"/>
            </w14:solidFill>
          </w14:textFill>
        </w:rPr>
        <w:t>交易</w:t>
      </w:r>
      <w:r>
        <w:rPr>
          <w:rFonts w:hint="eastAsia" w:ascii="宋体" w:hAnsi="宋体" w:cs="宋体"/>
          <w:color w:val="000000" w:themeColor="text1"/>
          <w:szCs w:val="21"/>
          <w14:textFill>
            <w14:solidFill>
              <w14:schemeClr w14:val="tx1"/>
            </w14:solidFill>
          </w14:textFill>
        </w:rPr>
        <w:t>日对满足条件的有效赎回申请予以确认。</w:t>
      </w:r>
    </w:p>
    <w:p w14:paraId="3BFA03B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实际赎回份额以产品管理人确认份额为准，赎回金额=赎回份额×赎回价格，赎回价格为赎回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14:paraId="1FCC89C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★5.本理财产品存续期内，如遇有权机关冻结投资者持有的本理财产品份额的，产品管理人应按照有权机关要求进行操作。</w:t>
      </w:r>
    </w:p>
    <w:p w14:paraId="079D1C6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（四）巨额赎回</w:t>
      </w:r>
    </w:p>
    <w:p w14:paraId="306A915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1.巨额赎回的认定</w:t>
      </w:r>
    </w:p>
    <w:p w14:paraId="47C63C2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在本理财产品的单个开放日，净赎回申请（即产品赎回有效申请份额总数扣除产品申购有效申请份额总数后的差额）超过前一日终本理财产品总份额的10％时，为巨额赎回。</w:t>
      </w:r>
    </w:p>
    <w:p w14:paraId="4C67DFC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2.巨额赎回的处理方式</w:t>
      </w:r>
    </w:p>
    <w:p w14:paraId="35DAD33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本理财产品在开放日发生巨额赎回时，产品管理人有权根据本理财产品当时的投资运作情况决定采取全额赎回、部分赎回等措施。</w:t>
      </w:r>
    </w:p>
    <w:p w14:paraId="445B01B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1）全额赎回：当本理财产品可以兑付投资者（或称“份额持有人”）的全部赎回申请时，将在赎回确认日按投资者申请赎回份额执行正常赎回程序。</w:t>
      </w:r>
    </w:p>
    <w:p w14:paraId="12399DC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ascii="宋体" w:hAnsi="宋体" w:cs="宋体"/>
          <w:b/>
          <w:bCs/>
          <w:color w:val="000000" w:themeColor="text1"/>
          <w:szCs w:val="21"/>
          <w14:textFill>
            <w14:solidFill>
              <w14:schemeClr w14:val="tx1"/>
            </w14:solidFill>
          </w14:textFill>
        </w:rPr>
        <w:t>2）部分赎回：产品管理人在赎回确认日当日办理的赎回份额不低于前一日终本理财产品总份额的10%的前提下，对其余赎回申请有权暂停接受或延期办理。对该理财产品单个份额持有人的赎回申请，产品管理人有权按照其申请赎回份额占赎回确认日当日申请赎回总份额的比例，确定该单个份额持有人当日办理的赎回份额。本理财产品份额持有人可以在申请赎回时选择将当日未获办理部分予以撤销（具体交易功能以</w:t>
      </w:r>
      <w:r>
        <w:rPr>
          <w:rFonts w:hint="eastAsia" w:ascii="宋体" w:hAnsi="宋体" w:cs="宋体"/>
          <w:b/>
          <w:bCs/>
          <w:color w:val="000000" w:themeColor="text1"/>
          <w:szCs w:val="21"/>
          <w14:textFill>
            <w14:solidFill>
              <w14:schemeClr w14:val="tx1"/>
            </w14:solidFill>
          </w14:textFill>
        </w:rPr>
        <w:t>销售机构规定为准），未选择撤销的，产品管理人有权将当日未获办理部分延迟至下一个开放日办理（赎回价格为下一个开放日当日的产品单位净值）。</w:t>
      </w:r>
      <w:r>
        <w:rPr>
          <w:rFonts w:ascii="宋体" w:hAnsi="宋体" w:cs="宋体"/>
          <w:b/>
          <w:bCs/>
          <w:color w:val="000000" w:themeColor="text1"/>
          <w:szCs w:val="21"/>
          <w14:textFill>
            <w14:solidFill>
              <w14:schemeClr w14:val="tx1"/>
            </w14:solidFill>
          </w14:textFill>
        </w:rPr>
        <w:t>本理财产品连续2个以上开放日发生巨额赎回的，除有权采取以上措施外，对于已经接受的赎回申请，产品管理人有权延缓支付赎回款项，但延缓期限不得超过20个工作日。</w:t>
      </w:r>
    </w:p>
    <w:p w14:paraId="681AED97">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3.对投资者的潜在影响</w:t>
      </w:r>
    </w:p>
    <w:p w14:paraId="6EF4E599">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发生上述情形时，投资者将面临无法全部赎回或及时获得赎回资金的风险，由此可能影响投资者的资金安排。在本理财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暂停接受或延期办理投资者赎回申请的情况下，投资者未能赎回的理财</w:t>
      </w:r>
      <w:r>
        <w:rPr>
          <w:rFonts w:hint="eastAsia" w:ascii="宋体" w:hAnsi="宋体" w:cs="宋体"/>
          <w:b/>
          <w:bCs/>
          <w:color w:val="000000" w:themeColor="text1"/>
          <w:szCs w:val="21"/>
          <w:lang w:val="en-US" w:eastAsia="zh-CN"/>
          <w14:textFill>
            <w14:solidFill>
              <w14:schemeClr w14:val="tx1"/>
            </w14:solidFill>
          </w14:textFill>
        </w:rPr>
        <w:t>产品</w:t>
      </w:r>
      <w:r>
        <w:rPr>
          <w:rFonts w:hint="eastAsia" w:ascii="宋体" w:hAnsi="宋体" w:cs="宋体"/>
          <w:b/>
          <w:bCs/>
          <w:color w:val="000000" w:themeColor="text1"/>
          <w:szCs w:val="21"/>
          <w:lang w:eastAsia="zh-CN"/>
          <w14:textFill>
            <w14:solidFill>
              <w14:schemeClr w14:val="tx1"/>
            </w14:solidFill>
          </w14:textFill>
        </w:rPr>
        <w:t>份额还将面临净值波动的风险</w:t>
      </w:r>
      <w:r>
        <w:rPr>
          <w:rFonts w:hint="eastAsia" w:ascii="宋体" w:hAnsi="宋体" w:cs="宋体"/>
          <w:b/>
          <w:bCs/>
          <w:color w:val="000000" w:themeColor="text1"/>
          <w:szCs w:val="21"/>
          <w14:textFill>
            <w14:solidFill>
              <w14:schemeClr w14:val="tx1"/>
            </w14:solidFill>
          </w14:textFill>
        </w:rPr>
        <w:t>。</w:t>
      </w:r>
    </w:p>
    <w:p w14:paraId="1956480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★（五）拒绝或暂停申购</w:t>
      </w:r>
    </w:p>
    <w:p w14:paraId="7713D40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当出现下列情形时，产品管理人有权选择拒绝接受或暂停接受投资者的申购申请：</w:t>
      </w:r>
    </w:p>
    <w:p w14:paraId="3D30E4E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不可抗力及/或意外事件等原因导致本理财产品无法正常运作；</w:t>
      </w:r>
    </w:p>
    <w:p w14:paraId="1584D3F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14:paraId="22512E1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超过本理财产品募集规模上限；</w:t>
      </w:r>
    </w:p>
    <w:p w14:paraId="62DEDDB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投资者申购超过个人/机构投资者持有上限；</w:t>
      </w:r>
    </w:p>
    <w:p w14:paraId="4DA3B4A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本理财产品资产规模过大，产品管理人无法找到合适的投资品种，或继续接受申购可能对本理财产品的业绩产生负面影响，从而损害现有产品份额持有人利益；</w:t>
      </w:r>
    </w:p>
    <w:p w14:paraId="4F80E8E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当产品管理人认为接受申购申请可能对本理财产品存量投资者利益构成重大不利影响时，或者基于投资运作与风险控制需要；</w:t>
      </w:r>
    </w:p>
    <w:p w14:paraId="18DE0B2A">
      <w:pPr>
        <w:spacing w:line="360" w:lineRule="auto"/>
        <w:ind w:firstLine="420" w:firstLineChars="200"/>
        <w:rPr>
          <w:rFonts w:ascii="宋体" w:hAnsi="宋体" w:cs="宋体"/>
          <w:color w:val="000000" w:themeColor="text1"/>
          <w:szCs w:val="21"/>
          <w14:textFill>
            <w14:solidFill>
              <w14:schemeClr w14:val="tx1"/>
            </w14:solidFill>
          </w14:textFill>
        </w:rPr>
      </w:pPr>
      <w:bookmarkStart w:id="0" w:name="_Hlk146069622"/>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不允许单一投资者持有份额超过本理财产品总份额的50%，非因产品管理人主观因素导致突破前款规定比例限制的，在单一投资者持有比例降至50%以下之前，产品管理人不得再接受该投资者对本理财产品的申购申请；</w:t>
      </w:r>
    </w:p>
    <w:p w14:paraId="5018FEB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本理财产品在前一估值日内，产品资产净值50%以上的资产不具备活跃交易市场或者在活跃市场中无报价，且不能采用估值技术可靠计量公允价值时；</w:t>
      </w:r>
    </w:p>
    <w:bookmarkEnd w:id="0"/>
    <w:p w14:paraId="0BD1023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00546F01">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2.对投资者的潜在影响</w:t>
      </w:r>
    </w:p>
    <w:p w14:paraId="05C071D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管理人拒绝接受或暂停接受申购申请，投资者</w:t>
      </w:r>
      <w:r>
        <w:rPr>
          <w:rFonts w:hint="eastAsia" w:ascii="宋体" w:hAnsi="宋体" w:cs="宋体"/>
          <w:b/>
          <w:bCs/>
          <w:color w:val="000000" w:themeColor="text1"/>
          <w:szCs w:val="21"/>
          <w:lang w:val="en-US" w:eastAsia="zh-CN"/>
          <w14:textFill>
            <w14:solidFill>
              <w14:schemeClr w14:val="tx1"/>
            </w14:solidFill>
          </w14:textFill>
        </w:rPr>
        <w:t>可能</w:t>
      </w:r>
      <w:r>
        <w:rPr>
          <w:rFonts w:hint="eastAsia" w:ascii="宋体" w:hAnsi="宋体" w:cs="宋体"/>
          <w:b/>
          <w:bCs/>
          <w:color w:val="000000" w:themeColor="text1"/>
          <w:szCs w:val="21"/>
          <w14:textFill>
            <w14:solidFill>
              <w14:schemeClr w14:val="tx1"/>
            </w14:solidFill>
          </w14:textFill>
        </w:rPr>
        <w:t>因资金被占用而</w:t>
      </w:r>
      <w:r>
        <w:rPr>
          <w:rFonts w:hint="eastAsia" w:ascii="宋体" w:hAnsi="宋体" w:cs="宋体"/>
          <w:b/>
          <w:bCs/>
          <w:color w:val="000000" w:themeColor="text1"/>
          <w:szCs w:val="21"/>
          <w:lang w:val="en-US" w:eastAsia="zh-CN"/>
          <w14:textFill>
            <w14:solidFill>
              <w14:schemeClr w14:val="tx1"/>
            </w14:solidFill>
          </w14:textFill>
        </w:rPr>
        <w:t>产生机会成本</w:t>
      </w:r>
      <w:r>
        <w:rPr>
          <w:rFonts w:hint="eastAsia" w:ascii="宋体" w:hAnsi="宋体" w:cs="宋体"/>
          <w:b/>
          <w:bCs/>
          <w:color w:val="000000" w:themeColor="text1"/>
          <w:szCs w:val="21"/>
          <w14:textFill>
            <w14:solidFill>
              <w14:schemeClr w14:val="tx1"/>
            </w14:solidFill>
          </w14:textFill>
        </w:rPr>
        <w:t>。</w:t>
      </w:r>
    </w:p>
    <w:p w14:paraId="0756521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★（六）拒绝或暂停赎回</w:t>
      </w:r>
    </w:p>
    <w:p w14:paraId="3B13BD6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当出现下列情形时，产品管理人有权选择拒绝接受或暂停接受投资者的赎回申请：</w:t>
      </w:r>
    </w:p>
    <w:p w14:paraId="52F4694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因不可抗力及/或意外事件等原因导致产品管理人无法正常运作或不能按时支付赎回款项；</w:t>
      </w:r>
    </w:p>
    <w:p w14:paraId="41E9A30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证券交易场所依法决定临时停市，导致产品管理人无法计算当日产品资产净值；</w:t>
      </w:r>
    </w:p>
    <w:p w14:paraId="46D68AA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发生巨额赎回时，产品管理人在赎回确认日当日办理的赎回份额不低于前一日终本理财产品总份额的10%的前提下，有权暂停接受其余赎回申请；</w:t>
      </w:r>
    </w:p>
    <w:p w14:paraId="42A2A7B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本理财产品连续2个及以上开放日发生巨额赎回；</w:t>
      </w:r>
    </w:p>
    <w:p w14:paraId="3BC7056D">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本理财产品在前一估值日内，产品资产净值50%以上的资产不具备活跃交易市场或者在活跃市场中无报价，且不能采用估值技术可靠计量公允价值时；</w:t>
      </w:r>
    </w:p>
    <w:p w14:paraId="46FB592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产品管理人认为继续接受赎回可能对本理财产品的业绩产生较大负面影响的情形；</w:t>
      </w:r>
    </w:p>
    <w:p w14:paraId="222DE04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774C9CB4">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★（七）延期办理赎回申请</w:t>
      </w:r>
    </w:p>
    <w:p w14:paraId="7BAB5853">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当出现下列情形时，产品管理人有权选择延期办理赎回申请：</w:t>
      </w:r>
    </w:p>
    <w:p w14:paraId="501278D9">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发生巨额赎回时，产品管理人在赎回确认日当日办理的赎回份额不低于前一日终本理财产品总份额的10%的前提下，有权延期办理其余赎回申请；</w:t>
      </w:r>
    </w:p>
    <w:p w14:paraId="1946C13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为保护投资者利益，产品管理人认为需要延期办理赎回申请的情形；</w:t>
      </w:r>
    </w:p>
    <w:p w14:paraId="5B3902E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4F923C41">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★（八）延缓支付赎回款项</w:t>
      </w:r>
    </w:p>
    <w:p w14:paraId="075B380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当出现下列情形时，产品管理人有权选择延缓支付赎回款项：</w:t>
      </w:r>
    </w:p>
    <w:p w14:paraId="30D2348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因市场成交量不足、资产限制赎回、暂停交易、交易对手缺乏意愿等原因，导致本理财产品项下对应的投资标的无法及时变现；</w:t>
      </w:r>
    </w:p>
    <w:p w14:paraId="6DDA9BB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因资金在途等原因，导致未能及时收回资金；</w:t>
      </w:r>
    </w:p>
    <w:p w14:paraId="3ACA3E1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因不可抗力及/或意外事件等原因，导致产品管理人接受赎回申请后无法兑付；</w:t>
      </w:r>
    </w:p>
    <w:p w14:paraId="1F769A1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发生暂停理财产品估值的情形；</w:t>
      </w:r>
    </w:p>
    <w:p w14:paraId="4E28E53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本理财产品连续2个及以上开放日发生巨额赎回的，对于已经接受的投资者赎回申请，产品管理人可以延缓支付赎回款项，延缓期限不超过20个工作日；</w:t>
      </w:r>
    </w:p>
    <w:p w14:paraId="36B12E50">
      <w:pPr>
        <w:spacing w:line="360" w:lineRule="auto"/>
        <w:ind w:firstLine="420" w:firstLineChars="200"/>
        <w:rPr>
          <w:rFonts w:ascii="宋体" w:hAnsi="宋体" w:cs="宋体"/>
          <w:color w:val="000000" w:themeColor="text1"/>
          <w:szCs w:val="21"/>
          <w14:textFill>
            <w14:solidFill>
              <w14:schemeClr w14:val="tx1"/>
            </w14:solidFill>
          </w14:textFill>
        </w:rPr>
      </w:pPr>
      <w:bookmarkStart w:id="1" w:name="_Hlk146059245"/>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本理财产品在前一估值日内，产品资产净值50%以上的资产不具备活跃交易市场或者在活跃市场中无报价，且不能采用估值技术可靠计量公允价值；</w:t>
      </w:r>
      <w:bookmarkEnd w:id="1"/>
    </w:p>
    <w:p w14:paraId="612FC61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为保护投资者利益，产品管理人认为需要延续支付赎回款项的情形；</w:t>
      </w:r>
    </w:p>
    <w:p w14:paraId="5D39D6A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法律法规规定或本理财产品销售文件约定的其他情形。</w:t>
      </w:r>
    </w:p>
    <w:p w14:paraId="76785348">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对投资者的潜在影响</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szCs w:val="21"/>
          <w:lang w:val="en-US" w:eastAsia="zh-CN"/>
        </w:rPr>
        <w:t>发生上述（六）（七）（八）情形时，若产品管理人采用暂停赎回、延期办理赎回申请的流动性风险应对措施，投资者在暂停赎回、延期办理赎回申请期间将无法赎回其持有的产品份额；若产品管理人采用拒绝赎回的流动性风险应对措施，投资者的部分或全部赎回申请可能被拒绝；若管理人</w:t>
      </w:r>
      <w:r>
        <w:rPr>
          <w:rFonts w:hint="eastAsia" w:ascii="宋体" w:hAnsi="宋体" w:cs="宋体"/>
          <w:b/>
          <w:bCs/>
          <w:color w:val="000000" w:themeColor="text1"/>
          <w:szCs w:val="21"/>
          <w14:textFill>
            <w14:solidFill>
              <w14:schemeClr w14:val="tx1"/>
            </w14:solidFill>
          </w14:textFill>
        </w:rPr>
        <w:t>延缓支付赎回款项</w:t>
      </w:r>
      <w:r>
        <w:rPr>
          <w:rFonts w:hint="eastAsia" w:ascii="宋体" w:hAnsi="宋体" w:cs="宋体"/>
          <w:b/>
          <w:bCs/>
          <w:color w:val="000000" w:themeColor="text1"/>
          <w:szCs w:val="21"/>
          <w:lang w:eastAsia="zh-CN"/>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投资者</w:t>
      </w:r>
      <w:r>
        <w:rPr>
          <w:rFonts w:hint="eastAsia" w:ascii="宋体" w:hAnsi="宋体" w:cs="宋体"/>
          <w:b/>
          <w:bCs/>
          <w:color w:val="000000" w:themeColor="text1"/>
          <w:szCs w:val="21"/>
          <w:lang w:val="en-US" w:eastAsia="zh-CN"/>
          <w14:textFill>
            <w14:solidFill>
              <w14:schemeClr w14:val="tx1"/>
            </w14:solidFill>
          </w14:textFill>
        </w:rPr>
        <w:t>的</w:t>
      </w:r>
      <w:r>
        <w:rPr>
          <w:rFonts w:hint="eastAsia" w:ascii="宋体" w:hAnsi="宋体" w:cs="宋体"/>
          <w:b/>
          <w:bCs/>
          <w:color w:val="000000" w:themeColor="text1"/>
          <w:szCs w:val="21"/>
          <w14:textFill>
            <w14:solidFill>
              <w14:schemeClr w14:val="tx1"/>
            </w14:solidFill>
          </w14:textFill>
        </w:rPr>
        <w:t>赎回款项</w:t>
      </w:r>
      <w:r>
        <w:rPr>
          <w:rFonts w:hint="eastAsia" w:ascii="宋体" w:hAnsi="宋体" w:cs="宋体"/>
          <w:b/>
          <w:bCs/>
          <w:color w:val="000000" w:themeColor="text1"/>
          <w:szCs w:val="21"/>
          <w:lang w:val="en-US" w:eastAsia="zh-CN"/>
          <w14:textFill>
            <w14:solidFill>
              <w14:schemeClr w14:val="tx1"/>
            </w14:solidFill>
          </w14:textFill>
        </w:rPr>
        <w:t>将延迟到账</w:t>
      </w:r>
      <w:r>
        <w:rPr>
          <w:rFonts w:hint="eastAsia" w:ascii="宋体" w:hAnsi="宋体" w:cs="宋体"/>
          <w:b/>
          <w:bCs/>
          <w:color w:val="000000" w:themeColor="text1"/>
          <w:szCs w:val="21"/>
          <w14:textFill>
            <w14:solidFill>
              <w14:schemeClr w14:val="tx1"/>
            </w14:solidFill>
          </w14:textFill>
        </w:rPr>
        <w:t>。</w:t>
      </w:r>
    </w:p>
    <w:p w14:paraId="3E7BD3A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特别提示：</w:t>
      </w:r>
      <w:r>
        <w:rPr>
          <w:rFonts w:hint="eastAsia" w:ascii="宋体" w:hAnsi="宋体" w:cs="宋体"/>
          <w:color w:val="000000" w:themeColor="text1"/>
          <w:szCs w:val="21"/>
          <w14:textFill>
            <w14:solidFill>
              <w14:schemeClr w14:val="tx1"/>
            </w14:solidFill>
          </w14:textFill>
        </w:rPr>
        <w:t>除上述流动性风险应对措施外，本理财产品的管理人还可根据实际业务情况，采取收取短期赎回费、暂停理财产品估值、设定单一投资者持有金额上限等国家金融监督管理总局规定的其他流动性风险应对措施。在运用流动性风险应对措施后，产品管理人将按照监管规定及本理财产品销售文件约定的信息披露方式在3个交易日内发布临时公告，告知本理财产品的投资者，并说明运用相关措施的原因及拟采取的应对安排等。</w:t>
      </w:r>
    </w:p>
    <w:p w14:paraId="539CADD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（九）申购费用</w:t>
      </w:r>
    </w:p>
    <w:p w14:paraId="10F33F0B">
      <w:pPr>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本理财产品暂不收取申购费用</w:t>
      </w:r>
      <w:r>
        <w:rPr>
          <w:rFonts w:hint="eastAsia" w:ascii="宋体" w:hAnsi="宋体" w:cs="宋体"/>
          <w:color w:val="000000" w:themeColor="text1"/>
          <w:szCs w:val="21"/>
          <w:lang w:eastAsia="zh-CN"/>
          <w14:textFill>
            <w14:solidFill>
              <w14:schemeClr w14:val="tx1"/>
            </w14:solidFill>
          </w14:textFill>
        </w:rPr>
        <w:t>。</w:t>
      </w:r>
    </w:p>
    <w:p w14:paraId="22C544B0">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（十）赎回费用</w:t>
      </w:r>
    </w:p>
    <w:p w14:paraId="45C704D5">
      <w:pPr>
        <w:spacing w:line="360" w:lineRule="auto"/>
        <w:ind w:firstLine="480"/>
        <w:rPr>
          <w:rFonts w:ascii="宋体" w:hAnsi="宋体" w:cs="宋体"/>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本理财产品暂不收取赎回费用</w:t>
      </w:r>
      <w:r>
        <w:rPr>
          <w:rFonts w:hint="eastAsia" w:ascii="宋体" w:hAnsi="宋体" w:eastAsia="宋体" w:cs="宋体"/>
          <w:color w:val="000000" w:themeColor="text1"/>
          <w:szCs w:val="21"/>
          <w:lang w:eastAsia="zh-CN"/>
          <w14:textFill>
            <w14:solidFill>
              <w14:schemeClr w14:val="tx1"/>
            </w14:solidFill>
          </w14:textFill>
        </w:rPr>
        <w:t>。</w:t>
      </w:r>
    </w:p>
    <w:p w14:paraId="64CE42E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★七、产品的收益分配</w:t>
      </w:r>
    </w:p>
    <w:p w14:paraId="2ED11CA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w:t>
      </w:r>
      <w:r>
        <w:rPr>
          <w:rFonts w:hint="eastAsia" w:ascii="宋体" w:hAnsi="宋体" w:cs="宋体"/>
          <w:color w:val="000000" w:themeColor="text1"/>
          <w:szCs w:val="21"/>
          <w:lang w:val="en-US" w:eastAsia="zh-CN"/>
          <w14:textFill>
            <w14:solidFill>
              <w14:schemeClr w14:val="tx1"/>
            </w14:solidFill>
          </w14:textFill>
        </w:rPr>
        <w:t>收益的构成</w:t>
      </w:r>
    </w:p>
    <w:p w14:paraId="7C288A0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w:t>
      </w:r>
      <w:r>
        <w:rPr>
          <w:rFonts w:hint="eastAsia" w:ascii="宋体" w:hAnsi="宋体" w:cs="宋体"/>
          <w:color w:val="000000" w:themeColor="text1"/>
          <w:szCs w:val="21"/>
          <w14:textFill>
            <w14:solidFill>
              <w14:schemeClr w14:val="tx1"/>
            </w14:solidFill>
          </w14:textFill>
        </w:rPr>
        <w:t>理财产品资产总值是指本理财产品所购买的各类证券价值、银行存款本息和本理财产品应收款项以及其他投资所形成的价值总和。理财产品资产净值是指理财产品资产总值减去负债后的价值。</w:t>
      </w:r>
    </w:p>
    <w:p w14:paraId="6F94ECB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（二）收益分配原则</w:t>
      </w:r>
    </w:p>
    <w:p w14:paraId="2937D45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1.每一产品份额享有同等分配权；</w:t>
      </w:r>
    </w:p>
    <w:p w14:paraId="05ACFA6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2.可供分配利润为本理财产品权益登记日</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未分配利润与未分配利润中的已实现部分的孰低数，其中权益登记日为登记享有分红权益的理财份额的日期；</w:t>
      </w:r>
    </w:p>
    <w:p w14:paraId="45BC503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3.本理财产品投资当期出现亏损，则不进行收益分配；</w:t>
      </w:r>
    </w:p>
    <w:p w14:paraId="62F6BA5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4.本理财产品收益分配后产品份额净值不能低于产品单位面值。</w:t>
      </w:r>
    </w:p>
    <w:p w14:paraId="3A1190A1">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（三）收益分配方案</w:t>
      </w:r>
    </w:p>
    <w:p w14:paraId="6FB80AB8">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1.本理财产品收益分配方式为</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产品管理人将根据收益分配原则进行不定期分配。收益分配方式仅为现金分红。</w:t>
      </w:r>
    </w:p>
    <w:p w14:paraId="42DD331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2.理财产品收益分配方案由产品管理人拟订，由产品托管人复核，并于收益分配后的2个工作日内由产品管理人通过本理财产品销售文件约定的信息披露渠道向投资者披露。</w:t>
      </w:r>
    </w:p>
    <w:p w14:paraId="5532F9F4">
      <w:pPr>
        <w:pStyle w:val="2"/>
        <w:spacing w:line="360" w:lineRule="auto"/>
        <w:ind w:left="0" w:leftChars="0"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14:paraId="4B1A917D">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八、产品的终止与清算</w:t>
      </w:r>
    </w:p>
    <w:p w14:paraId="601755D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★（一）产品的提前终止</w:t>
      </w:r>
    </w:p>
    <w:p w14:paraId="0362B59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本理财产品存续期内如出现以下情况，产品管理人有权提前终止本理财产品：</w:t>
      </w:r>
    </w:p>
    <w:p w14:paraId="1B1A0BB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1.由于监管机构要求或法律法规规定需要终止本理财产品；</w:t>
      </w:r>
    </w:p>
    <w:p w14:paraId="65D3BAD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2.因不可抗力及/或意外事件导致本理财产品无法正常运作或产品管理人无法继续履行本理财产品销售文件约定事项；</w:t>
      </w:r>
    </w:p>
    <w:p w14:paraId="6C735FD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3.遇有市场出现剧烈波动、异常风险事件等情形导致本理财产品收益出现大幅波动或严重影响本理财产品的资产安全；</w:t>
      </w:r>
    </w:p>
    <w:p w14:paraId="6FFF03E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4.因理财资金被有权机关扣划等原因导致本理财产品剩余资产无法满足相关法律法规规定、所投资市场要求或协议等相关法律文件约定，或者继续存续无法实现投资目标；</w:t>
      </w:r>
    </w:p>
    <w:p w14:paraId="52F939B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5.相关投资合作机构或运用理财资金的第三方主体实施符合法律法规规定或协议等相关文件约定的行为导致本理财产品被动终止；</w:t>
      </w:r>
    </w:p>
    <w:p w14:paraId="4095166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6.为保护投资者利益，</w:t>
      </w:r>
      <w:r>
        <w:rPr>
          <w:rFonts w:hint="eastAsia" w:ascii="宋体" w:hAnsi="宋体" w:cs="宋体"/>
          <w:color w:val="000000" w:themeColor="text1"/>
          <w:szCs w:val="21"/>
          <w14:textFill>
            <w14:solidFill>
              <w14:schemeClr w14:val="tx1"/>
            </w14:solidFill>
          </w14:textFill>
        </w:rPr>
        <w:t>产品管理人根据市场情况认为需要终止本理财产品。</w:t>
      </w:r>
    </w:p>
    <w:p w14:paraId="51E5261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产品管理人提前终止本理财产品的，应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提前1个工作日公告本理财产品终止日及本理财产品终止后的理财本金及收益到账日，并通过本理财产品销售文件约定的信息披露渠道进行公告。</w:t>
      </w:r>
    </w:p>
    <w:p w14:paraId="4888917A">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（二）产品的清算</w:t>
      </w:r>
    </w:p>
    <w:p w14:paraId="1DE3B492">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w:t>
      </w:r>
      <w:r>
        <w:rPr>
          <w:rFonts w:hint="eastAsia" w:ascii="宋体" w:hAnsi="宋体" w:cs="宋体"/>
          <w:color w:val="000000" w:themeColor="text1"/>
          <w:szCs w:val="21"/>
          <w:lang w:val="en-US" w:eastAsia="zh-CN"/>
          <w14:textFill>
            <w14:solidFill>
              <w14:schemeClr w14:val="tx1"/>
            </w14:solidFill>
          </w14:textFill>
        </w:rPr>
        <w:t>以</w:t>
      </w:r>
      <w:r>
        <w:rPr>
          <w:rFonts w:hint="eastAsia" w:ascii="宋体" w:hAnsi="宋体" w:cs="宋体"/>
          <w:color w:val="000000" w:themeColor="text1"/>
          <w:szCs w:val="21"/>
          <w14:textFill>
            <w14:solidFill>
              <w14:schemeClr w14:val="tx1"/>
            </w14:solidFill>
          </w14:textFill>
        </w:rPr>
        <w:t>终止日</w:t>
      </w:r>
      <w:r>
        <w:rPr>
          <w:rFonts w:hint="eastAsia" w:ascii="宋体" w:hAnsi="宋体" w:cs="宋体"/>
          <w:color w:val="000000" w:themeColor="text1"/>
          <w:szCs w:val="21"/>
          <w:lang w:val="en-US" w:eastAsia="zh-CN"/>
          <w14:textFill>
            <w14:solidFill>
              <w14:schemeClr w14:val="tx1"/>
            </w14:solidFill>
          </w14:textFill>
        </w:rPr>
        <w:t>的各</w:t>
      </w:r>
      <w:r>
        <w:rPr>
          <w:rFonts w:hint="eastAsia" w:ascii="宋体" w:hAnsi="宋体" w:cs="宋体"/>
          <w:color w:val="000000" w:themeColor="text1"/>
          <w:szCs w:val="21"/>
          <w14:textFill>
            <w14:solidFill>
              <w14:schemeClr w14:val="tx1"/>
            </w14:solidFill>
          </w14:textFill>
        </w:rPr>
        <w:t>类份额</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如有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的产品资产净值按照投资者持有份额比例对投资者进行分配。</w:t>
      </w:r>
    </w:p>
    <w:p w14:paraId="509E896D">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投资者最后分配金额=</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投资者持有该类份额比例×产品存续期末该类份额的资产净值。</w:t>
      </w:r>
    </w:p>
    <w:p w14:paraId="1B35AA5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投资者持有该类份额比例=投资者持有该类份额÷产品该类份额总份额。</w:t>
      </w:r>
    </w:p>
    <w:p w14:paraId="190C31A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2.自本理财产品终止日（不含）至投资者理财本金及收益到账日（含）之间为本理财产品的清算期。清算期原则上不得超过5个工作日，清算期超过5个工作日的，本理财产品终止日前，产品管理人将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提前1个工作日通过本理财产品销售文件约定的信息披露渠道发布相关信息公告通知投资者。</w:t>
      </w:r>
      <w:r>
        <w:rPr>
          <w:rFonts w:hint="eastAsia" w:ascii="宋体" w:hAnsi="宋体" w:cs="宋体"/>
          <w:b/>
          <w:bCs/>
          <w:color w:val="000000" w:themeColor="text1"/>
          <w:szCs w:val="21"/>
          <w14:textFill>
            <w14:solidFill>
              <w14:schemeClr w14:val="tx1"/>
            </w14:solidFill>
          </w14:textFill>
        </w:rPr>
        <w:t>本理财产品进入清算期后不再计算投资者收益。</w:t>
      </w:r>
    </w:p>
    <w:p w14:paraId="601C3768">
      <w:pPr>
        <w:spacing w:line="360" w:lineRule="auto"/>
        <w:ind w:firstLine="48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九、产品的费用</w:t>
      </w:r>
    </w:p>
    <w:p w14:paraId="7B73BE22">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（一）费用的种类</w:t>
      </w:r>
    </w:p>
    <w:p w14:paraId="250F7854">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本理财产品的费用包括销售手续费、固定管理费、托管费、超额业绩报酬以及应当在理财财产中列支的其他费用。</w:t>
      </w:r>
    </w:p>
    <w:p w14:paraId="03251A76">
      <w:pPr>
        <w:spacing w:line="360" w:lineRule="auto"/>
        <w:ind w:firstLine="48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★当本理财产品份额类别中存在份额为零的情况时，为零的产品份额类别不计提当日的销售手续费、固定管理费和托管费。</w:t>
      </w:r>
    </w:p>
    <w:p w14:paraId="5B71B72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（二）费用计提方法、计提标准和支付方式</w:t>
      </w:r>
    </w:p>
    <w:p w14:paraId="1F7E1A30">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1.销售手续费</w:t>
      </w:r>
    </w:p>
    <w:p w14:paraId="50FD4FC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理财财产的销售手续费计算方法如下：</w:t>
      </w:r>
    </w:p>
    <w:p w14:paraId="53A0FE4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H＝E×【各类份额的年销售手续费率】%÷365</w:t>
      </w:r>
    </w:p>
    <w:p w14:paraId="3AF3E4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H为每日应计提的销售手续费。</w:t>
      </w:r>
    </w:p>
    <w:p w14:paraId="23F89DE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29F63D6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销售手续费原则上按日计提，由产品管理人与托管人核对一致，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从理财财产中定期支付给销售机构。</w:t>
      </w:r>
    </w:p>
    <w:p w14:paraId="70C37EA3">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2.固定管理费</w:t>
      </w:r>
    </w:p>
    <w:p w14:paraId="6AE2889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理财财产的固定管理费计算方法如下：</w:t>
      </w:r>
    </w:p>
    <w:p w14:paraId="69465FC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H＝E×【年固定管理费率】%÷365</w:t>
      </w:r>
    </w:p>
    <w:p w14:paraId="385A604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H为每日应计提的固定管理费。</w:t>
      </w:r>
    </w:p>
    <w:p w14:paraId="250A78C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55F4C5AE">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固定管理费原则上按日计提，由产品管理人与托管人核对一致，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从理财财产中定期支付给产品管理人。</w:t>
      </w:r>
    </w:p>
    <w:p w14:paraId="54AD1F29">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★3.托管费</w:t>
      </w:r>
    </w:p>
    <w:p w14:paraId="009FC01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理财财产的托管费计算方法如下：</w:t>
      </w:r>
    </w:p>
    <w:p w14:paraId="67EDAEA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H＝E×【年托管费率】%÷365</w:t>
      </w:r>
    </w:p>
    <w:p w14:paraId="22A5678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H为每日应计提的托管费。</w:t>
      </w:r>
    </w:p>
    <w:p w14:paraId="5EC3D79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E为本理财产品前一日产品资产净值。</w:t>
      </w:r>
    </w:p>
    <w:p w14:paraId="50C83F05">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托管费原则上按日计提，由产品管理人与托管人核对一致，</w:t>
      </w:r>
      <w:r>
        <w:rPr>
          <w:rFonts w:hint="eastAsia" w:ascii="宋体" w:hAnsi="宋体" w:cs="宋体"/>
          <w:b/>
          <w:bCs/>
          <w:color w:val="000000" w:themeColor="text1"/>
          <w:szCs w:val="21"/>
          <w14:textFill>
            <w14:solidFill>
              <w14:schemeClr w14:val="tx1"/>
            </w14:solidFill>
          </w14:textFill>
        </w:rPr>
        <w:t>从理财财产中定期支付给产品托管人。</w:t>
      </w:r>
    </w:p>
    <w:p w14:paraId="6047BF29">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★4.超额业绩报酬</w:t>
      </w:r>
    </w:p>
    <w:p w14:paraId="613C15C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本理财产品暂不收取超额业绩报酬</w:t>
      </w:r>
      <w:r>
        <w:rPr>
          <w:rFonts w:hint="eastAsia" w:ascii="宋体" w:hAnsi="宋体" w:cs="宋体"/>
          <w:color w:val="000000" w:themeColor="text1"/>
          <w:szCs w:val="21"/>
          <w14:textFill>
            <w14:solidFill>
              <w14:schemeClr w14:val="tx1"/>
            </w14:solidFill>
          </w14:textFill>
        </w:rPr>
        <w:t>。</w:t>
      </w:r>
    </w:p>
    <w:p w14:paraId="6A89A63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5.其他费用</w:t>
      </w:r>
    </w:p>
    <w:p w14:paraId="7796F46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管理成本费用：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7FBC4872">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成本费用：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19286A7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★（三）特别说明</w:t>
      </w:r>
    </w:p>
    <w:p w14:paraId="2D9EFD2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项下北银理财所收取的费用为含税价格，相关税率按照国家法律法规规定执行。北银理财有权根据法律法规、监管规定、国家有关政策及市场情况调整前述收费项目、标准、条件、方式等具体收费内容。该等调整事项将</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14:paraId="11BDECA6">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十、资产估值</w:t>
      </w:r>
    </w:p>
    <w:p w14:paraId="406FCC07">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（一）估值目的和估值原则</w:t>
      </w:r>
    </w:p>
    <w:p w14:paraId="562060E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理财产品估值的目的是公允、合理地反映理财产品的价值。估值中坚持公允价值计量原则。金融资产的公允价值确定方法应与理财产品的类型相匹配。</w:t>
      </w:r>
    </w:p>
    <w:p w14:paraId="029BE01B">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（二）估值对象</w:t>
      </w:r>
    </w:p>
    <w:p w14:paraId="4F3FAF1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本理财产品持有的金融资产和负债，具体金融资产同投资范围。</w:t>
      </w:r>
    </w:p>
    <w:p w14:paraId="405E0FCC">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（三）估值日</w:t>
      </w:r>
    </w:p>
    <w:p w14:paraId="1D92D3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本理财产品成立后的每个自然日均为估值日。</w:t>
      </w:r>
    </w:p>
    <w:p w14:paraId="5C406C6D">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（四）估值方法</w:t>
      </w:r>
    </w:p>
    <w:p w14:paraId="28C9E924">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在证券交易所和全国银行间市场交易的债券，可按第三方估值机构（中证、中债等）提供的估值数据进行估值，具体第三方估值机构由产品管理人和产品托管人具体协商确定（另有规定的除外）。</w:t>
      </w:r>
    </w:p>
    <w:p w14:paraId="409EA97C">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在交易所市场上市交易的公开发行的可转换债券、可交换债券等有活跃市场的含转股权的债券，实行全价交易的债券按照估值日收盘价减去收盘价中所含债券应收利息后得到的估值价格进行估值；实行净价交易的债券，采用估值日收盘价估值。</w:t>
      </w:r>
    </w:p>
    <w:p w14:paraId="48397A65">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含投资者回售权的固定收益品种，行使回售权的，在回售登记日至实际收款日期间选取第三方估值基准服务机构提供的相应品种的唯一估值价格或推荐估值价格确定公允价值，同时应充分考虑发行人的信用风险变化对公允价值的影响。回售登记期截止日（含当日）后未行使回售权的按照长待偿期所对应的价格进行估值；</w:t>
      </w:r>
    </w:p>
    <w:p w14:paraId="6BF6A746">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对于未上市或未挂牌转让且不存在活跃市场的固定收益品种，应采用在当前情况下适用并且有足够可利用数据和其他信息支持的估值技术确定其公允价值。</w:t>
      </w:r>
    </w:p>
    <w:p w14:paraId="32C27774">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14:paraId="16FD6C44">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未上市期间的有价证券应区分如下情况处理：</w:t>
      </w:r>
    </w:p>
    <w:p w14:paraId="2CD78340">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1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14:paraId="7CBE19DD">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2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首次公开发行未上市或未挂牌转让的股票，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14:paraId="78A9E1A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 3 \* roman \* MERGEFORMAT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iii</w:t>
      </w:r>
      <w:r>
        <w:rPr>
          <w:rFonts w:hint="eastAsia" w:ascii="宋体" w:hAnsi="宋体" w:cs="宋体"/>
          <w:color w:val="000000" w:themeColor="text1"/>
          <w:szCs w:val="21"/>
          <w14:textFill>
            <w14:solidFill>
              <w14:schemeClr w14:val="tx1"/>
            </w14:solidFill>
          </w14:textFill>
        </w:rPr>
        <w:fldChar w:fldCharType="end"/>
      </w:r>
      <w:r>
        <w:rPr>
          <w:rFonts w:hint="eastAsia" w:ascii="宋体" w:hAnsi="宋体" w:cs="宋体"/>
          <w:color w:val="000000" w:themeColor="text1"/>
          <w:szCs w:val="21"/>
          <w14:textFill>
            <w14:solidFill>
              <w14:schemeClr w14:val="tx1"/>
            </w14:solidFill>
          </w14:textFill>
        </w:rPr>
        <w:t>）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14:paraId="5EB8FB0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14:paraId="5B04F85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不满足上述条件的，可根据优先股的股息支付条款，经产品管理人与产品托管人协商，采用现金流折现模型等估值模型，或依据第三方估值机构提供的价格数据确定公允价值。</w:t>
      </w:r>
    </w:p>
    <w:p w14:paraId="49FF13A0">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期货、互换、期权、权证等衍生金融工具场内交易以交易所最近交易日结算价或最新市价进行估值，场外交易按照第三方机构（上海清算所等）提供的估值数据、或产品管理人认可的估值模型和参数处理模式进行估值。</w:t>
      </w:r>
    </w:p>
    <w:p w14:paraId="535D5275">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证券交易所上市的定期开放式基金、封闭式基金，按估值日收盘价估值；估值日无交易，且最近交易日后未发生影响公允价值计量的重大事件的，按最近交易日的收盘价估值；估值日无交易，且最近交易日后发生影响公允价值计量的重大事件的，可以以该结构化主体管理人公布的最新净值为基础或参考类似投资品种的现行市价及重大变化因素，调整最近交易日的收盘价确定公允价值。</w:t>
      </w:r>
    </w:p>
    <w:p w14:paraId="47A7789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境内上市开放式基金（LOF），按所投资基金估值日的份额净值确定公允价值。估值日未公布基金份额净值的，按最新公布的基金份额净值估值。</w:t>
      </w:r>
    </w:p>
    <w:p w14:paraId="6C4D938E">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交易型开放式指数基金（ETF），按所投资ETF基金估值日的收盘价确定公允价值。</w:t>
      </w:r>
    </w:p>
    <w:p w14:paraId="5489DA6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上市交易型货币市场基金，如所投资基金披露份额净值，则按所投资基金估值日发布的份额净值估值，未公布估值日基金份额净值的，按最新公布的基金份额净值估值；如所投资基金披露万份（／百份）收益，则按所投资基金前一估值日后至估值日期间（含节假日）发布的万份（／百份）收益计提估值日基金收益，未公布估值日基金万份（／百份）收益的，按最新公布的万份（／百份）收益计提。</w:t>
      </w:r>
    </w:p>
    <w:p w14:paraId="3D3396C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对于处于限售期内的基金份额（例如公募REITS）投资，应在上述估值方法的基础上，考虑流动性折扣调整。</w:t>
      </w:r>
    </w:p>
    <w:p w14:paraId="6AD8424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的基金，估值日资产管理人提供净值的，按资产管理人提供的估值日净值估值；估值日资产管理人未提供净值，且从最近净值提供日到估值日整体市场环境及投资标的未发生重大变化的，可参考最近可获取的净值确定公允价值。</w:t>
      </w:r>
    </w:p>
    <w:p w14:paraId="6275AC28">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非上市货币市场基金，按前一估值日后至估值日期间（含节假日）发布的万份（／百份）收益计提估值日收益，未公布估值日基金万份（／百份）收益的，按最新公布的万份（／百份）收益计提。</w:t>
      </w:r>
    </w:p>
    <w:p w14:paraId="48BB8311">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资产管理产品：</w:t>
      </w:r>
    </w:p>
    <w:p w14:paraId="42D1CA17">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以各类资产管理产品的管理人和资产管理产品的托管人共同确认的最新净值或投资收益情况进行估值。</w:t>
      </w:r>
    </w:p>
    <w:p w14:paraId="54DBE179">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债券回购和拆借按本金列示，逐日计提利息。</w:t>
      </w:r>
    </w:p>
    <w:p w14:paraId="438FF842">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银行存款每个估值日以本金列示，逐日计提利息。</w:t>
      </w:r>
    </w:p>
    <w:p w14:paraId="64BE2F73">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结构性存款按照发行人提供的估值数据或产品管理人认可的模型估值和参数处理模式进行估值。</w:t>
      </w:r>
    </w:p>
    <w:p w14:paraId="6FD58756">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14:paraId="2837BA9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14:paraId="094C08E1">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（五）估值差错处理</w:t>
      </w:r>
    </w:p>
    <w:p w14:paraId="4FF98E7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产品管理人或产品托管人发现资产估值违反本《理财产品说明书》订明的估值方法及相关法律法规的规定或者未能充分维护投资者利益时，应及时通知对方，共同查明原因，协商解决，如经相关各方在平等基础上充分讨论后，仍无法达成一致意见，以产品管理人的意见为准。</w:t>
      </w:r>
    </w:p>
    <w:p w14:paraId="3CEEBCF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当发现资产估值存在错误时，产品管理人和产品托管人应该及时更正。</w:t>
      </w:r>
    </w:p>
    <w:p w14:paraId="05606CFD">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（六）暂停估值</w:t>
      </w:r>
    </w:p>
    <w:p w14:paraId="640942E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当出现下列情形时，产品管理人有权选择暂停理财产品估值：</w:t>
      </w:r>
    </w:p>
    <w:p w14:paraId="0BDF705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1.本理财产品投资所涉及的证券交易所遇法定节假日或其他原因暂停营业时；</w:t>
      </w:r>
    </w:p>
    <w:p w14:paraId="2E76C33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2.因任何不可抗力及/或意外事件等致使产品管理人无法准确评估资产价值时；</w:t>
      </w:r>
    </w:p>
    <w:p w14:paraId="0072B2E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3.本理财产品在前一估值日内，产品资产净值50%以上的资产不具备活跃交易市场或者在活跃市场中无报价，且不能采用估值技术可靠计量公允价值的，产品管理人应暂停本理财产品估值；</w:t>
      </w:r>
    </w:p>
    <w:p w14:paraId="30526B8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4.法律法规规定或本理财产品销售文件约定的其他情形。</w:t>
      </w:r>
    </w:p>
    <w:p w14:paraId="3B57CAF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选择暂停理财产品估值的，产品管理人将按照监管规定及本理财产品销售文件约定的方式在3个交易日内发布临时信息披露，告知本理财产品的投资者，并说明运用相关措施的原因及拟采取的应对安排等。待估值条件恢复时，产品管理人将按规定完成估值工作。</w:t>
      </w:r>
    </w:p>
    <w:p w14:paraId="4889A7F8">
      <w:pPr>
        <w:pStyle w:val="2"/>
        <w:spacing w:line="360" w:lineRule="auto"/>
        <w:ind w:left="0" w:leftChars="0" w:firstLine="420" w:firstLineChars="200"/>
        <w:outlineLvl w:val="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（七）特殊情况处理</w:t>
      </w:r>
    </w:p>
    <w:p w14:paraId="447B6880">
      <w:pPr>
        <w:spacing w:line="360" w:lineRule="auto"/>
        <w:ind w:left="0" w:leftChars="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1.产品管理人、产品托管人按照本</w:t>
      </w:r>
      <w:r>
        <w:rPr>
          <w:rFonts w:hint="eastAsia" w:ascii="宋体" w:hAnsi="宋体" w:cs="宋体"/>
          <w:color w:val="000000" w:themeColor="text1"/>
          <w14:textFill>
            <w14:solidFill>
              <w14:schemeClr w14:val="tx1"/>
            </w14:solidFill>
          </w14:textFill>
        </w:rPr>
        <w:t>《理财产品说明书》</w:t>
      </w:r>
      <w:r>
        <w:rPr>
          <w:rFonts w:hint="eastAsia" w:ascii="宋体" w:hAnsi="宋体" w:cs="宋体"/>
          <w:color w:val="000000" w:themeColor="text1"/>
          <w:szCs w:val="21"/>
          <w14:textFill>
            <w14:solidFill>
              <w14:schemeClr w14:val="tx1"/>
            </w14:solidFill>
          </w14:textFill>
        </w:rPr>
        <w:t>估值方法进行估值时，</w:t>
      </w:r>
      <w:r>
        <w:rPr>
          <w:rFonts w:hint="eastAsia" w:ascii="宋体" w:hAnsi="宋体" w:cs="宋体"/>
          <w:color w:val="000000" w:themeColor="text1"/>
          <w14:textFill>
            <w14:solidFill>
              <w14:schemeClr w14:val="tx1"/>
            </w14:solidFill>
          </w14:textFill>
        </w:rPr>
        <w:t>因估值精度、数据延迟等原因</w:t>
      </w:r>
      <w:r>
        <w:rPr>
          <w:rFonts w:hint="eastAsia" w:ascii="宋体" w:hAnsi="宋体" w:cs="宋体"/>
          <w:color w:val="000000" w:themeColor="text1"/>
          <w:szCs w:val="21"/>
          <w14:textFill>
            <w14:solidFill>
              <w14:schemeClr w14:val="tx1"/>
            </w14:solidFill>
          </w14:textFill>
        </w:rPr>
        <w:t>所造成的误差不作为估值差错处理。</w:t>
      </w:r>
    </w:p>
    <w:p w14:paraId="0AB9AF2D">
      <w:pPr>
        <w:pStyle w:val="2"/>
        <w:spacing w:line="360" w:lineRule="auto"/>
        <w:ind w:left="0" w:leftChars="0"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2.由于不可抗力及/或意外事件原因，或由于证券交易所、期货交易所、第三方估值机构或信托公司、保险公司、证券公司、基金公司等投资合作机构发送数据错误等非产品管理人和托管人原因，产品管理人和托管人虽然已经采取必要、适当、合理的措施进行检查，但未能发现错误，由此造成估值差错的，产品管理人对此不承担责任。但产品管理人应当积极采取必要的措施减轻或消除由此造成的影响。</w:t>
      </w:r>
    </w:p>
    <w:p w14:paraId="378A29FD">
      <w:pPr>
        <w:pStyle w:val="2"/>
        <w:spacing w:line="360" w:lineRule="auto"/>
        <w:ind w:left="0" w:leftChars="0" w:firstLine="420" w:firstLineChars="200"/>
        <w:rPr>
          <w:rFonts w:ascii="宋体" w:hAnsi="宋体" w:cs="宋体"/>
          <w:b w:val="0"/>
          <w:bCs w:val="0"/>
          <w:color w:val="000000" w:themeColor="text1"/>
          <w14:textFill>
            <w14:solidFill>
              <w14:schemeClr w14:val="tx1"/>
            </w14:solidFill>
          </w14:textFill>
        </w:rPr>
      </w:pPr>
      <w:r>
        <w:rPr>
          <w:rFonts w:hint="eastAsia" w:ascii="宋体" w:hAnsi="宋体" w:cs="宋体"/>
          <w:b w:val="0"/>
          <w:bCs w:val="0"/>
          <w:color w:val="000000" w:themeColor="text1"/>
          <w14:textFill>
            <w14:solidFill>
              <w14:schemeClr w14:val="tx1"/>
            </w14:solidFill>
          </w14:textFill>
        </w:rPr>
        <w:t>3.全球投资涉及不同市场及时区，由于时差、通讯或其他非可控的客观原因，在产品管理人和托管人协商一致的时点前无法确认的交易，导致的对理财产品净值的影响，不作为估值错误处理。</w:t>
      </w:r>
    </w:p>
    <w:p w14:paraId="2F8F8B45">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4.前述内容如法律法规、监管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另有规定的，或有关会计准则发生变化等，按照国家最新规定或产品管理人和产品托管人最新约定估值。如果行业另有通行做法，产品管理人和产品托管人本着平等和保护理财产品投资者利益的原则进行协商。</w:t>
      </w:r>
    </w:p>
    <w:p w14:paraId="3AA75576">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（八）资产账册的建立</w:t>
      </w:r>
    </w:p>
    <w:p w14:paraId="73BFF8B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和产品托管人在本理财产品销售文件生效后，应按照相关各方约定的同一记账方法和会计处理原则，分别独立的设置、登录和保管理财财产的全套账册，对相关各方各自的账册定期进行核对，互相监督。若双方对会计处理方法存在分歧，应以产品管理人的处理方法为准。</w:t>
      </w:r>
    </w:p>
    <w:p w14:paraId="07E4F4B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经对账发现相关各方的账目存在不符的，产品管理人和产品托管人必须及时查明原因并纠正，保证相关各方平行登录的账册记录完全相符。</w:t>
      </w:r>
    </w:p>
    <w:p w14:paraId="3FA50120">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十一、产品的信息披露</w:t>
      </w:r>
    </w:p>
    <w:p w14:paraId="79E024BF">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（一）信息披露内容</w:t>
      </w:r>
    </w:p>
    <w:p w14:paraId="1C17A0C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严格按照相关法律法规、规章、监管规定和本理财产品销售文件的约定履行信息披露义务，及时、准确、完整地向投资者披露本理财产品的募集信息、资金投向、杠杆水平、收益分配、托管安排、投资账户信息、主要投资风险、关联交易等事项。</w:t>
      </w:r>
    </w:p>
    <w:p w14:paraId="46C6A3DD">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（二）信息披露</w:t>
      </w:r>
      <w:r>
        <w:rPr>
          <w:rFonts w:hint="eastAsia" w:ascii="宋体" w:hAnsi="宋体" w:cs="宋体"/>
          <w:color w:val="000000" w:themeColor="text1"/>
          <w:szCs w:val="21"/>
          <w:lang w:val="en-US" w:eastAsia="zh-CN"/>
          <w14:textFill>
            <w14:solidFill>
              <w14:schemeClr w14:val="tx1"/>
            </w14:solidFill>
          </w14:textFill>
        </w:rPr>
        <w:t>方式和</w:t>
      </w:r>
      <w:r>
        <w:rPr>
          <w:rFonts w:hint="eastAsia" w:ascii="宋体" w:hAnsi="宋体" w:cs="宋体"/>
          <w:color w:val="000000" w:themeColor="text1"/>
          <w:szCs w:val="21"/>
          <w14:textFill>
            <w14:solidFill>
              <w14:schemeClr w14:val="tx1"/>
            </w14:solidFill>
          </w14:textFill>
        </w:rPr>
        <w:t>频率</w:t>
      </w:r>
    </w:p>
    <w:p w14:paraId="22613E55">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1.发行公告</w:t>
      </w:r>
    </w:p>
    <w:p w14:paraId="39B7697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产品管理人将在本理财产品成立后5个工作日内披露发行公告。</w:t>
      </w:r>
    </w:p>
    <w:p w14:paraId="1481CF84">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2.净值公告</w:t>
      </w:r>
    </w:p>
    <w:p w14:paraId="22F9B4FB">
      <w:pPr>
        <w:spacing w:beforeLines="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理财产品成立后，产品管理人将在每个开放日结束后2个工作日内披露开放日的产品份额净值、产品份额累计净值、产品资产净值、认（申）购价格、赎回价格；在定期报告中披露本理财产品在季度、半年和年度最后一个市场交易日的产品份额净值、产品份额累计净值和产品资产净值。</w:t>
      </w:r>
    </w:p>
    <w:p w14:paraId="5B6B2D34">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3.分红公告</w:t>
      </w:r>
    </w:p>
    <w:p w14:paraId="69BE2E7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产品管理人将在本理财产品分红后2个工作日内披露产品分红公告（如有）。</w:t>
      </w:r>
    </w:p>
    <w:p w14:paraId="685FF7A1">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4.重大事项公告</w:t>
      </w:r>
    </w:p>
    <w:p w14:paraId="6226D43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产品管理人将在发生可能对本理财产品投资者权益或者本理财产品投资收益等产生重大影响的事件后2个工作日内披露重大事项公告。</w:t>
      </w:r>
    </w:p>
    <w:p w14:paraId="3230A3F7">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5.定期报告</w:t>
      </w:r>
    </w:p>
    <w:p w14:paraId="3A216EBE">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每个季度结束之日起15个工作日内、上半年结束之日起60个工作日内、每年结束之日起90个工作日内编制完成本理财产品的季度、半年和年度报告等定期报告，并向投资者披露。如果本理财产品成立不足90个工作日或者剩余存续期不超过90个工作日的，产品管理人可以不编制本理财产品当期的季度、半年和年度报告。</w:t>
      </w:r>
    </w:p>
    <w:p w14:paraId="2EFBE227">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6.到期公告</w:t>
      </w:r>
    </w:p>
    <w:p w14:paraId="56DAF60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产品管理人将在本理财产品终止日后5个工作日内披露产品到期公告。</w:t>
      </w:r>
    </w:p>
    <w:p w14:paraId="1558B9EB">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7.临时公告</w:t>
      </w:r>
    </w:p>
    <w:p w14:paraId="4A114BD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本理财产品在运作管理过程中，发生可能对本理财产品份额持有人权益产生影响的事项、涉及本理财产品</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14:textFill>
            <w14:solidFill>
              <w14:schemeClr w14:val="tx1"/>
            </w14:solidFill>
          </w14:textFill>
        </w:rPr>
        <w:t>、赎回事项调整或潜在影响投资者赎回等事项时，产品管理人将根据法律法规规定和本理财产品销售文件约定及时进行临时信息披露。</w:t>
      </w:r>
    </w:p>
    <w:p w14:paraId="0DDE523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★（三）信息披露渠道</w:t>
      </w:r>
    </w:p>
    <w:p w14:paraId="1AFEABA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本理财产品的信息披露渠道为代销机构</w:t>
      </w:r>
      <w:r>
        <w:rPr>
          <w:rFonts w:hint="eastAsia" w:ascii="宋体" w:hAnsi="宋体" w:cs="宋体"/>
          <w:color w:val="000000" w:themeColor="text1"/>
          <w:szCs w:val="21"/>
          <w:lang w:val="en-US" w:eastAsia="zh-CN"/>
          <w14:textFill>
            <w14:solidFill>
              <w14:schemeClr w14:val="tx1"/>
            </w14:solidFill>
          </w14:textFill>
        </w:rPr>
        <w:t>电子渠道</w:t>
      </w:r>
      <w:r>
        <w:rPr>
          <w:rFonts w:hint="eastAsia" w:ascii="宋体" w:hAnsi="宋体" w:cs="宋体"/>
          <w:color w:val="000000" w:themeColor="text1"/>
          <w:szCs w:val="21"/>
          <w14:textFill>
            <w14:solidFill>
              <w14:schemeClr w14:val="tx1"/>
            </w14:solidFill>
          </w14:textFill>
        </w:rPr>
        <w:t>、北银理财有限责任公司官方网站、中国理财网或监管机构认可的其他公开渠道，投资者可通过上述渠道查询本理财产品相关信息</w:t>
      </w:r>
      <w:bookmarkStart w:id="2" w:name="_Hlk146059341"/>
      <w:r>
        <w:rPr>
          <w:rFonts w:hint="eastAsia" w:ascii="宋体" w:hAnsi="宋体" w:cs="宋体"/>
          <w:color w:val="000000" w:themeColor="text1"/>
          <w:szCs w:val="21"/>
          <w14:textFill>
            <w14:solidFill>
              <w14:schemeClr w14:val="tx1"/>
            </w14:solidFill>
          </w14:textFill>
        </w:rPr>
        <w:t>，在保障投资者知情权的前提下，产品管理人保留变更信息披露渠道的权利</w:t>
      </w:r>
      <w:bookmarkEnd w:id="2"/>
      <w:r>
        <w:rPr>
          <w:rFonts w:hint="eastAsia" w:ascii="宋体" w:hAnsi="宋体" w:cs="宋体"/>
          <w:color w:val="000000" w:themeColor="text1"/>
          <w:szCs w:val="21"/>
          <w14:textFill>
            <w14:solidFill>
              <w14:schemeClr w14:val="tx1"/>
            </w14:solidFill>
          </w14:textFill>
        </w:rPr>
        <w:t>。相关信息自公告之日即视为已送达投资者</w:t>
      </w:r>
      <w:bookmarkStart w:id="3" w:name="_Hlk146059345"/>
      <w:r>
        <w:rPr>
          <w:rFonts w:hint="eastAsia" w:ascii="宋体" w:hAnsi="宋体" w:cs="宋体"/>
          <w:color w:val="000000" w:themeColor="text1"/>
          <w:szCs w:val="21"/>
          <w14:textFill>
            <w14:solidFill>
              <w14:schemeClr w14:val="tx1"/>
            </w14:solidFill>
          </w14:textFill>
        </w:rPr>
        <w:t>且产品管理人已适当履行其信息披露义务</w:t>
      </w:r>
      <w:bookmarkEnd w:id="3"/>
      <w:r>
        <w:rPr>
          <w:rFonts w:hint="eastAsia" w:ascii="宋体" w:hAnsi="宋体" w:cs="宋体"/>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如投资者未适时查询，或由于不可抗力及/或意外事件的影响使得投资者无法了解本理财产品信息，并由此影响投资者的投资决策，因此而产生责任和风险由投资者自行承担。</w:t>
      </w:r>
      <w:r>
        <w:rPr>
          <w:rFonts w:hint="eastAsia" w:ascii="宋体" w:hAnsi="宋体" w:cs="宋体"/>
          <w:color w:val="000000" w:themeColor="text1"/>
          <w:szCs w:val="21"/>
          <w14:textFill>
            <w14:solidFill>
              <w14:schemeClr w14:val="tx1"/>
            </w14:solidFill>
          </w14:textFill>
        </w:rPr>
        <w:t xml:space="preserve"> </w:t>
      </w:r>
    </w:p>
    <w:p w14:paraId="3C439219">
      <w:pPr>
        <w:spacing w:line="360" w:lineRule="auto"/>
        <w:ind w:firstLine="420" w:firstLineChars="200"/>
        <w:rPr>
          <w:rStyle w:val="11"/>
          <w:rFonts w:ascii="宋体" w:hAnsi="宋体" w:cs="宋体"/>
          <w:b/>
          <w:bCs/>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★（四）本理财产品存续期间，若法律法规、国家监管政策或市场情况发生变化，产品管理人可能对本《理财产品说明书》中</w:t>
      </w:r>
      <w:r>
        <w:rPr>
          <w:rFonts w:hint="eastAsia" w:ascii="宋体" w:hAnsi="宋体" w:cs="宋体"/>
          <w:color w:val="000000" w:themeColor="text1"/>
          <w:szCs w:val="21"/>
          <w:lang w:val="en-US" w:eastAsia="zh-CN"/>
          <w14:textFill>
            <w14:solidFill>
              <w14:schemeClr w14:val="tx1"/>
            </w14:solidFill>
          </w14:textFill>
        </w:rPr>
        <w:t>产品类型、</w:t>
      </w:r>
      <w:r>
        <w:rPr>
          <w:rFonts w:hint="eastAsia" w:ascii="宋体" w:hAnsi="宋体" w:cs="宋体"/>
          <w:color w:val="000000" w:themeColor="text1"/>
          <w:szCs w:val="21"/>
          <w14:textFill>
            <w14:solidFill>
              <w14:schemeClr w14:val="tx1"/>
            </w14:solidFill>
          </w14:textFill>
        </w:rPr>
        <w:t>投资范围、投资品种、投资比例</w:t>
      </w:r>
      <w:r>
        <w:rPr>
          <w:rFonts w:hint="eastAsia" w:ascii="宋体" w:hAnsi="宋体" w:cs="宋体"/>
          <w:color w:val="000000" w:themeColor="text1"/>
          <w:szCs w:val="2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产品风险评级</w:t>
      </w:r>
      <w:r>
        <w:rPr>
          <w:rFonts w:hint="eastAsia" w:ascii="宋体" w:hAnsi="宋体" w:cs="宋体"/>
          <w:color w:val="000000" w:themeColor="text1"/>
          <w:szCs w:val="21"/>
          <w14:textFill>
            <w14:solidFill>
              <w14:schemeClr w14:val="tx1"/>
            </w14:solidFill>
          </w14:textFill>
        </w:rPr>
        <w:t>及收益分配等内容进行调整，但应</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提前1个工作日在约定渠道向投资者进行信息披露。</w:t>
      </w:r>
      <w:r>
        <w:rPr>
          <w:rFonts w:hint="eastAsia" w:ascii="宋体" w:hAnsi="宋体" w:cs="宋体"/>
          <w:b/>
          <w:bCs/>
          <w:color w:val="000000" w:themeColor="text1"/>
          <w:szCs w:val="21"/>
          <w14:textFill>
            <w14:solidFill>
              <w14:schemeClr w14:val="tx1"/>
            </w14:solidFill>
          </w14:textFill>
        </w:rPr>
        <w:t>如投资者未按照公告进行赎回操作的，视为投资者同意接受该等调整并按其执行。</w:t>
      </w:r>
    </w:p>
    <w:p w14:paraId="2C6A3759">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★（五）本理财产品存续期间，若因国家法律法规、监管规定发生变化，或出于维持本理财产品正常运营的需要，在不损害投资者利益的前提下，产品管理人有权单方面对本理财产品销售文件进行修订，并</w:t>
      </w:r>
      <w:r>
        <w:rPr>
          <w:rFonts w:hint="eastAsia" w:ascii="宋体" w:hAnsi="宋体" w:cs="宋体"/>
          <w:color w:val="000000" w:themeColor="text1"/>
          <w:szCs w:val="21"/>
          <w:lang w:val="en-US" w:eastAsia="zh-CN"/>
          <w14:textFill>
            <w14:solidFill>
              <w14:schemeClr w14:val="tx1"/>
            </w14:solidFill>
          </w14:textFill>
        </w:rPr>
        <w:t>至少</w:t>
      </w:r>
      <w:r>
        <w:rPr>
          <w:rFonts w:hint="eastAsia" w:ascii="宋体" w:hAnsi="宋体" w:cs="宋体"/>
          <w:color w:val="000000" w:themeColor="text1"/>
          <w:szCs w:val="21"/>
          <w14:textFill>
            <w14:solidFill>
              <w14:schemeClr w14:val="tx1"/>
            </w14:solidFill>
          </w14:textFill>
        </w:rPr>
        <w:t>提前1个工作日进行公告。</w:t>
      </w:r>
      <w:r>
        <w:rPr>
          <w:rFonts w:hint="eastAsia" w:ascii="宋体" w:hAnsi="宋体" w:cs="宋体"/>
          <w:b/>
          <w:bCs/>
          <w:color w:val="000000" w:themeColor="text1"/>
          <w:szCs w:val="21"/>
          <w14:textFill>
            <w14:solidFill>
              <w14:schemeClr w14:val="tx1"/>
            </w14:solidFill>
          </w14:textFill>
        </w:rPr>
        <w:t>投资者在此同意修订后的理财产品销售文件对投资者具有法律约束力。</w:t>
      </w:r>
    </w:p>
    <w:p w14:paraId="010B9018">
      <w:pPr>
        <w:spacing w:line="360" w:lineRule="auto"/>
        <w:ind w:firstLine="422" w:firstLineChars="200"/>
        <w:outlineLvl w:val="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十二、相关机构的概况</w:t>
      </w:r>
    </w:p>
    <w:p w14:paraId="49D3D16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（一）产品托管机构的基本信息和主要职责</w:t>
      </w:r>
    </w:p>
    <w:p w14:paraId="21E00B5F">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基本信息</w:t>
      </w:r>
    </w:p>
    <w:p w14:paraId="63275148">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名称：北京银行股份有限公司</w:t>
      </w:r>
    </w:p>
    <w:p w14:paraId="1E303599">
      <w:pPr>
        <w:pStyle w:val="2"/>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住所</w:t>
      </w:r>
      <w:r>
        <w:rPr>
          <w:rFonts w:hint="eastAsia" w:ascii="宋体" w:hAnsi="宋体" w:eastAsia="宋体" w:cs="宋体"/>
          <w:color w:val="000000" w:themeColor="text1"/>
          <w14:textFill>
            <w14:solidFill>
              <w14:schemeClr w14:val="tx1"/>
            </w14:solidFill>
          </w14:textFill>
        </w:rPr>
        <w:t>：北京市西城区金融大街甲17号首层</w:t>
      </w:r>
    </w:p>
    <w:p w14:paraId="31643D80">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联系方式</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95526</w:t>
      </w:r>
    </w:p>
    <w:p w14:paraId="184D0D36">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产品管理人在此特别披露：</w:t>
      </w:r>
      <w:r>
        <w:rPr>
          <w:rFonts w:hint="eastAsia" w:ascii="宋体" w:hAnsi="宋体" w:cs="宋体"/>
          <w:color w:val="000000" w:themeColor="text1"/>
          <w:lang w:val="en-US" w:eastAsia="zh-CN"/>
          <w14:textFill>
            <w14:solidFill>
              <w14:schemeClr w14:val="tx1"/>
            </w14:solidFill>
          </w14:textFill>
        </w:rPr>
        <w:t>上述</w:t>
      </w:r>
      <w:r>
        <w:rPr>
          <w:rFonts w:hint="eastAsia" w:ascii="宋体" w:hAnsi="宋体" w:cs="宋体"/>
          <w:color w:val="000000" w:themeColor="text1"/>
          <w14:textFill>
            <w14:solidFill>
              <w14:schemeClr w14:val="tx1"/>
            </w14:solidFill>
          </w14:textFill>
        </w:rPr>
        <w:t>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为产品管理人的关联方，产品管理人聘请其担任产品托管</w:t>
      </w:r>
      <w:r>
        <w:rPr>
          <w:rFonts w:hint="eastAsia" w:ascii="宋体" w:hAnsi="宋体" w:cs="宋体"/>
          <w:color w:val="000000" w:themeColor="text1"/>
          <w:lang w:val="en-US" w:eastAsia="zh-CN"/>
          <w14:textFill>
            <w14:solidFill>
              <w14:schemeClr w14:val="tx1"/>
            </w14:solidFill>
          </w14:textFill>
        </w:rPr>
        <w:t>机构</w:t>
      </w:r>
      <w:r>
        <w:rPr>
          <w:rFonts w:hint="eastAsia" w:ascii="宋体" w:hAnsi="宋体" w:cs="宋体"/>
          <w:color w:val="000000" w:themeColor="text1"/>
          <w14:textFill>
            <w14:solidFill>
              <w14:schemeClr w14:val="tx1"/>
            </w14:solidFill>
          </w14:textFill>
        </w:rPr>
        <w:t>已履行了现行法律法规和监管规定所规定必须履行的程序,产品管理人、投资者同意并接受本理财产品由</w:t>
      </w:r>
      <w:r>
        <w:rPr>
          <w:rFonts w:hint="eastAsia" w:ascii="宋体" w:hAnsi="宋体" w:cs="宋体"/>
          <w:color w:val="000000" w:themeColor="text1"/>
          <w:lang w:val="en-US" w:eastAsia="zh-CN"/>
          <w14:textFill>
            <w14:solidFill>
              <w14:schemeClr w14:val="tx1"/>
            </w14:solidFill>
          </w14:textFill>
        </w:rPr>
        <w:t>其</w:t>
      </w:r>
      <w:r>
        <w:rPr>
          <w:rFonts w:hint="eastAsia" w:ascii="宋体" w:hAnsi="宋体" w:cs="宋体"/>
          <w:color w:val="000000" w:themeColor="text1"/>
          <w14:textFill>
            <w14:solidFill>
              <w14:schemeClr w14:val="tx1"/>
            </w14:solidFill>
          </w14:textFill>
        </w:rPr>
        <w:t>托管。</w:t>
      </w:r>
    </w:p>
    <w:p w14:paraId="41DA1B08">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2.产品托管</w:t>
      </w:r>
      <w:r>
        <w:rPr>
          <w:rFonts w:hint="eastAsia" w:ascii="宋体" w:hAnsi="宋体" w:cs="宋体"/>
          <w:color w:val="000000" w:themeColor="text1"/>
          <w:szCs w:val="21"/>
          <w:lang w:val="en-US" w:eastAsia="zh-CN"/>
          <w14:textFill>
            <w14:solidFill>
              <w14:schemeClr w14:val="tx1"/>
            </w14:solidFill>
          </w14:textFill>
        </w:rPr>
        <w:t>机构</w:t>
      </w:r>
      <w:r>
        <w:rPr>
          <w:rFonts w:hint="eastAsia" w:ascii="宋体" w:hAnsi="宋体" w:cs="宋体"/>
          <w:color w:val="000000" w:themeColor="text1"/>
          <w:szCs w:val="21"/>
          <w14:textFill>
            <w14:solidFill>
              <w14:schemeClr w14:val="tx1"/>
            </w14:solidFill>
          </w14:textFill>
        </w:rPr>
        <w:t>主要职责</w:t>
      </w:r>
    </w:p>
    <w:p w14:paraId="5D57417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（1）安全保管本理财产品财产；</w:t>
      </w:r>
    </w:p>
    <w:p w14:paraId="3877ECF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（2）为本理财产品开立银行托管账户、证券账户等；</w:t>
      </w:r>
    </w:p>
    <w:p w14:paraId="38028F9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（3）确认与执行本理财产品资金划拨指令，办理本理财产品资金的收付，核对本理财产品资金划拨记录；</w:t>
      </w:r>
    </w:p>
    <w:p w14:paraId="4A6CD2A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（4）建立与产品管理人的对账机制，复核本理财产品资产净值、</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val="en-US" w:eastAsia="zh-CN"/>
          <w14:textFill>
            <w14:solidFill>
              <w14:schemeClr w14:val="tx1"/>
            </w14:solidFill>
          </w14:textFill>
        </w:rPr>
        <w:t>和</w:t>
      </w:r>
      <w:r>
        <w:rPr>
          <w:rFonts w:hint="eastAsia" w:ascii="宋体" w:hAnsi="宋体" w:cs="宋体"/>
          <w:color w:val="000000" w:themeColor="text1"/>
          <w:szCs w:val="21"/>
          <w14:textFill>
            <w14:solidFill>
              <w14:schemeClr w14:val="tx1"/>
            </w14:solidFill>
          </w14:textFill>
        </w:rPr>
        <w:t>赎回价格</w:t>
      </w:r>
      <w:r>
        <w:rPr>
          <w:rFonts w:hint="eastAsia" w:ascii="宋体" w:hAnsi="宋体" w:cs="宋体"/>
          <w:color w:val="000000" w:themeColor="text1"/>
          <w:szCs w:val="21"/>
          <w:lang w:val="en-US" w:eastAsia="zh-CN"/>
          <w14:textFill>
            <w14:solidFill>
              <w14:schemeClr w14:val="tx1"/>
            </w14:solidFill>
          </w14:textFill>
        </w:rPr>
        <w:t>等数据</w:t>
      </w:r>
      <w:r>
        <w:rPr>
          <w:rFonts w:hint="eastAsia" w:ascii="宋体" w:hAnsi="宋体" w:cs="宋体"/>
          <w:color w:val="000000" w:themeColor="text1"/>
          <w:szCs w:val="21"/>
          <w14:textFill>
            <w14:solidFill>
              <w14:schemeClr w14:val="tx1"/>
            </w14:solidFill>
          </w14:textFill>
        </w:rPr>
        <w:t>，及时核查</w:t>
      </w:r>
      <w:r>
        <w:rPr>
          <w:rFonts w:hint="eastAsia" w:ascii="宋体" w:hAnsi="宋体" w:cs="宋体"/>
          <w:color w:val="000000" w:themeColor="text1"/>
          <w:szCs w:val="21"/>
          <w:highlight w:val="none"/>
          <w14:textFill>
            <w14:solidFill>
              <w14:schemeClr w14:val="tx1"/>
            </w14:solidFill>
          </w14:textFill>
        </w:rPr>
        <w:t>认（申）购</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赎回</w:t>
      </w:r>
      <w:r>
        <w:rPr>
          <w:rFonts w:hint="eastAsia" w:ascii="宋体" w:hAnsi="宋体" w:cs="宋体"/>
          <w:color w:val="000000" w:themeColor="text1"/>
          <w:szCs w:val="21"/>
          <w:lang w:val="en-US" w:eastAsia="zh-CN"/>
          <w14:textFill>
            <w14:solidFill>
              <w14:schemeClr w14:val="tx1"/>
            </w14:solidFill>
          </w14:textFill>
        </w:rPr>
        <w:t>以及</w:t>
      </w:r>
      <w:r>
        <w:rPr>
          <w:rFonts w:hint="eastAsia" w:ascii="宋体" w:hAnsi="宋体" w:cs="宋体"/>
          <w:color w:val="000000" w:themeColor="text1"/>
          <w:szCs w:val="21"/>
          <w14:textFill>
            <w14:solidFill>
              <w14:schemeClr w14:val="tx1"/>
            </w14:solidFill>
          </w14:textFill>
        </w:rPr>
        <w:t>投资资金的支付和到账情况；</w:t>
      </w:r>
    </w:p>
    <w:p w14:paraId="6FF2ECE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（5）监督本理财产品投资运作；</w:t>
      </w:r>
    </w:p>
    <w:p w14:paraId="6968FD0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（6）办理与本理财产品托管业务活动相关的信息披露事项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包括</w:t>
      </w:r>
      <w:r>
        <w:rPr>
          <w:rFonts w:hint="eastAsia" w:ascii="宋体" w:hAnsi="宋体" w:eastAsia="宋体" w:cs="宋体"/>
          <w:color w:val="000000" w:themeColor="text1"/>
          <w:kern w:val="0"/>
          <w:sz w:val="21"/>
          <w:szCs w:val="21"/>
          <w:lang w:val="en-US" w:eastAsia="zh-CN"/>
          <w14:textFill>
            <w14:solidFill>
              <w14:schemeClr w14:val="tx1"/>
            </w14:solidFill>
          </w14:textFill>
        </w:rPr>
        <w:t>但不限于</w:t>
      </w:r>
      <w:r>
        <w:rPr>
          <w:rFonts w:hint="eastAsia" w:ascii="宋体" w:hAnsi="宋体" w:eastAsia="宋体" w:cs="宋体"/>
          <w:color w:val="000000" w:themeColor="text1"/>
          <w:kern w:val="0"/>
          <w:sz w:val="21"/>
          <w:szCs w:val="21"/>
          <w14:textFill>
            <w14:solidFill>
              <w14:schemeClr w14:val="tx1"/>
            </w14:solidFill>
          </w14:textFill>
        </w:rPr>
        <w:t>披露理财产品托管协议</w:t>
      </w:r>
      <w:r>
        <w:rPr>
          <w:rFonts w:hint="eastAsia" w:ascii="宋体" w:hAnsi="宋体" w:eastAsia="宋体" w:cs="宋体"/>
          <w:color w:val="000000" w:themeColor="text1"/>
          <w:kern w:val="0"/>
          <w:sz w:val="21"/>
          <w:szCs w:val="21"/>
          <w:lang w:val="en-US" w:eastAsia="zh-CN"/>
          <w14:textFill>
            <w14:solidFill>
              <w14:schemeClr w14:val="tx1"/>
            </w14:solidFill>
          </w14:textFill>
        </w:rPr>
        <w:t>等</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14:paraId="1A6162F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（7）保存本理财产品托管业务活动的记录、账册、报表和其他相关材料；</w:t>
      </w:r>
    </w:p>
    <w:p w14:paraId="2DE1308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（8）对本理财产品投资信息和相关资料承担保密责任；</w:t>
      </w:r>
    </w:p>
    <w:p w14:paraId="27942BD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w:t>
      </w:r>
      <w:bookmarkStart w:id="4" w:name="_Hlk146059360"/>
      <w:r>
        <w:rPr>
          <w:rFonts w:hint="eastAsia" w:ascii="宋体" w:hAnsi="宋体" w:cs="宋体"/>
          <w:color w:val="000000" w:themeColor="text1"/>
          <w:szCs w:val="21"/>
          <w14:textFill>
            <w14:solidFill>
              <w14:schemeClr w14:val="tx1"/>
            </w14:solidFill>
          </w14:textFill>
        </w:rPr>
        <w:t>法律法规规定、</w:t>
      </w:r>
      <w:bookmarkEnd w:id="4"/>
      <w:r>
        <w:rPr>
          <w:rFonts w:hint="eastAsia" w:ascii="宋体" w:hAnsi="宋体" w:cs="宋体"/>
          <w:color w:val="000000" w:themeColor="text1"/>
          <w:szCs w:val="21"/>
          <w14:textFill>
            <w14:solidFill>
              <w14:schemeClr w14:val="tx1"/>
            </w14:solidFill>
          </w14:textFill>
        </w:rPr>
        <w:t>国务院银行业监督管理机构规定</w:t>
      </w:r>
      <w:bookmarkStart w:id="5" w:name="_Hlk146059365"/>
      <w:r>
        <w:rPr>
          <w:rFonts w:hint="eastAsia" w:ascii="宋体" w:hAnsi="宋体" w:cs="宋体"/>
          <w:color w:val="000000" w:themeColor="text1"/>
          <w:szCs w:val="21"/>
          <w14:textFill>
            <w14:solidFill>
              <w14:schemeClr w14:val="tx1"/>
            </w14:solidFill>
          </w14:textFill>
        </w:rPr>
        <w:t>、产品管理人和托管机构另行签订的托管协议约定，以及本理财产品销售文件约定</w:t>
      </w:r>
      <w:bookmarkEnd w:id="5"/>
      <w:r>
        <w:rPr>
          <w:rFonts w:hint="eastAsia" w:ascii="宋体" w:hAnsi="宋体" w:cs="宋体"/>
          <w:color w:val="000000" w:themeColor="text1"/>
          <w:szCs w:val="21"/>
          <w14:textFill>
            <w14:solidFill>
              <w14:schemeClr w14:val="tx1"/>
            </w14:solidFill>
          </w14:textFill>
        </w:rPr>
        <w:t>的其他职责。</w:t>
      </w:r>
    </w:p>
    <w:p w14:paraId="452EABE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（二）产品销售机构的基本信息和主要职责</w:t>
      </w:r>
    </w:p>
    <w:p w14:paraId="651BC217">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销售机构基本信息</w:t>
      </w:r>
    </w:p>
    <w:p w14:paraId="62A657FF">
      <w:pPr>
        <w:spacing w:line="360" w:lineRule="auto"/>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F</w:t>
      </w:r>
      <w:r>
        <w:rPr>
          <w:rFonts w:hint="eastAsia" w:ascii="宋体" w:hAnsi="宋体" w:cs="宋体"/>
          <w:bCs/>
          <w:color w:val="000000" w:themeColor="text1"/>
          <w:szCs w:val="21"/>
          <w:lang w:eastAsia="zh-CN"/>
          <w14:textFill>
            <w14:solidFill>
              <w14:schemeClr w14:val="tx1"/>
            </w14:solidFill>
          </w14:textFill>
        </w:rPr>
        <w:t>类份额</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S类份额</w:t>
      </w:r>
      <w:r>
        <w:rPr>
          <w:rFonts w:hint="default" w:ascii="宋体" w:hAnsi="宋体" w:eastAsia="宋体" w:cs="宋体"/>
          <w:bCs/>
          <w:color w:val="000000" w:themeColor="text1"/>
          <w:szCs w:val="21"/>
          <w14:textFill>
            <w14:solidFill>
              <w14:schemeClr w14:val="tx1"/>
            </w14:solidFill>
          </w14:textFill>
        </w:rPr>
        <w:t>：</w:t>
      </w:r>
    </w:p>
    <w:p w14:paraId="23EDFFDE">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14:textFill>
            <w14:solidFill>
              <w14:schemeClr w14:val="tx1"/>
            </w14:solidFill>
          </w14:textFill>
        </w:rPr>
        <w:t>名称：</w:t>
      </w:r>
      <w:r>
        <w:rPr>
          <w:rFonts w:hint="default" w:ascii="宋体" w:hAnsi="宋体" w:eastAsia="宋体" w:cs="宋体"/>
          <w:bCs/>
          <w:color w:val="000000" w:themeColor="text1"/>
          <w:sz w:val="21"/>
          <w:szCs w:val="21"/>
          <w:lang w:val="en-US" w:eastAsia="zh-CN"/>
          <w14:textFill>
            <w14:solidFill>
              <w14:schemeClr w14:val="tx1"/>
            </w14:solidFill>
          </w14:textFill>
        </w:rPr>
        <w:t>浙江龙游农村商业银行股份有限公司</w:t>
      </w:r>
    </w:p>
    <w:p w14:paraId="024238A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：浙江省衢州市龙游县龙洲街道荣昌大道683、685、687号</w:t>
      </w:r>
    </w:p>
    <w:p w14:paraId="13E91A49">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1EA8340">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14:textFill>
            <w14:solidFill>
              <w14:schemeClr w14:val="tx1"/>
            </w14:solidFill>
          </w14:textFill>
        </w:rPr>
        <w:t>名称：</w:t>
      </w:r>
      <w:r>
        <w:rPr>
          <w:rFonts w:hint="default" w:ascii="宋体" w:hAnsi="宋体" w:eastAsia="宋体" w:cs="宋体"/>
          <w:bCs/>
          <w:color w:val="000000" w:themeColor="text1"/>
          <w:sz w:val="21"/>
          <w:szCs w:val="21"/>
          <w:lang w:val="en-US" w:eastAsia="zh-CN"/>
          <w14:textFill>
            <w14:solidFill>
              <w14:schemeClr w14:val="tx1"/>
            </w14:solidFill>
          </w14:textFill>
        </w:rPr>
        <w:t>浙江青田农村商业银行股份有限公司</w:t>
      </w:r>
    </w:p>
    <w:p w14:paraId="3DE3430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：浙江省青田县鹤城街道鹤城东路180号</w:t>
      </w:r>
    </w:p>
    <w:p w14:paraId="4C37B5EB">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CD26D8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浙江德清农村商业银行股份有限公司</w:t>
      </w:r>
    </w:p>
    <w:p w14:paraId="40FC2FF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：浙江省德清县武康街道沈长圩街50号</w:t>
      </w:r>
    </w:p>
    <w:p w14:paraId="005BFD2C">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5D06CFF">
      <w:pPr>
        <w:numPr>
          <w:ilvl w:val="0"/>
          <w:numId w:val="1"/>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浙江台州路桥农村商业银行股份有限公司</w:t>
      </w:r>
    </w:p>
    <w:p w14:paraId="74A042D3">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：浙江省台州市路桥区路北街道中心大道5789号</w:t>
      </w:r>
    </w:p>
    <w:p w14:paraId="184F9BF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8D914C4">
      <w:pPr>
        <w:numPr>
          <w:ilvl w:val="0"/>
          <w:numId w:val="1"/>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浙江龙泉农村商业银行股份有限公司</w:t>
      </w:r>
    </w:p>
    <w:p w14:paraId="7969F089">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：浙江省丽水市龙泉市龙渊街道中山东路101号</w:t>
      </w:r>
    </w:p>
    <w:p w14:paraId="7C531640">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D8432A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浙江绍兴瑞丰农村商业银行股份有限公司</w:t>
      </w:r>
    </w:p>
    <w:p w14:paraId="2F1217A8">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：浙江省绍兴市柯桥区柯桥笛扬路1363号</w:t>
      </w:r>
    </w:p>
    <w:p w14:paraId="27CC5371">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37AFC52">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浙江舟山普陀农村商业银行股份有限公司</w:t>
      </w:r>
    </w:p>
    <w:p w14:paraId="288ED5B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：浙江省舟山市普陀区东港街道麒麟街225号（自贸试验区内）</w:t>
      </w:r>
    </w:p>
    <w:p w14:paraId="75A78FCB">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4C0D8A9">
      <w:pPr>
        <w:numPr>
          <w:ilvl w:val="0"/>
          <w:numId w:val="2"/>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浙江建德农村商业银行股份有限公司</w:t>
      </w:r>
    </w:p>
    <w:p w14:paraId="2F6984A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：浙江省建德市新安江街道江滨中路176号</w:t>
      </w:r>
    </w:p>
    <w:p w14:paraId="1D69BDE4">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A071F8D">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浙江嵊州农村商业银行股份有限公司</w:t>
      </w:r>
    </w:p>
    <w:p w14:paraId="657F743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：浙江省嵊州市剡湖街道官河路398号</w:t>
      </w:r>
    </w:p>
    <w:p w14:paraId="34AE4EB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C9429D5">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宁波慈溪农村商业银行股份有限公司</w:t>
      </w:r>
    </w:p>
    <w:p w14:paraId="280754A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：浙江省慈溪市浒山街道南城路25号、59号5-6层</w:t>
      </w:r>
    </w:p>
    <w:p w14:paraId="23ABE317">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891DBC2">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浙江浦江农村商业银行股份有限公司</w:t>
      </w:r>
    </w:p>
    <w:p w14:paraId="21C48CE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：浙江省浦江县人民东路90号</w:t>
      </w:r>
    </w:p>
    <w:p w14:paraId="134A8B1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7BC1702">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浙江平湖农村商业银行股份有限公司</w:t>
      </w:r>
    </w:p>
    <w:p w14:paraId="1F40AD8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：浙江省平湖市当湖街道胜利路518号</w:t>
      </w:r>
    </w:p>
    <w:p w14:paraId="2C961AE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8E0A5F6">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杭州联合农村商业银行股份有限公司</w:t>
      </w:r>
    </w:p>
    <w:p w14:paraId="78E3C78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：浙江省杭州市上城区建国中路99号</w:t>
      </w:r>
    </w:p>
    <w:p w14:paraId="5592BCE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50B317E">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14</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浙江诸暨农村商业银行股份有限公司</w:t>
      </w:r>
    </w:p>
    <w:p w14:paraId="3BD2139D">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：浙江省诸暨市暨阳街道大桥东路2号</w:t>
      </w:r>
    </w:p>
    <w:p w14:paraId="081CE7D6">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0246931">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宁波余姚农村商业银行股份有限公司</w:t>
      </w:r>
    </w:p>
    <w:p w14:paraId="06A5F6C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：浙江省余姚市新建路69号</w:t>
      </w:r>
    </w:p>
    <w:p w14:paraId="598D3B98">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636F703">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浙江上虞农村商业银行股份有限公司</w:t>
      </w:r>
    </w:p>
    <w:p w14:paraId="44B8A09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：浙江省绍兴市上虞区百官街道德盛路55号</w:t>
      </w:r>
    </w:p>
    <w:p w14:paraId="77371D2C">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BC37702">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浙江富阳农村商业银行股份有限公司</w:t>
      </w:r>
    </w:p>
    <w:p w14:paraId="0C7BA3BD">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：浙江省杭州市富阳区依江路501号</w:t>
      </w:r>
    </w:p>
    <w:p w14:paraId="3C20F738">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4100C88">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浙江衢州柯城农村商业银行股份有限公司</w:t>
      </w:r>
    </w:p>
    <w:p w14:paraId="47F42F4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：浙江省衢州市柯城区上街92号三楼零售金融部</w:t>
      </w:r>
    </w:p>
    <w:p w14:paraId="68F0382E">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CD5EEC0">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浙江松阳农村商业银行股份有限公司</w:t>
      </w:r>
    </w:p>
    <w:p w14:paraId="725AC4A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：浙江省丽水市松阳县水南街道要津南路71号</w:t>
      </w:r>
    </w:p>
    <w:p w14:paraId="6B6A047B">
      <w:pPr>
        <w:spacing w:line="360" w:lineRule="auto"/>
        <w:ind w:firstLine="420" w:firstLineChars="200"/>
        <w:rPr>
          <w:rFonts w:hint="default" w:ascii="宋体" w:hAnsi="宋体" w:eastAsia="宋体" w:cs="宋体"/>
          <w:bCs/>
          <w:color w:val="000000" w:themeColor="text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A447D32">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：浙江江山农村商业银行股份有限公司</w:t>
      </w:r>
    </w:p>
    <w:p w14:paraId="285C26E4">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：浙江省江山市江滨路188号</w:t>
      </w:r>
    </w:p>
    <w:p w14:paraId="16875B57">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E8EC615">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：浙江义乌农村商业银行股份有限公司</w:t>
      </w:r>
    </w:p>
    <w:p w14:paraId="6DEB2F1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：浙江省义乌市福田街道城北路677号</w:t>
      </w:r>
    </w:p>
    <w:p w14:paraId="0C2ECD2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09E0AC6">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：浙江桐庐农村商业银行股份有限公司</w:t>
      </w:r>
    </w:p>
    <w:p w14:paraId="21B748D1">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：浙江省杭州市桐庐县城迎春南路278号</w:t>
      </w:r>
    </w:p>
    <w:p w14:paraId="7FDA6DF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96A7437">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：浙江新昌农村商业银行股份有限公司</w:t>
      </w:r>
    </w:p>
    <w:p w14:paraId="1954A027">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：浙江省新昌县七星街道七星路18号</w:t>
      </w:r>
    </w:p>
    <w:p w14:paraId="1A3D8407">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63C64B0">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：浙江衢州衢江农村商业银行股份有限公司</w:t>
      </w:r>
    </w:p>
    <w:p w14:paraId="5BEF871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：浙江省衢州市衢江区樟潭街道信安东路37号</w:t>
      </w:r>
    </w:p>
    <w:p w14:paraId="638D22A1">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79134E2">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25）</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浙江临安农村商业银行股份有限公司</w:t>
      </w:r>
    </w:p>
    <w:p w14:paraId="549A514A">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：浙江省杭州市临安区锦城街道城中街442号</w:t>
      </w:r>
    </w:p>
    <w:p w14:paraId="4438E77B">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FE08553">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浙江萧山农村商业银行股份有限公司</w:t>
      </w:r>
    </w:p>
    <w:p w14:paraId="69DA653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：浙江省杭州市萧山区盈丰街道鸿宁路2288号</w:t>
      </w:r>
    </w:p>
    <w:p w14:paraId="28C4BC62">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3DC6BF5A">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浙江温岭农村商业银行股份有限公司</w:t>
      </w:r>
    </w:p>
    <w:p w14:paraId="4F161833">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：浙江省台州市温岭市城东街道下保路100号</w:t>
      </w:r>
    </w:p>
    <w:p w14:paraId="25457096">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F287D84">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28）</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浙江长兴农村商业银行股份有限公司</w:t>
      </w:r>
    </w:p>
    <w:p w14:paraId="3D070D2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：浙江省湖州市长兴县太湖街道明珠路1298号</w:t>
      </w:r>
    </w:p>
    <w:p w14:paraId="7CC7B80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A4CF347">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29）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：浙江兰溪农村商业银行股份有限公司</w:t>
      </w:r>
    </w:p>
    <w:p w14:paraId="2F87E925">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：浙江省兰溪市兰江街道丹西大道18号</w:t>
      </w:r>
    </w:p>
    <w:p w14:paraId="60C71A6E">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FA07FEC">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浙江杭州余杭农村商业银行股份有限公司</w:t>
      </w:r>
    </w:p>
    <w:p w14:paraId="50548C41">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：浙江省杭州市临平区南苑街道南大街72号</w:t>
      </w:r>
    </w:p>
    <w:p w14:paraId="138FC1CF">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1AADDE0">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浙江缙云农村商业银行股份有限公司</w:t>
      </w:r>
    </w:p>
    <w:p w14:paraId="6A412050">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：浙江省丽水市缙云县五云镇新区仙都路68号</w:t>
      </w:r>
    </w:p>
    <w:p w14:paraId="5EF7E849">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9009108">
      <w:p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浙江海宁农村商业银行股份有限公司</w:t>
      </w:r>
    </w:p>
    <w:p w14:paraId="736DC955">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：浙江省海宁市海洲街道钱江西路278号</w:t>
      </w:r>
    </w:p>
    <w:p w14:paraId="0CD844BC">
      <w:p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46961996">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：浙江桐乡农村商业银行股份有限公司</w:t>
      </w:r>
    </w:p>
    <w:p w14:paraId="2ABC432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：浙江省嘉兴市桐乡市梧桐街道校场东路59号</w:t>
      </w:r>
    </w:p>
    <w:p w14:paraId="20A7DD18">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43458FC">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34）</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浙江仙居农村商业银行股份有限公司</w:t>
      </w:r>
    </w:p>
    <w:p w14:paraId="5D5258C4">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：浙江省仙居县庆丰南街113号</w:t>
      </w:r>
      <w:bookmarkStart w:id="7" w:name="_GoBack"/>
      <w:bookmarkEnd w:id="7"/>
    </w:p>
    <w:p w14:paraId="51CE1451">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9C10165">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35）</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浙江遂昌农村商业银行股份有限公司</w:t>
      </w:r>
    </w:p>
    <w:p w14:paraId="06FE2A7D">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：浙江省丽水市遂昌县妙高街道溪边路100号</w:t>
      </w:r>
    </w:p>
    <w:p w14:paraId="22A775BC">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39E81FC">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36）</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浙江丽水莲都农村商业银行股份有限公司</w:t>
      </w:r>
    </w:p>
    <w:p w14:paraId="33C75AE0">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：浙江省丽水市莲都区解放街438号</w:t>
      </w:r>
    </w:p>
    <w:p w14:paraId="32FF5CEA">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53232AD">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37）</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浙江开化农村商业银行股份有限公司</w:t>
      </w:r>
    </w:p>
    <w:p w14:paraId="431531F4">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：浙江省衢州市开化县华埠镇永吉二路8号</w:t>
      </w:r>
    </w:p>
    <w:p w14:paraId="61213909">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753DEA86">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38）</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浙江武义农村商业银行股份有限公司</w:t>
      </w:r>
    </w:p>
    <w:p w14:paraId="73102D4D">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：浙江省武义县武阳中路37号</w:t>
      </w:r>
    </w:p>
    <w:p w14:paraId="4DE6F01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B564619">
      <w:pPr>
        <w:numPr>
          <w:ilvl w:val="-1"/>
          <w:numId w:val="0"/>
        </w:numPr>
        <w:spacing w:line="360" w:lineRule="auto"/>
        <w:ind w:firstLine="420" w:firstLineChars="200"/>
        <w:rPr>
          <w:rFonts w:hint="default" w:ascii="宋体" w:hAnsi="宋体" w:eastAsia="宋体" w:cs="宋体"/>
          <w:bCs/>
          <w:color w:val="000000" w:themeColor="text1"/>
          <w:sz w:val="21"/>
          <w:szCs w:val="21"/>
          <w:lang w:val="en-US"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39）</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浙江临海农村商业银行股份有限公司</w:t>
      </w:r>
    </w:p>
    <w:p w14:paraId="7AD244F5">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：浙江省台州市临海市大洋街道河阳路299号</w:t>
      </w:r>
    </w:p>
    <w:p w14:paraId="5B8FC7AE">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13394093">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40）</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：浙江台州黄岩农村商业银行股份有限公司</w:t>
      </w:r>
    </w:p>
    <w:p w14:paraId="3EE429F5">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：浙江省台州市黄岩区洞天路88号</w:t>
      </w:r>
    </w:p>
    <w:p w14:paraId="397A167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71326E0">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41）</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浙江天台农村商业银行股份有限公司</w:t>
      </w:r>
    </w:p>
    <w:p w14:paraId="7ABB92C0">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：浙江省天台县赤城街道飞鹤路358号</w:t>
      </w:r>
    </w:p>
    <w:p w14:paraId="5764274B">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668DCE79">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42）</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浙江庆元农村商业银行股份有限公司</w:t>
      </w:r>
    </w:p>
    <w:p w14:paraId="6AA9707C">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：浙江省丽水市庆元县濛洲街道云鹤路3号</w:t>
      </w:r>
    </w:p>
    <w:p w14:paraId="68B21D83">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501C91D8">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43）</w:t>
      </w:r>
      <w:r>
        <w:rPr>
          <w:rFonts w:hint="default" w:ascii="宋体" w:hAnsi="宋体" w:eastAsia="宋体" w:cs="宋体"/>
          <w:bCs/>
          <w:color w:val="000000" w:themeColor="text1"/>
          <w:sz w:val="21"/>
          <w:szCs w:val="21"/>
          <w:lang w:eastAsia="zh-CN"/>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浙江金华成泰农村商业银行股份有限公司</w:t>
      </w:r>
    </w:p>
    <w:p w14:paraId="13069F40">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：浙江省金华市八一南街123号</w:t>
      </w:r>
    </w:p>
    <w:p w14:paraId="06DDD1FF">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00044F35">
      <w:pPr>
        <w:spacing w:line="360" w:lineRule="auto"/>
        <w:ind w:firstLine="420" w:firstLineChars="200"/>
        <w:rPr>
          <w:rFonts w:hint="default" w:ascii="宋体" w:hAnsi="宋体" w:eastAsia="宋体" w:cs="宋体"/>
          <w:bCs/>
          <w:color w:val="000000" w:themeColor="text1"/>
          <w:sz w:val="21"/>
          <w:szCs w:val="21"/>
          <w:lang w:eastAsia="zh-CN"/>
          <w14:textFill>
            <w14:solidFill>
              <w14:schemeClr w14:val="tx1"/>
            </w14:solidFill>
          </w14:textFill>
        </w:rPr>
      </w:pP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44）</w:t>
      </w:r>
      <w:r>
        <w:rPr>
          <w:rFonts w:hint="default" w:ascii="宋体" w:hAnsi="宋体" w:eastAsia="宋体" w:cs="宋体"/>
          <w:bCs/>
          <w:color w:val="000000" w:themeColor="text1"/>
          <w:szCs w:val="21"/>
          <w14:textFill>
            <w14:solidFill>
              <w14:schemeClr w14:val="tx1"/>
            </w14:solidFill>
          </w14:textFill>
        </w:rPr>
        <w:t>名称</w:t>
      </w:r>
      <w:r>
        <w:rPr>
          <w:rFonts w:hint="default" w:ascii="宋体" w:hAnsi="宋体" w:eastAsia="宋体" w:cs="宋体"/>
          <w:bCs/>
          <w:color w:val="000000" w:themeColor="text1"/>
          <w:sz w:val="21"/>
          <w:szCs w:val="21"/>
          <w14:textFill>
            <w14:solidFill>
              <w14:schemeClr w14:val="tx1"/>
            </w14:solidFill>
          </w14:textFill>
        </w:rPr>
        <w:t>：</w:t>
      </w:r>
      <w:r>
        <w:rPr>
          <w:rFonts w:hint="default" w:ascii="宋体" w:hAnsi="宋体" w:eastAsia="宋体" w:cs="宋体"/>
          <w:bCs/>
          <w:color w:val="000000" w:themeColor="text1"/>
          <w:sz w:val="21"/>
          <w:szCs w:val="21"/>
          <w:lang w:eastAsia="zh-CN"/>
          <w14:textFill>
            <w14:solidFill>
              <w14:schemeClr w14:val="tx1"/>
            </w14:solidFill>
          </w14:textFill>
        </w:rPr>
        <w:t>浙江安吉农村商业银行股份有限公司</w:t>
      </w:r>
    </w:p>
    <w:p w14:paraId="3958B0B7">
      <w:pPr>
        <w:numPr>
          <w:ilvl w:val="-1"/>
          <w:numId w:val="0"/>
        </w:numPr>
        <w:spacing w:line="360" w:lineRule="auto"/>
        <w:ind w:firstLine="420" w:firstLineChars="200"/>
        <w:rPr>
          <w:rFonts w:hint="default" w:ascii="宋体" w:hAnsi="宋体" w:eastAsia="宋体" w:cs="宋体"/>
          <w:bCs/>
          <w:color w:val="000000" w:themeColor="text1"/>
          <w:sz w:val="21"/>
          <w:szCs w:val="21"/>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住所</w:t>
      </w:r>
      <w:r>
        <w:rPr>
          <w:rFonts w:hint="default" w:ascii="宋体" w:hAnsi="宋体" w:eastAsia="宋体" w:cs="宋体"/>
          <w:bCs/>
          <w:color w:val="000000" w:themeColor="text1"/>
          <w:sz w:val="21"/>
          <w:szCs w:val="21"/>
          <w14:textFill>
            <w14:solidFill>
              <w14:schemeClr w14:val="tx1"/>
            </w14:solidFill>
          </w14:textFill>
        </w:rPr>
        <w:t>：浙江省湖州市安吉县昌硕街道昌硕东路1号</w:t>
      </w:r>
    </w:p>
    <w:p w14:paraId="5A3F8FD2">
      <w:pPr>
        <w:pStyle w:val="2"/>
        <w:spacing w:line="360" w:lineRule="auto"/>
        <w:ind w:left="0" w:leftChars="0"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default" w:ascii="宋体" w:hAnsi="宋体" w:eastAsia="宋体" w:cs="宋体"/>
          <w:bCs/>
          <w:color w:val="000000" w:themeColor="text1"/>
          <w:szCs w:val="21"/>
          <w:lang w:val="en-US" w:eastAsia="zh-CN"/>
          <w14:textFill>
            <w14:solidFill>
              <w14:schemeClr w14:val="tx1"/>
            </w14:solidFill>
          </w14:textFill>
        </w:rPr>
        <w:t>联系方式</w:t>
      </w:r>
      <w:r>
        <w:rPr>
          <w:rFonts w:hint="default" w:ascii="宋体" w:hAnsi="宋体" w:eastAsia="宋体" w:cs="宋体"/>
          <w:bCs/>
          <w:color w:val="000000" w:themeColor="text1"/>
          <w:sz w:val="21"/>
          <w:szCs w:val="21"/>
          <w14:textFill>
            <w14:solidFill>
              <w14:schemeClr w14:val="tx1"/>
            </w14:solidFill>
          </w14:textFill>
        </w:rPr>
        <w:t>：96596</w:t>
      </w:r>
    </w:p>
    <w:p w14:paraId="2B2A8DE0">
      <w:pPr>
        <w:spacing w:line="360" w:lineRule="auto"/>
        <w:ind w:firstLine="420" w:firstLineChars="200"/>
        <w:outlineLvl w:val="2"/>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val="en-US" w:eastAsia="zh-CN"/>
          <w14:textFill>
            <w14:solidFill>
              <w14:schemeClr w14:val="tx1"/>
            </w14:solidFill>
          </w14:textFill>
        </w:rPr>
        <w:t>产品</w:t>
      </w:r>
      <w:r>
        <w:rPr>
          <w:rFonts w:hint="eastAsia" w:ascii="宋体" w:hAnsi="宋体" w:cs="宋体"/>
          <w:color w:val="000000" w:themeColor="text1"/>
          <w:szCs w:val="21"/>
          <w14:textFill>
            <w14:solidFill>
              <w14:schemeClr w14:val="tx1"/>
            </w14:solidFill>
          </w14:textFill>
        </w:rPr>
        <w:t>销售机构主要职责</w:t>
      </w:r>
    </w:p>
    <w:p w14:paraId="14E9991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（1）宣传推介本理财产品；</w:t>
      </w:r>
    </w:p>
    <w:p w14:paraId="6407E73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（2）为投资者办理产品认购、申购和赎回；</w:t>
      </w:r>
    </w:p>
    <w:p w14:paraId="3E06658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（3）在销售过程中对投资者进行身份识别和尽职调查；</w:t>
      </w:r>
    </w:p>
    <w:p w14:paraId="146C639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（4）承担本理财产品的投资者适当性和销售适当性管理职责；</w:t>
      </w:r>
    </w:p>
    <w:p w14:paraId="3AF8B36E">
      <w:pPr>
        <w:spacing w:line="360" w:lineRule="auto"/>
        <w:ind w:firstLine="420" w:firstLineChars="20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（5）办理与产品销售活动相关的信息披露事项</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并及时向投资者告知或提供本理财产品相关信息。</w:t>
      </w:r>
    </w:p>
    <w:p w14:paraId="466E6A9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法律法规规定</w:t>
      </w:r>
      <w:bookmarkStart w:id="6" w:name="_Hlk146059378"/>
      <w:r>
        <w:rPr>
          <w:rFonts w:hint="eastAsia" w:ascii="宋体" w:hAnsi="宋体" w:cs="宋体"/>
          <w:color w:val="000000" w:themeColor="text1"/>
          <w:szCs w:val="21"/>
          <w14:textFill>
            <w14:solidFill>
              <w14:schemeClr w14:val="tx1"/>
            </w14:solidFill>
          </w14:textFill>
        </w:rPr>
        <w:t>、国务院银行业监督管理机构规定</w:t>
      </w:r>
      <w:bookmarkEnd w:id="6"/>
      <w:r>
        <w:rPr>
          <w:rFonts w:hint="eastAsia" w:ascii="宋体" w:hAnsi="宋体" w:cs="宋体"/>
          <w:color w:val="000000" w:themeColor="text1"/>
          <w:szCs w:val="21"/>
          <w14:textFill>
            <w14:solidFill>
              <w14:schemeClr w14:val="tx1"/>
            </w14:solidFill>
          </w14:textFill>
        </w:rPr>
        <w:t>、产品管理人和代销机构另行签订的代理销售合作协议约定（如涉及），以及本理财产品销售文件约定的其他职责。</w:t>
      </w:r>
    </w:p>
    <w:p w14:paraId="35916F34">
      <w:pPr>
        <w:pStyle w:val="5"/>
        <w:jc w:val="left"/>
        <w:rPr>
          <w:rFonts w:hint="eastAsia" w:ascii="宋体" w:hAnsi="宋体" w:eastAsia="宋体" w:cs="宋体"/>
          <w:color w:val="000000" w:themeColor="text1"/>
          <w:sz w:val="21"/>
          <w:szCs w:val="21"/>
          <w14:textFill>
            <w14:solidFill>
              <w14:schemeClr w14:val="tx1"/>
            </w14:solidFill>
          </w14:textFill>
        </w:rPr>
      </w:pPr>
    </w:p>
    <w:p w14:paraId="1418DA05">
      <w:pPr>
        <w:pStyle w:val="2"/>
        <w:ind w:left="0" w:leftChars="0" w:firstLine="0"/>
        <w:rPr>
          <w:rFonts w:hint="eastAsia"/>
          <w:color w:val="000000" w:themeColor="text1"/>
          <w14:textFill>
            <w14:solidFill>
              <w14:schemeClr w14:val="tx1"/>
            </w14:solidFill>
          </w14:textFill>
        </w:rPr>
      </w:pPr>
    </w:p>
    <w:p w14:paraId="1A192D37">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w:t>
      </w:r>
      <w:r>
        <w:rPr>
          <w:rFonts w:hint="eastAsia" w:ascii="宋体" w:hAnsi="宋体" w:eastAsia="宋体" w:cs="宋体"/>
          <w:color w:val="000000" w:themeColor="text1"/>
          <w:szCs w:val="21"/>
          <w:lang w:val="en-US" w:eastAsia="zh-CN"/>
          <w14:textFill>
            <w14:solidFill>
              <w14:schemeClr w14:val="tx1"/>
            </w14:solidFill>
          </w14:textFill>
        </w:rPr>
        <w:t>说明书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639D2F10">
      <w:pPr>
        <w:spacing w:line="360" w:lineRule="auto"/>
        <w:ind w:firstLine="3990" w:firstLineChars="1900"/>
        <w:rPr>
          <w:rFonts w:ascii="宋体" w:hAnsi="宋体" w:cs="宋体"/>
          <w:color w:val="000000" w:themeColor="text1"/>
          <w:szCs w:val="21"/>
          <w14:textFill>
            <w14:solidFill>
              <w14:schemeClr w14:val="tx1"/>
            </w14:solidFill>
          </w14:textFill>
        </w:rPr>
      </w:pPr>
    </w:p>
    <w:p w14:paraId="070F236B">
      <w:pPr>
        <w:pStyle w:val="2"/>
        <w:rPr>
          <w:color w:val="000000" w:themeColor="text1"/>
          <w14:textFill>
            <w14:solidFill>
              <w14:schemeClr w14:val="tx1"/>
            </w14:solidFill>
          </w14:textFill>
        </w:rPr>
      </w:pPr>
    </w:p>
    <w:p w14:paraId="1132A64C">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335B6A7B">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73E52C90">
      <w:pPr>
        <w:pStyle w:val="2"/>
        <w:spacing w:line="360" w:lineRule="auto"/>
        <w:ind w:left="420"/>
        <w:rPr>
          <w:color w:val="000000" w:themeColor="text1"/>
          <w14:textFill>
            <w14:solidFill>
              <w14:schemeClr w14:val="tx1"/>
            </w14:solidFill>
          </w14:textFill>
        </w:rPr>
      </w:pPr>
    </w:p>
    <w:p w14:paraId="52528A60">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476D495E">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338A423F">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560C9487">
      <w:pPr>
        <w:spacing w:line="360" w:lineRule="auto"/>
        <w:ind w:firstLine="420" w:firstLineChars="200"/>
        <w:rPr>
          <w:rFonts w:ascii="宋体" w:hAnsi="宋体" w:cs="宋体"/>
          <w:color w:val="000000" w:themeColor="text1"/>
          <w:szCs w:val="21"/>
          <w14:textFill>
            <w14:solidFill>
              <w14:schemeClr w14:val="tx1"/>
            </w14:solidFill>
          </w14:textFill>
        </w:rPr>
      </w:pPr>
    </w:p>
    <w:p w14:paraId="72C29DF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25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4F035"/>
    <w:multiLevelType w:val="singleLevel"/>
    <w:tmpl w:val="B004F035"/>
    <w:lvl w:ilvl="0" w:tentative="0">
      <w:start w:val="8"/>
      <w:numFmt w:val="decimal"/>
      <w:suff w:val="nothing"/>
      <w:lvlText w:val="（%1）"/>
      <w:lvlJc w:val="left"/>
    </w:lvl>
  </w:abstractNum>
  <w:abstractNum w:abstractNumId="1">
    <w:nsid w:val="7CA4E8A4"/>
    <w:multiLevelType w:val="singleLevel"/>
    <w:tmpl w:val="7CA4E8A4"/>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7BC5662"/>
    <w:rsid w:val="097827C7"/>
    <w:rsid w:val="0C3E0A92"/>
    <w:rsid w:val="0F58490A"/>
    <w:rsid w:val="27A83033"/>
    <w:rsid w:val="3E387D1A"/>
    <w:rsid w:val="41976BD1"/>
    <w:rsid w:val="4BDC181B"/>
    <w:rsid w:val="4C0D18AC"/>
    <w:rsid w:val="53ED7DE3"/>
    <w:rsid w:val="5FE10196"/>
    <w:rsid w:val="73EC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141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2026-02-13T06:37:00Z</dcterms:created>
  <dc:creator>00031</dc:creator>
  <cp:lastModifiedBy>00031</cp:lastModifiedBy>
  <dcterms:modified xsi:type="dcterms:W3CDTF">2026-02-27T01:28:45Z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