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苏银理财恒源1年定开40期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苏银理财恒源1年定开40期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（2026年3月版）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苏银理财恒源1年定开40期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苏银理财恒源1年定开40期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Z7003123000022，</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A份额:苏银理财恒源1年定开40期A/J02233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B份额:苏银理财恒源1年定开40期B/J02234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C份额:苏银理财恒源1年定开40期C/J14814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D份额:苏银理财恒源1年定开40期D/J03103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F份额:苏银理财恒源1年定开40期F/J03104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G份额:苏银理财恒源1年定开40期G/J02235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J份额:苏银理财恒源1年定开40期J/J03105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P份额:苏银理财恒源1年定开40期P/J14816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O份额:苏银理财恒源1年定开40期O（兰州银行开门红专属）/J14817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U份额:苏银理财恒源1年定开40期U/J14818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Z份额:苏银理财恒源1年定开40期Z/J14819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ZA份额:苏银理财恒源1年定开40期ZA鑫福款（自动赎回）/J03106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ZF份额:苏银理财恒源1年定开40期ZF（自动赎回）/J03107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ZF2份额:苏银理财恒源1年定开40期ZF2（自动赎回）/J14820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ZN份额:苏银理财恒源1年定开40期ZN（自动赎回）/J03820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ZC份额:苏银理财恒源1年定开40期ZC鑫福优享（自动赎回）/J14821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ZK份额:苏银理财恒源1年定开40期ZK鑫福尊享（自动赎回）/J14822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:20</w:t>
            </w:r>
            <w:r>
              <w:rPr>
                <w:rFonts w:hint="eastAsia" w:ascii="楷体" w:hAnsi="楷体" w:eastAsia="楷体"/>
                <w:sz w:val="18"/>
                <w:szCs w:val="18"/>
                <w:highlight w:val="none"/>
              </w:rPr>
              <w:t>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ZF2份额: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C</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K</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31</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6</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2</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7</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w:t>
            </w:r>
            <w:r>
              <w:rPr>
                <w:rFonts w:hint="eastAsia" w:ascii="楷体" w:hAnsi="楷体" w:eastAsia="楷体" w:cs="宋体"/>
                <w:color w:val="auto"/>
                <w:spacing w:val="-2"/>
                <w:sz w:val="18"/>
                <w:szCs w:val="18"/>
                <w:lang w:val="en-US" w:eastAsia="zh-CN"/>
              </w:rPr>
              <w:t>3</w:t>
            </w:r>
            <w:r>
              <w:rPr>
                <w:rFonts w:hint="eastAsia" w:ascii="楷体" w:hAnsi="楷体" w:eastAsia="楷体" w:cs="宋体"/>
                <w:color w:val="auto"/>
                <w:spacing w:val="-2"/>
                <w:sz w:val="18"/>
                <w:szCs w:val="18"/>
                <w:lang w:eastAsia="zh-CN"/>
              </w:rPr>
              <w:t>年</w:t>
            </w:r>
            <w:r>
              <w:rPr>
                <w:rFonts w:hint="eastAsia" w:ascii="楷体" w:hAnsi="楷体" w:eastAsia="楷体" w:cs="宋体"/>
                <w:color w:val="auto"/>
                <w:spacing w:val="-2"/>
                <w:sz w:val="18"/>
                <w:szCs w:val="18"/>
                <w:lang w:val="en-US" w:eastAsia="zh-CN"/>
              </w:rPr>
              <w:t>2</w:t>
            </w:r>
            <w:r>
              <w:rPr>
                <w:rFonts w:hint="eastAsia" w:ascii="楷体" w:hAnsi="楷体" w:eastAsia="楷体" w:cs="宋体"/>
                <w:color w:val="auto"/>
                <w:spacing w:val="-2"/>
                <w:sz w:val="18"/>
                <w:szCs w:val="18"/>
                <w:lang w:eastAsia="zh-CN"/>
              </w:rPr>
              <w:t>月</w:t>
            </w:r>
            <w:r>
              <w:rPr>
                <w:rFonts w:hint="eastAsia" w:ascii="楷体" w:hAnsi="楷体" w:eastAsia="楷体" w:cs="宋体"/>
                <w:color w:val="auto"/>
                <w:spacing w:val="-2"/>
                <w:sz w:val="18"/>
                <w:szCs w:val="18"/>
                <w:lang w:val="en-US" w:eastAsia="zh-CN"/>
              </w:rPr>
              <w:t>25</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最新投资周期（2026年3月24日-2027年4月12日）开放申购与赎回时间为：</w:t>
            </w:r>
            <w:r>
              <w:rPr>
                <w:rFonts w:hint="eastAsia" w:ascii="楷体" w:hAnsi="楷体" w:eastAsia="楷体" w:cs="宋体"/>
                <w:b/>
                <w:bCs/>
                <w:spacing w:val="-2"/>
                <w:sz w:val="18"/>
                <w:szCs w:val="18"/>
                <w:highlight w:val="none"/>
                <w:lang w:val="en-US" w:eastAsia="zh-CN"/>
              </w:rPr>
              <w:t>2026年3月13日至2026年3月23日（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(其中ZA份额/ZF份额/ZF2份额/ZN份额/ZC份额/ZK份额由系统主动发起赎回申请，投资者无须发起赎回申请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2026年3月24日-2027年4月12日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highlight w:val="none"/>
                      <w:lang w:eastAsia="zh-CN"/>
                    </w:rPr>
                    <w:t>2023年2月7日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2024年2月19日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 xml:space="preserve"> 4.10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 xml:space="preserve"> 4.13</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cs="Times New Roman"/>
                      <w:sz w:val="18"/>
                      <w:szCs w:val="18"/>
                      <w:lang w:val="en-US" w:eastAsia="zh-CN"/>
                    </w:rPr>
                    <w:t>G份额 4.20</w:t>
                  </w:r>
                  <w:r>
                    <w:rPr>
                      <w:rFonts w:hint="default" w:ascii="楷体" w:hAnsi="楷体" w:eastAsia="楷体" w:cs="Times New Roman"/>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cs="宋体"/>
                      <w:spacing w:val="-2"/>
                      <w:sz w:val="18"/>
                      <w:szCs w:val="18"/>
                      <w:lang w:val="en-US" w:eastAsia="zh-CN"/>
                    </w:rPr>
                    <w:t>2024年2月20日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2025年2月25日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jc w:val="center"/>
                    <w:rPr>
                      <w:rFonts w:hint="default" w:ascii="楷体" w:hAnsi="楷体" w:eastAsia="楷体"/>
                      <w:sz w:val="18"/>
                      <w:szCs w:val="18"/>
                      <w:lang w:val="en-US" w:eastAsia="zh-CN"/>
                    </w:rPr>
                  </w:pPr>
                  <w:r>
                    <w:rPr>
                      <w:rFonts w:hint="eastAsia" w:ascii="楷体" w:hAnsi="楷体" w:eastAsia="楷体" w:cs="宋体"/>
                      <w:spacing w:val="-2"/>
                      <w:sz w:val="18"/>
                      <w:szCs w:val="18"/>
                      <w:lang w:val="en-US" w:eastAsia="zh-CN"/>
                    </w:rPr>
                    <w:t>2025年2月26日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2026年3月23日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2.63</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23</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2.75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额2.60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cs="Times New Roman"/>
                      <w:sz w:val="18"/>
                      <w:szCs w:val="18"/>
                      <w:lang w:val="en-US" w:eastAsia="zh-CN"/>
                    </w:rPr>
                    <w:t>ZN份额2.75%-3.35%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2026年3月24日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2027年4月12日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O份额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U份额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ZF2份额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0.50%,P份额 0.45%,O份额 0.55%,U份额 0.60%,Z份额 0.65%,ZA份额 0.65%,ZF份额 0.65%,ZF2份额 0.60%,ZN份额 0.55%,ZC份额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0.70%,P份额 0.65%,O份额 0.65%,U份额 0.70%,Z份额 0.65%,ZA份额 0.65%,ZF份额 0.65%,ZF2份额 0.60%,ZN份额 0.65%,ZC份额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常熟农村商业银行股份有限公司/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江阴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九江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江苏常熟农村商业银行股份有限公司/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宁波东海银行股份有限公司/齐鲁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北京农村商业银行股份有限公司/甘肃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苏州银行股份有限公司/台州银行股份有限公司/潍坊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江山农村商业银行股份有限公司/浙江开化农村商业银行股份有限公司/浙江乐清农村商业银行股份有限公司/浙江临海农村商业银行股份有限公司/浙江青田农村商业银行股份有限公司/浙江上虞农村商业银行股份有限公司/浙江绍兴瑞丰农村商业银行股份有限公司/浙江泰顺农村商业银行股份有限公司/浙江桐庐农村商业银行股份有限公司/浙江温州龙湾农村商业银行股份有限公司/浙江温州瓯海农村商业银行股份有限公司/浙江武义农村商业银行股份有限公司/浙江萧山农村商业银行股份有限公司/浙江义乌农村商业银行股份有限公司/浙江永嘉农村商业银行股份有限公司/浙江永康农村商业银行股份有限公司/浙江长兴农村商业银行股份有限公司/浙江舟山定海海洋农村商业银行股份有限公司/浙商银行股份有限公司/中邮邮惠万家银行有限责任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衢州衢江农村商业银行股份有限公司/浙江上虞农村商业银行股份有限公司/浙江绍兴瑞丰农村商业银行股份有限公司/浙江桐庐农村商业银行股份有限公司/浙江永嘉农村商业银行股份有限公司/浙江舟山定海海洋农村商业银行股份有限公司/浙商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J份额：江苏如皋农村商业银行股份有限公司/江苏银行股份有限公司/上海银行股份有限公司/苏银理财有限责任公司/威海银行股份有限公司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P份额：甘肃银行股份有限公司/郑州银行股份有限公司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U份额：徽商银行股份有限公司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Z份额：上海农村商业银行股份有限公司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大丰农村商业银行股份有限公司/江苏丹阳农村商业银行股份有限公司/江苏东海农村商业银行股份有限公司/江苏东台农村商业银行股份有限公司/江苏丰县农村商业银行股份有限公司/江苏阜宁农村商业银行股份有限公司/江苏高淳农村商业银行股份有限公司/江苏高邮农村商业银行股份有限公司/江苏灌南农村商业银行股份有限公司/江苏灌云农村商业银行股份有限公司/江苏海安农村商业银行股份有限公司/江苏洪泽农村商业银行股份有限公司/江苏淮安农村商业银行股份有限公司/江苏建湖农村商业银行股份有限公司/江苏江都农村商业银行股份有限公司/江苏姜堰农村商业银行股份有限公司/江苏金湖农村商业银行股份有限公司/江苏靖江农村商业银行股份有限公司/江苏句容农村商业银行股份有限公司/江苏溧水农村商业银行股份有限公司/江苏民丰农村商业银行股份有限公司/江苏南通农村商业银行股份有限公司/江苏邳州农村商业银行股份有限公司/江苏启东农村商业银行股份有限公司/江苏如东农村商业银行股份有限公司/江苏如皋农村商业银行股份有限公司/江苏沭阳农村商业银行股份有限公司/江苏泗洪农村商业银行股份有限公司/江苏泗阳农村商业银行股份有限公司/江苏苏州农村商业银行股份有限公司/江苏睢宁农村商业银行股份有限公司/江苏泰兴农村商业银行股份有限公司/江苏新沂农村商业银行股份有限公司/江苏盱眙农村商业银行股份有限公司/江苏盐城农村商业银行股份有限公司/江苏扬中农村商业银行股份有限公司/江苏扬州农村商业银行股份有限公司/江苏仪征农村商业银行股份有限公司/江苏宜兴农村商业银行股份有限公司/江苏镇江农村商业银行股份有限公司/江苏紫金农村商业银行股份有限公司/连云港东方农村商业银行股份有限公司/徐州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河北银行股份有限公司/嘉兴银行股份有限公司/江苏江南农村商业银行股份有限公司/江苏张家港农村商业银行股份有限公司/莱商银行股份有限公司/宁波慈溪农村商业银行股份有限公司/宁波甬城农村商业银行股份有限公司/宁波余姚农村商业银行股份有限公司/宁波镇海农村商业银行股份有限公司/厦门银行股份有限公司/苏州银行股份有限公司/兴业银行股份有限公司/浙江岱山农村商业银行股份有限公司/浙江德清农村商业银行股份有限公司/浙江杭州余杭农村商业银行股份有限公司/浙江嘉善农村商业银行股份有限公司/浙江江山农村商业银行股份有限公司/浙江开化农村商业银行股份有限公司/浙江兰溪农村商业银行股份有限公司/浙江临安农村商业银行股份有限公司/浙江临海农村商业银行股份有限公司/浙江龙泉农村商业银行股份有限公司/浙江民泰商业银行股份有限公司/浙江南浔农村商业银行股份有限公司/浙江浦江农村商业银行股份有限公司/浙江青田农村商业银行股份有限公司/浙江衢州柯城农村商业银行股份有限公司/浙江衢州衢江农村商业银行股份有限公司/浙江上虞农村商业银行股份有限公司/浙江嵊州农村商业银行股份有限公司/浙江温岭农村商业银行股份有限公司/浙江温州龙湾农村商业银行股份有限公司/浙江温州瓯海农村商业银行股份有限公司/浙江萧山农村商业银行股份有限公司/浙江新昌农村商业银行股份有限公司/浙江义乌农村商业银行股份有限公司/浙江永康农村商业银行股份有限公司</w:t>
      </w:r>
    </w:p>
    <w:p>
      <w:pPr>
        <w:ind w:left="0" w:leftChars="0"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ZF2份额：石嘴山银行股份有限公司</w:t>
      </w:r>
    </w:p>
    <w:p>
      <w:pPr>
        <w:ind w:left="0" w:leftChars="0"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ZN份额：广西北部湾银行股份有限公司/河北银行股份有限公司/宁波通商银行股份有限公司/浙江萧山农村商业银行股份有限公司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ZC份额：</w:t>
      </w:r>
      <w:r>
        <w:rPr>
          <w:rFonts w:hint="eastAsia" w:ascii="楷体" w:hAnsi="楷体" w:eastAsia="楷体" w:cs="楷体"/>
          <w:sz w:val="21"/>
          <w:szCs w:val="21"/>
          <w:highlight w:val="none"/>
          <w:lang w:val="en-US" w:eastAsia="zh-CN"/>
        </w:rPr>
        <w:t>江苏大丰农村商业银行股份有限公司/江苏东台农村商业银行股份有限公司/江苏阜宁农村商业银行股份有限公司/江苏高淳农村商业银行股份有限公司/江苏高邮农村商业银行股份有限公司/江苏灌南农村商业银行股份有限公司/江苏海安农村商业银行股份有限公司/江苏建湖农村商业银行股份有限公司/江苏江都农村商业银行股份有限公司/江苏姜堰农村商业银行股份有限公司/江苏溧水农村商业银行股份有限公司/江苏民丰农村商业银行股份有限公司/江苏如东农村商业银行股份有限公司/江苏如皋农村商业银行股份有限公司/江苏泗阳农村商业银行股份有限公司/江苏泰兴农村商业银行股份有限公司/江苏盐城农村商业银行股份有限公司/江苏扬州农村商业银行股份有限公司/江苏仪征农村商业银行股份有限公司/江苏宜兴农村商业银行股份有限公司/江苏紫金农村商业银行股份有限公司/连云港东方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ZK份额：</w:t>
      </w:r>
      <w:r>
        <w:rPr>
          <w:rFonts w:hint="eastAsia" w:ascii="楷体" w:hAnsi="楷体" w:eastAsia="楷体" w:cs="楷体"/>
          <w:sz w:val="21"/>
          <w:szCs w:val="21"/>
          <w:highlight w:val="none"/>
          <w:lang w:val="en-US" w:eastAsia="zh-CN"/>
        </w:rPr>
        <w:t>江苏大丰农村商业银行股份有限公司/江苏东台农村商业银行股份有限公司/江苏阜宁农村商业银行股份有限公司/江苏高淳农村商业银行股份有限公司/江苏高邮农村商业银行股份有限公司/江苏灌南农村商业银行股份有限公司/江苏海安农村商业银行股份有限公司/江苏建湖农村商业银行股份有限公司/江苏江都农村商业银行股份有限公司/江苏姜堰农村商业银行股份有限公司/江苏溧水农村商业银行股份有限公司/江苏民丰农村商业银行股份有限公司/江苏南通农村商业银行股份有限公司/江苏沛县农村商业银行股份有限公司/江苏如东农村商业银行股份有限公司/江苏如皋农村商业银行股份有限公司/江苏泗阳农村商业银行股份有限公司/江苏盐城农村商业银行股份有限公司/江苏扬州农村商业银行股份有限公司/江苏仪征农村商业银行股份有限公司/江苏宜兴农村商业银行股份有限公司/江苏紫金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南通圆宏控股集团有限公司。融资人经营正常，是依法设立的国有公司，主要股东为南通市通州区人民政府，实际控制人为南通市通州区人民政府。（4）非标准化债权类资产：融资人为泰兴市交通控股有限公司。融资人经营正常，是依法设立的国有公司，主要股东为泰兴市人民政府国有资产监督管理办公室，实际控制人为泰兴市人民政府国有资产监督管理办公室。（5）非标准化债权类资产：融资人为扬州市邗江国有资产经营有限公司。融资人经营正常，是依法设立的国有公司，主要股东为扬州市邗江城市建设发展有限公司，扬州市正本溯源建设发展有限公司，实际控制人为扬州市人民政府。（6）非标准化债权类资产：融资人为镇江铁路投资发展有限公司。融资人经营正常，是依法设立的国有公司，主要股东为镇江市人民政府国有资产监督管理委员会，实际控制人为镇江市人民政府国有资产监督管理委员会。（7）非标准化债权类资产：融资人为淮安高新控股有限公司。融资人经营正常，是依法设立的国有公司，主要股东为淮安市财政局、淮安市交通控股集团有限公司、淮安新城投资开发集团有限公司，淮安国发投资集团有限公司，淮安市宏信国有资产投资管理有限公司，淮安市国有联合投资发展集团有限公司和淮安市投资控股集团有限公司，实际控制人为淮安市人民政府。（8）非标准化债权类资产：融资人为桐庐县城市建设投资集团有限公司。融资人经营正常，是依法设立的国有公司，主要股东为桐庐投资建设发展集团有限公司，实际控制人为桐庐县人民政府国有资产监督管理委员会。（9）非标准化债权类资产：融资人为绍兴市越城区城市发展建设集团有限公司。融资人经营正常，是依法设立的国有公司，主要股东为绍兴市越城区财政局，实际控制人为绍兴市越城区财政局。（10）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11）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12）非标准化债权类资产：融资人为兰溪市城市投资集团有限公司。融资人经营正常，是依法设立的国有公司，主要股东为兰溪市城市发展集团有限公司，实际控制人为兰溪市人民政府国有资产监督管理办公室。（13）非标准化债权类资产：融资人为苏皖合作示范区建设发展集团有限公司。融资人经营正常，是依法设立的国有公司，主要股东为溧阳市国有资产管理中心，实际控制人为溧阳市财政局。（14）非标准化债权类资产：融资人为江苏云港发展集团有限公司。融资人经营正常，是依法设立的国有公司，主要股东为江苏海州湾控股集团有限公司，实际控制人为连云港市连云区人民政府。（15）非标准化债权类资产：融资人为盐城市大丰区谐城实业发展有限公司。融资人经营正常，是依法设立的国有公司，主要股东为盐城市大丰区城市建设集团有限公司，实际控制人为江苏省盐城市大丰区人民政府。（16）非标准化债权类资产：融资人为南京市高淳区建设发展集团有限公司。融资人经营正常，是依法设立的国有公司，主要股东为南京市高淳区人民政府国有资产监督管理办公室，实际控制人为南京市高淳区人民政府国有资产监督管理办公室。（17）非标准化债权类资产：融资人为宿迁市运河港区开发集团有限公司。融资人经营正常，是依法设立的国有公司，主要股东为宿迁产业发展集团有限公司、宿迁市惠农产业发展股份有限公司，实际控制人为宿迁市人民政府。（18）非标准化债权类资产：融资人为仪征市水交投资有限公司。融资人经营正常，是依法设立的国有公司，主要股东为仪征市水交产业投资有限公司，兴田国际投资有限公司，实际控制人为仪征市财政局(仪征市政府国有资产监督管理办公室)。（19）非标准化债权类资产：融资人为盐城高新区投资集团有限公司。融资人经营正常，是依法设立的国有公司，主要股东为盐城高新产业控股集团有限公司，实际控制人为盐城市人民政府。（20）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21）非标准化债权类资产：融资人为象山县滨海投资有限公司。融资人经营正常，是依法设立的国有公司，主要股东为宁波象开建设发展有限公司、浙江省财务开发有限责任公司，实际控制人为象山县国有资产管理局。（22）非标准化债权类资产：融资人为燕舞集团有限公司。融资人经营正常，是依法设立的国有公司，主要股东为盐城市人民政府、盐城市城市资产投资集团有限公司、江苏悦达集团有限公司，实际控制人为盐城市人民政府。（23）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24）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25）非标准化债权类资产：融资人为温州瓯海科技产业发展集团有限公司。融资人经营正常，是依法设立的国有公司，主要股东为温州瓯海产业控股有限公司，实际控制人为温州市瓯海区国有资产管理办公室。（26）非标准化债权类资产：融资人为邳州市交通控股集团有限公司。融资人经营正常，是依法设立的国有公司，主要股东为邳州市交通投资发展集团有限公司，实际控制人为邳州市财政局。（27）非标准化债权类资产：融资人为如东县民泰城乡建设工程有限公司。融资人经营正常，是依法设立的国有公司，主要股东为如东县金鑫交通工程建设投资有限公司，实际控制人为如东县投资管理办公室。（28）非标准化债权类资产：融资人为无锡市惠山文商旅集团有限公司。融资人经营正常，是依法设立的国有公司，主要股东为无锡惠同控股集团有限公司、无锡惠山经济开发区开发建设总公司、无锡市惠山区生产力促进中心，实际控制人为无锡市惠山区国有资产管理办公室。（29）非标准化债权类资产：融资人为无锡锡山资产经营管理有限公司。融资人经营正常，是依法设立的国有公司，主要股东为无锡市锡州产城控股集团有限公司、无锡市锡山区国有企业改革发展服务中心，实际控制人为无锡市锡山区国有企业改革发展服务中心。（30）非标准化债权类资产：融资人为江苏钟吾城乡投资发展集团有限公司。融资人经营正常，是依法设立的国有公司，主要股东为徐州市人民政府，实际控制人为徐州市人民政府。（31）非标准化债权类资产：融资人为泰州医药城控股集团有限公司。融资人经营正常，是依法设立的国有公司，主要股东为泰州医药高新技术产业开发区管理委员会，实际控制人为泰州医药高新技术产业开发区管理委员会。（32）非标准化债权类资产：融资人为泰州国控投资集团有限公司。融资人经营正常，是依法设立的国有公司，主要股东为泰州市政府国有资产监督管理委员会，实际控制人为泰州市政府国有资产监督管理委员会。（33）非标准化债权类资产：融资人为杭州之江城市建设投资集团有限公司。融资人经营正常，是依法设立的国有公司，主要股东为杭州市西湖区人民政府国有资产监督管理办公室，实际控制人为杭州市西湖区人民政府国有资产监督管理办公室。（34）非标准化债权类资产：融资人为南京高淳老街旅游开发股份有限公司。融资人经营正常，是依法设立的国有公司，主要股东为南京高淳文化旅游投资有限公司、南京市高淳区城市更新中心(南京市高淳区房地产管理所、南京市高淳区房屋安全鉴定所)，实际控制人为南京市高淳区人民政府国有资产监督管理办公室。（35）非标准化债权类资产：融资人为绍兴滨海新区发展集团有限公司。融资人经营正常，是依法设立的国有公司，主要股东为绍兴滨海新区控股集团有限公司，实际控制人为绍兴市人民政府国有资产监督管理委员会。（36）非标准化债权类资产：融资人为扬州高新国控集团有限公司。融资人经营正常，是依法设立的国有公司，主要股东为扬州市人民政府，实际控制人为扬州市人民政府。（37）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38）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39）收益凭证：融资人为中信建投证券股份有限公司。融资人经营正常</w:t>
      </w:r>
      <w:r>
        <w:rPr>
          <w:rFonts w:hint="eastAsia" w:ascii="楷体" w:hAnsi="楷体" w:eastAsia="楷体" w:cs="楷体"/>
          <w:color w:val="auto"/>
          <w:kern w:val="2"/>
          <w:sz w:val="21"/>
          <w:szCs w:val="21"/>
          <w:highlight w:val="none"/>
          <w:lang w:val="en-US" w:eastAsia="zh-CN" w:bidi="ar-SA"/>
        </w:rPr>
        <w:t>，是依法设立的国有公司，主要股东为北京金融控股集团有限公司、中央汇金投资有限责任公司、香港中央结算（代理人）有限公司，实际控制人为中央汇金投资有限责任公司。（40）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41）收益凭证：融资人为华泰证券股份有限公司。融资人经营正常，是依法设立的国有公司，主要股东为江苏省国信集团有限公司、香港中央结算（代理人）有限公司、江苏交通控股有限公司，无实际控制人。（42）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43）收益凭证：融资人为申万宏源证券有限公司。融资人经营正常，是依法设立的国有公司，主要股东为申万宏源集团股份有限公司，实际控制人为中央汇金投资有限责任公司。（44）收益凭证：融资人为东方证券股份有限公司。融资人经营正常，是依法设立的国有公司，主要股东为申能（集团）有限公司、香港中央结算（代理人）有限公司、上海海烟投资管理有限公司，实际控制人为上海市国有资产监督管理委员会。（45）收益凭证：融资人为浙商证券股份有限公司。融资人经营正常，是依法设立的国有公司，主要股东为浙江上三高速公路有限公司、台州市金融投资集团有限公司，实际控制人为浙江省交通投资集团有限公司。（46）融资人为国投证券股份有限公司。融资人经营正常，是依法设立的国有公司，主要股东为国投资本股份有限公司、上海毅胜投资有限公司，实际控制人为国家开发投资集团有限公司。</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36）各资产到期日不超过理财产品投资周期终止日，定期付息、到期一次性还本；（37）-（46）各资产到期日不超过理财产品投资周期终止日，到期一次性还本付息。</w:t>
      </w:r>
      <w:bookmarkStart w:id="0" w:name="_GoBack"/>
      <w:bookmarkEnd w:id="0"/>
    </w:p>
    <w:p>
      <w:pPr>
        <w:numPr>
          <w:ilvl w:val="0"/>
          <w:numId w:val="0"/>
        </w:numPr>
        <w:ind w:firstLine="420" w:firstLineChars="200"/>
        <w:rPr>
          <w:rFonts w:hint="default"/>
          <w:lang w:val="en-US" w:eastAsia="zh-CN"/>
        </w:rPr>
      </w:pPr>
      <w:r>
        <w:rPr>
          <w:rFonts w:hint="eastAsia" w:ascii="楷体" w:hAnsi="楷体" w:eastAsia="楷体" w:cs="楷体"/>
          <w:color w:val="auto"/>
          <w:kern w:val="2"/>
          <w:sz w:val="21"/>
          <w:szCs w:val="21"/>
          <w:highlight w:val="none"/>
          <w:lang w:val="en-US" w:eastAsia="zh-CN" w:bidi="ar-SA"/>
        </w:rPr>
        <w:t>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lang w:val="en-US" w:eastAsia="zh-CN"/>
        </w:rPr>
      </w:pP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4098"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409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4097"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4A5CF9"/>
    <w:rsid w:val="61BC4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39"/>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41"/>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42"/>
    <w:unhideWhenUsed/>
    <w:qFormat/>
    <w:uiPriority w:val="99"/>
    <w:pPr>
      <w:jc w:val="left"/>
    </w:pPr>
  </w:style>
  <w:style w:type="paragraph" w:styleId="6">
    <w:name w:val="Body Text"/>
    <w:basedOn w:val="1"/>
    <w:link w:val="38"/>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43"/>
    <w:unhideWhenUsed/>
    <w:qFormat/>
    <w:uiPriority w:val="99"/>
    <w:pPr>
      <w:ind w:left="100" w:leftChars="2500"/>
    </w:pPr>
  </w:style>
  <w:style w:type="paragraph" w:styleId="8">
    <w:name w:val="Balloon Text"/>
    <w:basedOn w:val="1"/>
    <w:link w:val="44"/>
    <w:unhideWhenUsed/>
    <w:qFormat/>
    <w:uiPriority w:val="99"/>
    <w:rPr>
      <w:kern w:val="0"/>
      <w:sz w:val="18"/>
      <w:szCs w:val="18"/>
    </w:rPr>
  </w:style>
  <w:style w:type="paragraph" w:styleId="9">
    <w:name w:val="footer"/>
    <w:basedOn w:val="1"/>
    <w:link w:val="45"/>
    <w:unhideWhenUsed/>
    <w:qFormat/>
    <w:uiPriority w:val="99"/>
    <w:pPr>
      <w:tabs>
        <w:tab w:val="center" w:pos="4153"/>
        <w:tab w:val="right" w:pos="8306"/>
      </w:tabs>
      <w:snapToGrid w:val="0"/>
      <w:jc w:val="left"/>
    </w:pPr>
    <w:rPr>
      <w:kern w:val="0"/>
      <w:sz w:val="18"/>
      <w:szCs w:val="18"/>
    </w:rPr>
  </w:style>
  <w:style w:type="paragraph" w:styleId="10">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qFormat/>
    <w:uiPriority w:val="99"/>
    <w:pPr>
      <w:snapToGrid w:val="0"/>
      <w:jc w:val="left"/>
    </w:pPr>
    <w:rPr>
      <w:sz w:val="18"/>
      <w:szCs w:val="18"/>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48"/>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qFormat/>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2026-03-04T09:53:19Z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