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苏银理财恒源1年定开2014期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苏银理财恒源1年定开2014期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（2026年3月版）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苏银理财恒源1年定开2014期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苏银理财恒源1年定开2014期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Z7003121000084，</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A份额:苏银理财恒源1年定开2014期A/J211501SA341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B份额:苏银理财恒源1年定开2014期B/J02247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C份额:苏银理财恒源1年定开2014期C/J15581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D份额:苏银理财恒源1年定开2014期D/J03108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F份额:苏银理财恒源1年定开2014期F/J03109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G份额:苏银理财恒源1年定开2014期G/J02248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J份额:苏银理财恒源1年定开2014期J/J03110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P份额:苏银理财恒源1年定开2014期P/J03827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O份额:苏银理财恒源1年定开2014期O（兰州银行开门红专属）/J15582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GS份额:苏银理财恒源1年定开2014期GS/J16002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U份额:苏银理财恒源1年定开2014期U/J15583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Z份额:苏银理财恒源1年定开2014期Z/J15584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ZA份额:苏银理财恒源1年定开2014期ZA鑫福款（自动赎回）/J03111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ZF份额:苏银理财恒源1年定开2014期ZF（自动赎回）/J03112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ZF2份额:苏银理财恒源1年定开2014期ZF2（自动赎回）/J15585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ZJ份额:苏银理财恒源1年定开2014期ZJ（自动赎回）/J15586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ZN份额:苏银理财恒源1年定开2014期ZN（自动赎回）/J03828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ZC份额:苏银理财恒源1年定开2014期ZC鑫福优享（自动赎回）/J15587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ZK份额:苏银理财恒源1年定开2014期ZK鑫福尊享（自动赎回）/J15588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:20</w:t>
            </w:r>
            <w:r>
              <w:rPr>
                <w:rFonts w:hint="eastAsia" w:ascii="楷体" w:hAnsi="楷体" w:eastAsia="楷体"/>
                <w:sz w:val="18"/>
                <w:szCs w:val="18"/>
                <w:highlight w:val="none"/>
              </w:rPr>
              <w:t>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GS份额: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ZF2份额: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ZJ份额: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C</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K</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8</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14</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15</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w:t>
            </w:r>
            <w:r>
              <w:rPr>
                <w:rFonts w:hint="eastAsia" w:ascii="楷体" w:hAnsi="楷体" w:eastAsia="楷体" w:cs="宋体"/>
                <w:color w:val="auto"/>
                <w:spacing w:val="-2"/>
                <w:sz w:val="18"/>
                <w:szCs w:val="18"/>
                <w:lang w:val="en-US" w:eastAsia="zh-CN"/>
              </w:rPr>
              <w:t>1</w:t>
            </w:r>
            <w:r>
              <w:rPr>
                <w:rFonts w:hint="eastAsia" w:ascii="楷体" w:hAnsi="楷体" w:eastAsia="楷体" w:cs="宋体"/>
                <w:color w:val="auto"/>
                <w:spacing w:val="-2"/>
                <w:sz w:val="18"/>
                <w:szCs w:val="18"/>
                <w:lang w:eastAsia="zh-CN"/>
              </w:rPr>
              <w:t>年</w:t>
            </w:r>
            <w:r>
              <w:rPr>
                <w:rFonts w:hint="eastAsia" w:ascii="楷体" w:hAnsi="楷体" w:eastAsia="楷体" w:cs="宋体"/>
                <w:color w:val="auto"/>
                <w:spacing w:val="-2"/>
                <w:sz w:val="18"/>
                <w:szCs w:val="18"/>
                <w:lang w:val="en-US" w:eastAsia="zh-CN"/>
              </w:rPr>
              <w:t>12</w:t>
            </w:r>
            <w:r>
              <w:rPr>
                <w:rFonts w:hint="eastAsia" w:ascii="楷体" w:hAnsi="楷体" w:eastAsia="楷体" w:cs="宋体"/>
                <w:color w:val="auto"/>
                <w:spacing w:val="-2"/>
                <w:sz w:val="18"/>
                <w:szCs w:val="18"/>
                <w:lang w:eastAsia="zh-CN"/>
              </w:rPr>
              <w:t>月</w:t>
            </w:r>
            <w:r>
              <w:rPr>
                <w:rFonts w:hint="eastAsia" w:ascii="楷体" w:hAnsi="楷体" w:eastAsia="楷体" w:cs="宋体"/>
                <w:color w:val="auto"/>
                <w:spacing w:val="-2"/>
                <w:sz w:val="18"/>
                <w:szCs w:val="18"/>
                <w:lang w:val="en-US" w:eastAsia="zh-CN"/>
              </w:rPr>
              <w:t>30</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最新投资周期（2026年3月31日-2027年4月19日）开放申购与赎回时间为：</w:t>
            </w:r>
            <w:r>
              <w:rPr>
                <w:rFonts w:hint="eastAsia" w:ascii="楷体" w:hAnsi="楷体" w:eastAsia="楷体" w:cs="宋体"/>
                <w:b/>
                <w:bCs/>
                <w:spacing w:val="-2"/>
                <w:sz w:val="18"/>
                <w:szCs w:val="18"/>
                <w:highlight w:val="none"/>
                <w:lang w:val="en-US" w:eastAsia="zh-CN"/>
              </w:rPr>
              <w:t>2026年3月20日至2026年3月30日（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(其中ZA份额/ZF份额/ZF2份额/ZJ份额/ZN份额/ZC份额/ZK份额由系统主动发起赎回申请，投资者无须发起赎回申请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2026年3月31日-2027年4月19日</w:t>
            </w:r>
            <w:r>
              <w:rPr>
                <w:rFonts w:hint="eastAsia" w:ascii="楷体" w:hAnsi="楷体" w:eastAsia="楷体" w:cs="宋体"/>
                <w:spacing w:val="-2"/>
                <w:kern w:val="0"/>
                <w:sz w:val="18"/>
                <w:szCs w:val="18"/>
                <w:lang w:val="en-US" w:eastAsia="zh-CN" w:bidi="ar-SA"/>
              </w:rPr>
              <w:t>）业绩比较基准如下：</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7"/>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7"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686" w:type="dxa"/>
                  <w:noWrap w:val="0"/>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rPr>
                  </w:pPr>
                  <w:r>
                    <w:rPr>
                      <w:rFonts w:hint="eastAsia" w:ascii="楷体" w:hAnsi="楷体" w:eastAsia="楷体"/>
                      <w:b w:val="0"/>
                      <w:bCs w:val="0"/>
                      <w:sz w:val="18"/>
                      <w:szCs w:val="18"/>
                      <w:lang w:val="en-US" w:eastAsia="zh-CN"/>
                    </w:rPr>
                    <w:t>1</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b w:val="0"/>
                      <w:bCs w:val="0"/>
                      <w:sz w:val="18"/>
                      <w:szCs w:val="18"/>
                      <w:lang w:val="en-US" w:eastAsia="zh-CN"/>
                    </w:rPr>
                    <w:t>2021年1月15日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b w:val="0"/>
                      <w:bCs w:val="0"/>
                      <w:sz w:val="18"/>
                      <w:szCs w:val="18"/>
                      <w:highlight w:val="none"/>
                      <w:lang w:eastAsia="zh-CN"/>
                    </w:rPr>
                    <w:t>2022年2月9日</w:t>
                  </w:r>
                </w:p>
              </w:tc>
              <w:tc>
                <w:tcPr>
                  <w:tcW w:w="268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jc w:val="center"/>
                    <w:textAlignment w:val="auto"/>
                    <w:rPr>
                      <w:rFonts w:hint="eastAsia" w:ascii="楷体" w:hAnsi="楷体" w:eastAsia="楷体" w:cs="楷体"/>
                      <w:sz w:val="18"/>
                      <w:szCs w:val="18"/>
                      <w:highlight w:val="none"/>
                    </w:rPr>
                  </w:pPr>
                  <w:r>
                    <w:rPr>
                      <w:rFonts w:hint="eastAsia" w:ascii="楷体" w:hAnsi="楷体" w:eastAsia="楷体"/>
                      <w:b w:val="0"/>
                      <w:bCs w:val="0"/>
                      <w:sz w:val="18"/>
                      <w:szCs w:val="18"/>
                      <w:lang w:val="en-US" w:eastAsia="zh-CN"/>
                    </w:rPr>
                    <w:t>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rPr>
                  </w:pPr>
                  <w:r>
                    <w:rPr>
                      <w:rFonts w:hint="eastAsia" w:ascii="楷体" w:hAnsi="楷体" w:eastAsia="楷体"/>
                      <w:sz w:val="18"/>
                      <w:szCs w:val="18"/>
                      <w:lang w:val="en-US" w:eastAsia="zh-CN"/>
                    </w:rPr>
                    <w:t>2</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lang w:eastAsia="zh-CN"/>
                    </w:rPr>
                  </w:pPr>
                  <w:r>
                    <w:rPr>
                      <w:rFonts w:hint="eastAsia" w:ascii="楷体" w:hAnsi="楷体" w:eastAsia="楷体"/>
                      <w:sz w:val="18"/>
                      <w:szCs w:val="18"/>
                      <w:highlight w:val="none"/>
                      <w:lang w:eastAsia="zh-CN"/>
                    </w:rPr>
                    <w:t>2022年2月10日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lang w:eastAsia="zh-CN"/>
                    </w:rPr>
                  </w:pPr>
                  <w:r>
                    <w:rPr>
                      <w:rFonts w:hint="eastAsia" w:ascii="楷体" w:hAnsi="楷体" w:eastAsia="楷体"/>
                      <w:sz w:val="18"/>
                      <w:szCs w:val="18"/>
                      <w:highlight w:val="none"/>
                      <w:lang w:eastAsia="zh-CN"/>
                    </w:rPr>
                    <w:t>2023年2月13日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楷体"/>
                      <w:sz w:val="18"/>
                      <w:szCs w:val="18"/>
                      <w:lang w:val="en-US" w:eastAsia="zh-CN"/>
                    </w:rPr>
                  </w:pPr>
                  <w:r>
                    <w:rPr>
                      <w:rFonts w:hint="eastAsia" w:ascii="楷体" w:hAnsi="楷体" w:eastAsia="楷体"/>
                      <w:sz w:val="18"/>
                      <w:szCs w:val="18"/>
                      <w:lang w:val="en-US" w:eastAsia="zh-CN"/>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宋体"/>
                      <w:spacing w:val="-2"/>
                      <w:sz w:val="18"/>
                      <w:szCs w:val="18"/>
                      <w:lang w:val="en-US" w:eastAsia="zh-CN"/>
                    </w:rPr>
                  </w:pPr>
                  <w:r>
                    <w:rPr>
                      <w:rFonts w:hint="eastAsia" w:ascii="楷体" w:hAnsi="楷体" w:eastAsia="楷体"/>
                      <w:sz w:val="18"/>
                      <w:szCs w:val="18"/>
                      <w:highlight w:val="none"/>
                      <w:lang w:eastAsia="zh-CN"/>
                    </w:rPr>
                    <w:t>2023年2月14日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2024年2月22日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A份额4.</w:t>
                  </w:r>
                  <w:r>
                    <w:rPr>
                      <w:rFonts w:hint="eastAsia" w:ascii="楷体" w:hAnsi="楷体" w:eastAsia="楷体"/>
                      <w:sz w:val="18"/>
                      <w:szCs w:val="18"/>
                      <w:lang w:val="en-US" w:eastAsia="zh-CN"/>
                    </w:rPr>
                    <w:t>1</w:t>
                  </w:r>
                  <w:r>
                    <w:rPr>
                      <w:rFonts w:hint="default" w:ascii="楷体" w:hAnsi="楷体" w:eastAsia="楷体"/>
                      <w:sz w:val="18"/>
                      <w:szCs w:val="18"/>
                      <w:lang w:val="en-US" w:eastAsia="zh-CN"/>
                    </w:rPr>
                    <w:t>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B份额4.</w:t>
                  </w:r>
                  <w:r>
                    <w:rPr>
                      <w:rFonts w:hint="eastAsia" w:ascii="楷体" w:hAnsi="楷体" w:eastAsia="楷体"/>
                      <w:sz w:val="18"/>
                      <w:szCs w:val="18"/>
                      <w:lang w:val="en-US" w:eastAsia="zh-CN"/>
                    </w:rPr>
                    <w:t>1</w:t>
                  </w:r>
                  <w:r>
                    <w:rPr>
                      <w:rFonts w:hint="default" w:ascii="楷体" w:hAnsi="楷体" w:eastAsia="楷体"/>
                      <w:sz w:val="18"/>
                      <w:szCs w:val="18"/>
                      <w:lang w:val="en-US" w:eastAsia="zh-CN"/>
                    </w:rPr>
                    <w:t>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G</w:t>
                  </w:r>
                  <w:r>
                    <w:rPr>
                      <w:rFonts w:hint="default" w:ascii="楷体" w:hAnsi="楷体" w:eastAsia="楷体"/>
                      <w:sz w:val="18"/>
                      <w:szCs w:val="18"/>
                      <w:lang w:val="en-US" w:eastAsia="zh-CN"/>
                    </w:rPr>
                    <w:t>份额4.</w:t>
                  </w:r>
                  <w:r>
                    <w:rPr>
                      <w:rFonts w:hint="eastAsia" w:ascii="楷体" w:hAnsi="楷体" w:eastAsia="楷体"/>
                      <w:sz w:val="18"/>
                      <w:szCs w:val="18"/>
                      <w:lang w:val="en-US" w:eastAsia="zh-CN"/>
                    </w:rPr>
                    <w:t>2</w:t>
                  </w:r>
                  <w:r>
                    <w:rPr>
                      <w:rFonts w:hint="default" w:ascii="楷体" w:hAnsi="楷体" w:eastAsia="楷体"/>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lang w:val="en-US" w:eastAsia="zh-CN" w:bidi="ar-SA"/>
                    </w:rPr>
                  </w:pPr>
                  <w:r>
                    <w:rPr>
                      <w:rFonts w:hint="eastAsia" w:ascii="楷体" w:hAnsi="楷体" w:eastAsia="楷体"/>
                      <w:sz w:val="18"/>
                      <w:szCs w:val="18"/>
                      <w:lang w:val="en-US" w:eastAsia="zh-CN"/>
                    </w:rPr>
                    <w:t>4</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lang w:val="en-US" w:eastAsia="zh-CN" w:bidi="ar-SA"/>
                    </w:rPr>
                  </w:pPr>
                  <w:r>
                    <w:rPr>
                      <w:rFonts w:hint="eastAsia" w:ascii="楷体" w:hAnsi="楷体" w:eastAsia="楷体" w:cs="宋体"/>
                      <w:spacing w:val="-2"/>
                      <w:sz w:val="18"/>
                      <w:szCs w:val="18"/>
                      <w:lang w:val="en-US" w:eastAsia="zh-CN"/>
                    </w:rPr>
                    <w:t>2024年2月23日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lang w:val="en-US" w:eastAsia="zh-CN" w:bidi="ar-SA"/>
                    </w:rPr>
                  </w:pPr>
                  <w:r>
                    <w:rPr>
                      <w:rFonts w:hint="eastAsia" w:ascii="楷体" w:hAnsi="楷体" w:eastAsia="楷体"/>
                      <w:sz w:val="18"/>
                      <w:szCs w:val="18"/>
                      <w:lang w:val="en-US" w:eastAsia="zh-CN"/>
                    </w:rPr>
                    <w:t>2025年3月4日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kern w:val="0"/>
                      <w:sz w:val="18"/>
                      <w:szCs w:val="18"/>
                      <w:lang w:val="en-US" w:eastAsia="zh-CN" w:bidi="ar-SA"/>
                    </w:rPr>
                  </w:pPr>
                  <w:r>
                    <w:rPr>
                      <w:rFonts w:hint="default" w:ascii="楷体" w:hAnsi="楷体" w:eastAsia="楷体"/>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w:t>
                  </w:r>
                </w:p>
              </w:tc>
              <w:tc>
                <w:tcPr>
                  <w:tcW w:w="1871" w:type="dxa"/>
                  <w:noWrap w:val="0"/>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2025年3月5日</w:t>
                  </w:r>
                </w:p>
              </w:tc>
              <w:tc>
                <w:tcPr>
                  <w:tcW w:w="1807"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2026年3月30日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2.63</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23</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2.75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P份额</w:t>
                  </w:r>
                  <w:bookmarkStart w:id="0" w:name="_GoBack"/>
                  <w:bookmarkEnd w:id="0"/>
                  <w:r>
                    <w:rPr>
                      <w:rFonts w:hint="eastAsia" w:ascii="楷体" w:hAnsi="楷体" w:eastAsia="楷体" w:cs="Times New Roman"/>
                      <w:sz w:val="18"/>
                      <w:szCs w:val="18"/>
                      <w:lang w:val="en-US" w:eastAsia="zh-CN"/>
                    </w:rPr>
                    <w:t>2.85%-3.45%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Times New Roman"/>
                      <w:sz w:val="18"/>
                      <w:szCs w:val="18"/>
                      <w:lang w:val="en-US" w:eastAsia="zh-CN"/>
                    </w:rPr>
                    <w:t>ZN份额2.79%-3.39%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c>
                <w:tcPr>
                  <w:tcW w:w="1871" w:type="dxa"/>
                  <w:noWrap w:val="0"/>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2026年3月31日</w:t>
                  </w:r>
                </w:p>
              </w:tc>
              <w:tc>
                <w:tcPr>
                  <w:tcW w:w="1807"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2027年4月19日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B份额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J份额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O份额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GS份额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U份额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ZF2份额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ZJ份额 2.70%-3.30%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ZN份额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0.50%，P份额 0.45%，O份额 0.55%，GS份额 0.55%，U份额 0.60%，Z份额 0.65%，ZA份额 0.65%，ZF份额 0.65%，ZF2份额 0.60%，ZJ份额 0.40%，ZN份额 0.55%，ZC份额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0.70%，P份额 0.65%，O份额 0.65%，GS份额 0.65%，U份额 0.70%，Z份额 0.65%，ZA份额 0.65%，ZF份额 0.65%，ZF2份额 0.60%，ZJ份额 0.65%，ZN份额 0.65%，ZC份额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常熟农村商业银行股份有限公司/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江阴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苏州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九江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江苏常熟农村商业银行股份有限公司/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苏州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宁波东海银行股份有限公司/齐鲁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北京农村商业银行股份有限公司/甘肃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苏州银行股份有限公司/台州银行股份有限公司/潍坊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江山农村商业银行股份有限公司/浙江开化农村商业银行股份有限公司/浙江乐清农村商业银行股份有限公司/浙江临海农村商业银行股份有限公司/浙江青田农村商业银行股份有限公司/浙江上虞农村商业银行股份有限公司/浙江绍兴瑞丰农村商业银行股份有限公司/浙江泰顺农村商业银行股份有限公司/浙江桐庐农村商业银行股份有限公司/浙江温州龙湾农村商业银行股份有限公司/浙江温州瓯海农村商业银行股份有限公司/浙江武义农村商业银行股份有限公司/浙江萧山农村商业银行股份有限公司/浙江义乌农村商业银行股份有限公司/浙江永嘉农村商业银行股份有限公司/浙江永康农村商业银行股份有限公司/浙江长兴农村商业银行股份有限公司/浙江舟山定海海洋农村商业银行股份有限公司/浙商银行股份有限公司/中邮邮惠万家银行有限责任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衢州衢江农村商业银行股份有限公司/浙江上虞农村商业银行股份有限公司/浙江绍兴瑞丰农村商业银行股份有限公司/浙江桐庐农村商业银行股份有限公司/浙江永嘉农村商业银行股份有限公司/浙江舟山定海海洋农村商业银行股份有限公司/浙商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J份额：江苏如皋农村商业银行股份有限公司/江苏银行股份有限公司/上海银行股份有限公司/苏银理财有限责任公司/威海银行股份有限公司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P份额：甘肃银行股份有限公司/徽商银行股份有限公司/郑州银行股份有限公司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GS份额：甘肃银行股份有限公司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U份额：徽商银行股份有限公司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Z份额：上海农村商业银行股份有限公司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大丰农村商业银行股份有限公司/江苏丹阳农村商业银行股份有限公司/江苏东海农村商业银行股份有限公司/江苏东台农村商业银行股份有限公司/江苏丰县农村商业银行股份有限公司/江苏阜宁农村商业银行股份有限公司/江苏高淳农村商业银行股份有限公司/江苏高邮农村商业银行股份有限公司/江苏灌南农村商业银行股份有限公司/江苏灌云农村商业银行股份有限公司/江苏海安农村商业银行股份有限公司/江苏洪泽农村商业银行股份有限公司/江苏淮安农村商业银行股份有限公司/江苏建湖农村商业银行股份有限公司/江苏江都农村商业银行股份有限公司/江苏姜堰农村商业银行股份有限公司/江苏金湖农村商业银行股份有限公司/江苏靖江农村商业银行股份有限公司/江苏句容农村商业银行股份有限公司/江苏溧水农村商业银行股份有限公司/江苏民丰农村商业银行股份有限公司/江苏南通农村商业银行股份有限公司/江苏邳州农村商业银行股份有限公司/江苏启东农村商业银行股份有限公司/江苏如东农村商业银行股份有限公司/江苏如皋农村商业银行股份有限公司/江苏沭阳农村商业银行股份有限公司/江苏泗洪农村商业银行股份有限公司/江苏泗阳农村商业银行股份有限公司/江苏苏州农村商业银行股份有限公司/江苏睢宁农村商业银行股份有限公司/江苏泰兴农村商业银行股份有限公司/江苏新沂农村商业银行股份有限公司/江苏盱眙农村商业银行股份有限公司/江苏盐城农村商业银行股份有限公司/江苏扬中农村商业银行股份有限公司/江苏扬州农村商业银行股份有限公司/江苏仪征农村商业银行股份有限公司/江苏宜兴农村商业银行股份有限公司/江苏镇江农村商业银行股份有限公司/江苏紫金农村商业银行股份有限公司/连云港东方农村商业银行股份有限公司/徐州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河北银行股份有限公司/嘉兴银行股份有限公司/江苏江南农村商业银行股份有限公司/江苏张家港农村商业银行股份有限公司/莱商银行股份有限公司/宁波慈溪农村商业银行股份有限公司/宁波甬城农村商业银行股份有限公司/宁波余姚农村商业银行股份有限公司/宁波镇海农村商业银行股份有限公司/厦门银行股份有限公司/苏州银行股份有限公司/兴业银行股份有限公司/浙江岱山农村商业银行股份有限公司/浙江德清农村商业银行股份有限公司/浙江杭州余杭农村商业银行股份有限公司/浙江嘉善农村商业银行股份有限公司/浙江江山农村商业银行股份有限公司/浙江开化农村商业银行股份有限公司/浙江兰溪农村商业银行股份有限公司/浙江临安农村商业银行股份有限公司/浙江临海农村商业银行股份有限公司/浙江龙泉农村商业银行股份有限公司/浙江民泰商业银行股份有限公司/浙江南浔农村商业银行股份有限公司/浙江浦江农村商业银行股份有限公司/浙江青田农村商业银行股份有限公司/浙江衢州柯城农村商业银行股份有限公司/浙江衢州衢江农村商业银行股份有限公司/浙江上虞农村商业银行股份有限公司/浙江嵊州农村商业银行股份有限公司/浙江泰顺农村商业银行股份有限公司/浙江温岭农村商业银行股份有限公司/浙江温州龙湾农村商业银行股份有限公司/浙江温州瓯海农村商业银行股份有限公司/浙江武义农村商业银行股份有限公司/浙江萧山农村商业银行股份有限公司/浙江新昌农村商业银行股份有限公司/浙江义乌农村商业银行股份有限公司/浙江永康农村商业银行股份有限公司</w:t>
      </w:r>
    </w:p>
    <w:p>
      <w:pPr>
        <w:ind w:left="0" w:leftChars="0"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ZF2份额：石嘴山银行股份有限公司</w:t>
      </w:r>
    </w:p>
    <w:p>
      <w:pPr>
        <w:ind w:left="0" w:leftChars="0"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ZJ份额：浙江海宁农村商业银行股份有限公司/浙江海盐农村商业银行股份有限公司/浙江嘉善农村商业银行股份有限公司/浙江平湖农村商业银行股份有限公司/浙江桐乡农村商业银行股份有限公司</w:t>
      </w:r>
    </w:p>
    <w:p>
      <w:pPr>
        <w:ind w:left="0" w:leftChars="0"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ZN份额：广西北部湾银行股份有限公司/河北银行股份有限公司/宁波通商银行股份有限公司/浙江萧山农村商业银行股份有限公司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ZC份额：</w:t>
      </w:r>
      <w:r>
        <w:rPr>
          <w:rFonts w:hint="eastAsia" w:ascii="楷体" w:hAnsi="楷体" w:eastAsia="楷体" w:cs="楷体"/>
          <w:sz w:val="21"/>
          <w:szCs w:val="21"/>
          <w:highlight w:val="none"/>
          <w:lang w:val="en-US" w:eastAsia="zh-CN"/>
        </w:rPr>
        <w:t>江苏大丰农村商业银行股份有限公司/江苏东台农村商业银行股份有限公司/江苏阜宁农村商业银行股份有限公司/江苏高淳农村商业银行股份有限公司/江苏高邮农村商业银行股份有限公司/江苏灌南农村商业银行股份有限公司/江苏海安农村商业银行股份有限公司/江苏建湖农村商业银行股份有限公司/江苏江都农村商业银行股份有限公司/江苏姜堰农村商业银行股份有限公司/江苏溧水农村商业银行股份有限公司/江苏民丰农村商业银行股份有限公司/江苏如东农村商业银行股份有限公司/江苏如皋农村商业银行股份有限公司/江苏泗阳农村商业银行股份有限公司/江苏泰兴农村商业银行股份有限公司/江苏盐城农村商业银行股份有限公司/江苏扬州农村商业银行股份有限公司/江苏仪征农村商业银行股份有限公司/江苏宜兴农村商业银行股份有限公司/江苏紫金农村商业银行股份有限公司/连云港东方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ZK份额：</w:t>
      </w:r>
      <w:r>
        <w:rPr>
          <w:rFonts w:hint="eastAsia" w:ascii="楷体" w:hAnsi="楷体" w:eastAsia="楷体" w:cs="楷体"/>
          <w:sz w:val="21"/>
          <w:szCs w:val="21"/>
          <w:highlight w:val="none"/>
          <w:lang w:val="en-US" w:eastAsia="zh-CN"/>
        </w:rPr>
        <w:t>江苏大丰农村商业银行股份有限公司/江苏东台农村商业银行股份有限公司/江苏阜宁农村商业银行股份有限公司/江苏高淳农村商业银行股份有限公司/江苏高邮农村商业银行股份有限公司/江苏灌南农村商业银行股份有限公司/江苏海安农村商业银行股份有限公司/江苏建湖农村商业银行股份有限公司/江苏江都农村商业银行股份有限公司/江苏姜堰农村商业银行股份有限公司/江苏溧水农村商业银行股份有限公司/江苏民丰农村商业银行股份有限公司/江苏南通农村商业银行股份有限公司/江苏沛县农村商业银行股份有限公司/江苏如东农村商业银行股份有限公司/江苏如皋农村商业银行股份有限公司/江苏泗阳农村商业银行股份有限公司/江苏盐城农村商业银行股份有限公司/江苏扬州农村商业银行股份有限公司/江苏仪征农村商业银行股份有限公司/江苏宜兴农村商业银行股份有限公司/江苏紫金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南京市高淳区建设发展集团有限公司。融资人经营正常，是依法设立的国有公司，主要股东为南京市高淳区人民政府国有资产监督管理办公室，实际控制人为南京市高淳区人民政府国有资产监督管理办公室。（4）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5）非标准化债权类资产：融资人为邳州市交通控股集团有限公司。融资人经营正常，是依法设立的国有公司，主要股东为邳州市交通投资发展集团有限公司，实际控制人为邳州市财政局。（6）非标准化债权类资产：融资人为如东县民泰城乡建设工程有限公司。融资人经营正常，是依法设立的国有公司，主要股东为如东县金鑫交通工程建设投资有限公司，实际控制人为如东县投资管理办公室。（7）非标准化债权类资产：融资人为泰州国控投资集团有限公司。融资人经营正常，是依法设立的国有公司，主要股东为泰州市政府国有资产监督管理委员会，实际控制人为泰州市政府国有资产监督管理委员会。（8）非标准化债权类资产：融资人为南京高淳老街旅游开发股份有限公司。融资人经营正常，是依法设立的国有公司，主要股东为南京高淳文化旅游投资有限公司、南京市高淳区城市更新中心(南京市高淳区房地产管理所、南京市高淳区房屋安全鉴定所)，实际控制人为南京市高淳区人民政府国有资产监督管理办公室。（9）非标准化债权类资产：融资人为扬州高新国控集团有限公司。融资人经营正常，是依法设立的国有公司，主要股东为扬州市人民政府，实际控制人为扬州市人民政府。（10）非标准化债权类资产：融资人为盐城市海兴集团有限公司。融资人经营正常，是依法设立的国有公司，主要股东为盐城市海兴控股集团有限公司，实际控制人为盐城市人民政府。（11）非标准化债权类资产：融资人为扬州维扬发展投资有限公司。融资人经营正常，是依法设立的国有公司，主要股东为扬州维投控股集团有限公司，实际控制人为扬州市人民政府。（12）非标准化债权类资产：融资人为富皋万泰集团有限公司。融资人经营正常，是依法设立的国有公司，主要股东为如皋市人民政府，实际控制人为如皋市人民政府。（13）非标准化债权类资产：融资人为盐城市水务集团有限公司。融资人经营正常，是依法设立的国有公司，主要股东为盐城市市政公用投资有限公司，实际控制人为盐城市人民政府。（14）非标准化债权类资产：融资人为无锡市太湖新城资产经营管理有限公司。融资人经营正常，是依法设立的国有公司，主要股东为无锡市太湖新城发展集团有限公司，实际控制人为无锡市人民政府国有资产监督管理委员会。（15）非标准化债权类资产：融资人为靖江市北辰城乡投资建设有限公司。融资人经营正常，是依法设立的国有公司，主要股东为靖江经济技术开发区管理委员会，实际控制人为靖江经济技术开发区管理委员会。（16）非标准化债权类资产：融资人为盐城市城镇化建设投资集团有限公司。融资人经营正常，是依法设立的国有公司，主要股东为盐城市人民政府，实际控制人为盐城市人民政府。（17）非标准化债权类资产：融资人为扬州广合国有资本运营集团有限公司。融资人经营正常，是依法设立的国有公司，主要股东为扬州市人民政府，实际控制人为扬州市人民政府。（18）非标准化债权类资产：融资人为扬州江淮建设发展有限公司。融资人经营正常，是依法设立的国有公司，主要股东为扬州市国联控股集团有限公司，实际控制人为扬州市人民政府。（19）非标准化债权类资产：融资人为盐城市东亭产业发展集团有限公司。融资人经营正常，是依法设立的国有公司，主要股东为盐城市人民政府，实际控制人为盐城市人民政府。（20）非标准化债权类资产：融资人为江苏淮阴城市产业投资集团有限公司。融资人经营正常，是依法设立的国有公司，主要股东为淮安国控投资集团有限公司，实际控制人为淮安市人民政府。（21）非标准化债权类资产：融资人为仪征市扬子文旅控股集团有限公司。融资人经营正常，是依法设立的国有公司，主要股东为仪征市国有资产管理中心，实际控制人为仪征市财政局(仪征市政府国有资产监督管理办公室)。（22）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23）非标准化债权类资产：融资人为富港建设集团有限公司。融资人经营正常，是依法设立的国有公司，主要股东为如皋市人民政府、工银金融资产投资有限公司，实际控制人为如皋市人民政府。（24）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25）非标准化债权类资产：融资人为诸暨市城乡投资集团有限公司。融资人经营正常，是依法设立的国有公司，主要股东为诸暨市建设集团有限公司，实际控制人为诸暨市财政局。（26）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27）非标准化债权类资产：融资人为台州市黄岩国有资本投资运营集团有限公司。融资人经营正常，是依法设立的国有公司，主要股东为台州市黄岩区财政局，实际控制人为台州市黄岩区财政局。（28）非标准化债权类资产：融资人为镇江文化广电产业集团有限公司。融资人经营正常，是依法设立的国有公司，主要股东为镇江市广播电视台，实际控制人为江苏省镇江市人民政府。（29）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30）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31）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32）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33）收益凭证：融资人为华泰证券股份有限公司。融资人经营正常，是依法设立的国有公司，主要股东为江苏省国信集团有限公司、香港中央结算（代理人）有限公司、江苏交通控股有限公司，无实际控制人。（34）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35）收益凭证：融资人为申万宏源证券有限公司。融资人经营正常，是依法设立的国有公司，主要股东为申万宏源集团股份有限公司，实际控制人为中央汇金投资有限责任公司。（36）收益凭证：融资人为东方证券股份有限公司。融资人经营正常，是依法设立的国有公司，主要股东为申能（集团）有限公司、香港中央结算（代理人）有限公司、上海海烟投资管理有限公司，实际控制人为上海市国有资产监督管理委员会。（37）收益凭证：融资人为浙商证券股份有限公司。融资人经营正常，是依法设立的国有公司，主要股东为浙江上三高速公路有限公司、台州市金融投资集团有限公司，实际控制人为浙江省交通投资集团有限公司。（38）收益凭证：融资人为国投证券股份有限公司。融资人经营正常，是依法设立的国有公司，主要股东为国投资本股份有限公司、上海毅胜投资有限公司，实际控制人为国家开发投资集团有限公司。</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28）各资产到期日不超过理财产品投资周期终止日，定期付息、到期一次性还本；（29）-（38）各资产到期日不超过理财产品投资周期终止日，到期一次性还本付息。</w:t>
      </w:r>
    </w:p>
    <w:p>
      <w:pPr>
        <w:numPr>
          <w:ilvl w:val="0"/>
          <w:numId w:val="0"/>
        </w:numPr>
        <w:ind w:firstLine="420" w:firstLineChars="200"/>
        <w:rPr>
          <w:rFonts w:hint="default"/>
          <w:lang w:val="en-US" w:eastAsia="zh-CN"/>
        </w:rPr>
      </w:pPr>
      <w:r>
        <w:rPr>
          <w:rFonts w:hint="eastAsia" w:ascii="楷体" w:hAnsi="楷体" w:eastAsia="楷体" w:cs="楷体"/>
          <w:color w:val="auto"/>
          <w:kern w:val="2"/>
          <w:sz w:val="21"/>
          <w:szCs w:val="21"/>
          <w:highlight w:val="none"/>
          <w:lang w:val="en-US" w:eastAsia="zh-CN" w:bidi="ar-SA"/>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lang w:val="en-US" w:eastAsia="zh-CN"/>
        </w:rPr>
      </w:pP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020BF2"/>
    <w:rsid w:val="78921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2026-03-12T06:03:19Z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