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val="en-US" w:eastAsia="zh-CN"/>
        </w:rPr>
        <w:t>苏银理财恒源1年定开2012期</w:t>
      </w:r>
      <w:r>
        <w:rPr>
          <w:rFonts w:hint="eastAsia" w:ascii="楷体" w:hAnsi="楷体" w:eastAsia="楷体"/>
          <w:b/>
          <w:color w:val="auto"/>
          <w:sz w:val="28"/>
          <w:szCs w:val="28"/>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bookmarkStart w:id="0" w:name="_GoBack"/>
      <w:bookmarkEnd w:id="0"/>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苏银理财恒源1年定开2012期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（2026年4月版）</w:t>
      </w:r>
    </w:p>
    <w:p>
      <w:pPr>
        <w:jc w:val="center"/>
        <w:rPr>
          <w:rFonts w:hint="eastAsia" w:ascii="楷体" w:hAnsi="楷体" w:eastAsia="楷体"/>
          <w:b/>
          <w:sz w:val="24"/>
          <w:szCs w:val="24"/>
          <w:highlight w:val="none"/>
        </w:rPr>
      </w:pPr>
      <w:r>
        <w:rPr>
          <w:rFonts w:hint="eastAsia" w:ascii="楷体" w:hAnsi="楷体" w:eastAsia="楷体" w:cs="宋体"/>
          <w:b/>
          <w:kern w:val="0"/>
          <w:sz w:val="24"/>
          <w:szCs w:val="24"/>
          <w:highlight w:val="none"/>
        </w:rPr>
        <w:t>理财非存款、产品有风险、投资须谨慎</w:t>
      </w:r>
    </w:p>
    <w:p>
      <w:pPr>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重要须知</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本理财产品不保证本金及收益，您的本金可能因市场变动</w:t>
      </w:r>
      <w:r>
        <w:rPr>
          <w:rFonts w:hint="eastAsia" w:ascii="楷体" w:hAnsi="楷体" w:eastAsia="楷体"/>
          <w:b/>
          <w:sz w:val="21"/>
          <w:szCs w:val="21"/>
          <w:highlight w:val="none"/>
          <w:u w:val="single"/>
          <w:lang w:val="en-US" w:eastAsia="zh-CN"/>
        </w:rPr>
        <w:t>或者交易违约等事项</w:t>
      </w:r>
      <w:r>
        <w:rPr>
          <w:rFonts w:hint="eastAsia" w:ascii="楷体" w:hAnsi="楷体" w:eastAsia="楷体"/>
          <w:b/>
          <w:sz w:val="21"/>
          <w:szCs w:val="21"/>
          <w:highlight w:val="none"/>
          <w:u w:val="single"/>
        </w:rPr>
        <w:t>而蒙受相应损失，投资者应充分认识投资风险，谨慎投资</w:t>
      </w:r>
      <w:r>
        <w:rPr>
          <w:rFonts w:hint="eastAsia" w:ascii="楷体" w:hAnsi="楷体" w:eastAsia="楷体"/>
          <w:b/>
          <w:sz w:val="21"/>
          <w:szCs w:val="21"/>
          <w:highlight w:val="none"/>
          <w:u w:val="single"/>
          <w:lang w:eastAsia="zh-CN"/>
        </w:rPr>
        <w:t>。</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本理财产品任何业绩比较基准</w:t>
      </w:r>
      <w:r>
        <w:rPr>
          <w:rFonts w:hint="eastAsia" w:ascii="楷体" w:hAnsi="楷体" w:eastAsia="楷体"/>
          <w:b/>
          <w:sz w:val="21"/>
          <w:szCs w:val="21"/>
          <w:highlight w:val="none"/>
          <w:u w:val="single"/>
          <w:lang w:val="en-US" w:eastAsia="zh-CN"/>
        </w:rPr>
        <w:t>及</w:t>
      </w:r>
      <w:r>
        <w:rPr>
          <w:rFonts w:hint="eastAsia" w:ascii="楷体" w:hAnsi="楷体" w:eastAsia="楷体"/>
          <w:b/>
          <w:sz w:val="21"/>
          <w:szCs w:val="21"/>
          <w:highlight w:val="none"/>
          <w:u w:val="single"/>
        </w:rPr>
        <w:t>类似表述均属不具有法律约束力的用语</w:t>
      </w:r>
      <w:r>
        <w:rPr>
          <w:rFonts w:hint="eastAsia" w:ascii="楷体" w:hAnsi="楷体" w:eastAsia="楷体"/>
          <w:b/>
          <w:sz w:val="21"/>
          <w:szCs w:val="21"/>
          <w:highlight w:val="none"/>
          <w:u w:val="single"/>
          <w:lang w:eastAsia="zh-CN"/>
        </w:rPr>
        <w:t>。</w:t>
      </w:r>
      <w:r>
        <w:rPr>
          <w:rFonts w:hint="eastAsia" w:ascii="楷体" w:hAnsi="楷体" w:eastAsia="楷体"/>
          <w:b/>
          <w:sz w:val="21"/>
          <w:szCs w:val="21"/>
          <w:highlight w:val="none"/>
          <w:u w:val="single"/>
        </w:rPr>
        <w:t>业绩比较基准</w:t>
      </w:r>
      <w:r>
        <w:rPr>
          <w:rFonts w:hint="eastAsia" w:ascii="楷体" w:hAnsi="楷体" w:eastAsia="楷体"/>
          <w:b/>
          <w:sz w:val="21"/>
          <w:szCs w:val="21"/>
          <w:highlight w:val="none"/>
          <w:u w:val="single"/>
          <w:lang w:val="en-US" w:eastAsia="zh-CN"/>
        </w:rPr>
        <w:t>为</w:t>
      </w:r>
      <w:r>
        <w:rPr>
          <w:rFonts w:hint="eastAsia" w:ascii="楷体" w:hAnsi="楷体" w:eastAsia="楷体"/>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w:t>
      </w:r>
      <w:r>
        <w:rPr>
          <w:rFonts w:hint="eastAsia" w:ascii="楷体" w:hAnsi="楷体" w:eastAsia="楷体"/>
          <w:b w:val="0"/>
          <w:bCs w:val="0"/>
          <w:sz w:val="21"/>
          <w:szCs w:val="21"/>
          <w:highlight w:val="none"/>
          <w:lang w:eastAsia="zh-CN"/>
        </w:rPr>
        <w:t>苏银理财恒源1年定开38期</w:t>
      </w:r>
      <w:r>
        <w:rPr>
          <w:rFonts w:hint="eastAsia" w:ascii="楷体" w:hAnsi="楷体" w:eastAsia="楷体"/>
          <w:sz w:val="21"/>
          <w:szCs w:val="21"/>
          <w:highlight w:val="none"/>
        </w:rPr>
        <w:t>”理财产品风险揭示书》的“风险揭示”部分。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highlight w:val="none"/>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苏银理财恒源1年定开2012期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lang w:val="en-US" w:eastAsia="zh-CN"/>
              </w:rPr>
              <w:t>Z7003121000082</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投资者可依据该编码在中国理财网</w:t>
            </w:r>
            <w:r>
              <w:rPr>
                <w:rFonts w:ascii="楷体" w:hAnsi="楷体" w:eastAsia="楷体" w:cs="宋体"/>
                <w:spacing w:val="-2"/>
                <w:sz w:val="18"/>
                <w:szCs w:val="18"/>
                <w:highlight w:val="none"/>
              </w:rPr>
              <w:fldChar w:fldCharType="begin"/>
            </w:r>
            <w:r>
              <w:rPr>
                <w:rFonts w:ascii="楷体" w:hAnsi="楷体" w:eastAsia="楷体" w:cs="宋体"/>
                <w:spacing w:val="-2"/>
                <w:sz w:val="18"/>
                <w:szCs w:val="18"/>
                <w:highlight w:val="none"/>
              </w:rPr>
              <w:instrText xml:space="preserve"> HYPERLINK "http://www.chinawealth.com.cn/" </w:instrText>
            </w:r>
            <w:r>
              <w:rPr>
                <w:rFonts w:ascii="楷体" w:hAnsi="楷体" w:eastAsia="楷体" w:cs="宋体"/>
                <w:spacing w:val="-2"/>
                <w:sz w:val="18"/>
                <w:szCs w:val="18"/>
                <w:highlight w:val="none"/>
              </w:rPr>
              <w:fldChar w:fldCharType="separate"/>
            </w:r>
            <w:r>
              <w:rPr>
                <w:rFonts w:ascii="楷体" w:hAnsi="楷体" w:eastAsia="楷体" w:cs="宋体"/>
                <w:spacing w:val="-2"/>
                <w:sz w:val="18"/>
                <w:szCs w:val="18"/>
                <w:highlight w:val="none"/>
              </w:rPr>
              <w:t>www.chinawealth.com.cn</w:t>
            </w:r>
            <w:r>
              <w:rPr>
                <w:rFonts w:ascii="楷体" w:hAnsi="楷体" w:eastAsia="楷体" w:cs="宋体"/>
                <w:spacing w:val="-2"/>
                <w:sz w:val="18"/>
                <w:szCs w:val="18"/>
                <w:highlight w:val="none"/>
              </w:rPr>
              <w:fldChar w:fldCharType="end"/>
            </w:r>
            <w:r>
              <w:rPr>
                <w:rFonts w:hint="eastAsia" w:ascii="楷体" w:hAnsi="楷体" w:eastAsia="楷体" w:cs="宋体"/>
                <w:spacing w:val="-2"/>
                <w:sz w:val="18"/>
                <w:szCs w:val="18"/>
                <w:highlight w:val="none"/>
              </w:rPr>
              <w:t>查询产品信息</w:t>
            </w:r>
            <w:r>
              <w:rPr>
                <w:rFonts w:hint="eastAsia" w:ascii="楷体" w:hAnsi="楷体" w:eastAsia="楷体" w:cs="宋体"/>
                <w:spacing w:val="-2"/>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A份额:苏银理财恒源1年定开2012期A/J203012SA252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B份额:苏银理财恒源1年定开2012期B/J02278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C份额:苏银理财恒源1年定开2012期C/J16443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D份额:苏银理财恒源1年定开2012期D/J03131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F份额:苏银理财恒源1年定开2012期F/J03132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G份额:苏银理财恒源1年定开2012期G/J02279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J份额:苏银理财恒源1年定开2012期J/J03133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P份额:苏银理财恒源1年定开2012期P/J03854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GS份额:苏银理财恒源1年定开2012期GS/J16444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U份额:苏银理财恒源1年定开2012期U/J16445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Z份额:苏银理财恒源1年定开2012期Z/J16446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ZA份额:苏银理财恒源1年定开2012期ZA鑫福款（自动赎回）/J03134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ZF份额:苏银理财恒源1年定开2012期ZF（自动赎回）/J03135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ZJ份额:苏银理财恒源1年定开2012期ZJ（自动赎回）/J16447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ZL份额:苏银理财恒源1年定开2012期ZL（自动赎回）/J16448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ZN份额:苏银理财恒源1年定开2012期ZN（自动赎回）/J03855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ZQ份额:苏银理财恒源1年定开2012期ZQ（自动赎回）/J03856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ZC份额:苏银理财恒源1年定开2012期ZC鑫福优享（自动赎回）/J16449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ZK份额:苏银理财恒源1年定开2012期ZK鑫福尊享（自动赎回）/J16451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highlight w:val="none"/>
                <w:u w:val="single"/>
                <w:lang w:val="en-US" w:eastAsia="zh-CN" w:bidi="ar-SA"/>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1元</w:t>
            </w:r>
            <w:r>
              <w:rPr>
                <w:rFonts w:hint="eastAsia" w:ascii="楷体" w:hAnsi="楷体" w:eastAsia="楷体" w:cs="宋体"/>
                <w:spacing w:val="-2"/>
                <w:sz w:val="18"/>
                <w:szCs w:val="18"/>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本产品计划发行规模为100000万元，管理人有权根据实际需要调整计划发行规模。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A份额:1元/1元的整数倍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B份额:200,000元/10,000元的整数倍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D份额:个人投资者：500,000元/10,000元的整数倍,机构投资者：30,000,000元/10,000元的整数倍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F份额:1元/1元的整数倍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P份额:1元/1元的整数倍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GS份额:1元/1元的整数倍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U份额:1元/1元的整数倍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ZA份额:1元/1元的整数倍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ZJ份额:1元/1元的整数倍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ZL份额:个人投资者：500,000元/10,000元的整数倍,机构投资者：30,000,000元/10,000元的整数倍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ZN份额:1元/1元的整数倍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ZQ份额:1元/1元的整数倍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ZK份额:个人投资者：500,000元/10,000元的整数倍,机构投资者：30,000,000元/10,000元的整数倍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eastAsia="zh-CN"/>
              </w:rPr>
            </w:pP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2020年12月23日至2020年12月29日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2020年12月30日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highlight w:val="none"/>
                <w:lang w:val="en-US" w:eastAsia="zh-CN"/>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lang w:val="en-US" w:eastAsia="zh-CN"/>
              </w:rPr>
              <w:t>2030年12月30日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如遇节假日，顺延至下一工作日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在符合产品说明书约定的条件下，管理人有权</w:t>
            </w:r>
            <w:r>
              <w:rPr>
                <w:rFonts w:hint="eastAsia" w:ascii="楷体" w:hAnsi="楷体" w:eastAsia="楷体" w:cs="宋体"/>
                <w:color w:val="auto"/>
                <w:spacing w:val="-2"/>
                <w:sz w:val="18"/>
                <w:szCs w:val="18"/>
                <w:highlight w:val="none"/>
                <w:lang w:val="en-US" w:eastAsia="zh-CN"/>
              </w:rPr>
              <w:t>调整产品到期日</w:t>
            </w:r>
            <w:r>
              <w:rPr>
                <w:rFonts w:hint="eastAsia" w:ascii="楷体" w:hAnsi="楷体" w:eastAsia="楷体" w:cs="宋体"/>
                <w:color w:val="auto"/>
                <w:spacing w:val="-2"/>
                <w:sz w:val="18"/>
                <w:szCs w:val="18"/>
                <w:highlight w:val="none"/>
              </w:rPr>
              <w:t>，产品到期日受制于提前终止</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lang w:val="en-US" w:eastAsia="zh-CN"/>
              </w:rPr>
              <w:t>延期终止</w:t>
            </w:r>
            <w:r>
              <w:rPr>
                <w:rFonts w:hint="eastAsia" w:ascii="楷体" w:hAnsi="楷体" w:eastAsia="楷体" w:cs="宋体"/>
                <w:color w:val="auto"/>
                <w:spacing w:val="-2"/>
                <w:sz w:val="18"/>
                <w:szCs w:val="18"/>
                <w:highlight w:val="none"/>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最新投资周期（2026年4月14日-2027年5月6日）开放申购与赎回时间为：2026年4月2日至2026年4月13日</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(其中ZA份额/ZF份额/ZJ份额/ZL份额/ZN份额/ZQ份额/ZC份额/ZK份额由系统主动发起赎回申请，投资者无须发起赎回申请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highlight w:val="none"/>
                <w:u w:val="single"/>
              </w:rPr>
              <w:t>除开放计划外的其他时间，管理人不接受投资者申购、赎回申请</w:t>
            </w:r>
            <w:r>
              <w:rPr>
                <w:rFonts w:hint="eastAsia" w:ascii="楷体" w:hAnsi="楷体" w:eastAsia="楷体" w:cs="宋体"/>
                <w:b/>
                <w:bCs/>
                <w:spacing w:val="-2"/>
                <w:sz w:val="18"/>
                <w:szCs w:val="18"/>
                <w:highlight w:val="none"/>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rPr>
              <w:t>本产品</w:t>
            </w:r>
            <w:r>
              <w:rPr>
                <w:rFonts w:hint="eastAsia" w:ascii="楷体" w:hAnsi="楷体" w:eastAsia="楷体" w:cs="宋体"/>
                <w:b/>
                <w:bCs/>
                <w:spacing w:val="-2"/>
                <w:sz w:val="18"/>
                <w:szCs w:val="18"/>
                <w:highlight w:val="none"/>
                <w:u w:val="single"/>
                <w:lang w:val="en-US" w:eastAsia="zh-CN"/>
              </w:rPr>
              <w:t>单</w:t>
            </w:r>
            <w:r>
              <w:rPr>
                <w:rFonts w:hint="eastAsia" w:ascii="楷体" w:hAnsi="楷体" w:eastAsia="楷体" w:cs="宋体"/>
                <w:b/>
                <w:bCs/>
                <w:spacing w:val="-2"/>
                <w:sz w:val="18"/>
                <w:szCs w:val="18"/>
                <w:highlight w:val="none"/>
                <w:u w:val="single"/>
              </w:rPr>
              <w:t>个开放日投资者净赎回额（赎回申请份额总数扣除申购申请份额总数）超过上一日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w:t>
            </w:r>
            <w:r>
              <w:rPr>
                <w:rFonts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highlight w:val="none"/>
                <w:u w:val="none"/>
                <w:lang w:val="en-US" w:eastAsia="zh-CN"/>
              </w:rPr>
              <w:t>日</w:t>
            </w:r>
            <w:r>
              <w:rPr>
                <w:rFonts w:hint="eastAsia" w:ascii="楷体" w:hAnsi="楷体" w:eastAsia="楷体" w:cs="宋体"/>
                <w:b w:val="0"/>
                <w:bCs/>
                <w:spacing w:val="-2"/>
                <w:sz w:val="18"/>
                <w:szCs w:val="18"/>
                <w:highlight w:val="none"/>
                <w:u w:val="none"/>
              </w:rPr>
              <w:t>日终理财产品总份额的10%，对其余赎回申请管理人有权暂停接受或延期办理。对该产品单个</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的赎回申请，按照其申请占当日申请赎回总份额的比例，确定该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lang w:val="en-US" w:eastAsia="zh-CN"/>
              </w:rPr>
              <w:t>1.管理人</w:t>
            </w:r>
            <w:r>
              <w:rPr>
                <w:rFonts w:ascii="楷体" w:hAnsi="楷体" w:eastAsia="楷体" w:cs="宋体"/>
                <w:b/>
                <w:bCs/>
                <w:spacing w:val="-2"/>
                <w:sz w:val="18"/>
                <w:szCs w:val="18"/>
                <w:highlight w:val="none"/>
                <w:u w:val="single"/>
              </w:rPr>
              <w:t>参考过往投资经验，依据近期货币市场工具、</w:t>
            </w:r>
            <w:r>
              <w:rPr>
                <w:rFonts w:hint="eastAsia" w:ascii="楷体" w:hAnsi="楷体" w:eastAsia="楷体" w:cs="宋体"/>
                <w:b/>
                <w:bCs/>
                <w:spacing w:val="-2"/>
                <w:sz w:val="18"/>
                <w:szCs w:val="18"/>
                <w:highlight w:val="none"/>
                <w:u w:val="single"/>
                <w:lang w:val="en-US" w:eastAsia="zh-CN"/>
              </w:rPr>
              <w:t>银行存款（含结构性存款）、</w:t>
            </w:r>
            <w:r>
              <w:rPr>
                <w:rFonts w:ascii="楷体" w:hAnsi="楷体" w:eastAsia="楷体" w:cs="宋体"/>
                <w:b/>
                <w:bCs/>
                <w:spacing w:val="-2"/>
                <w:sz w:val="18"/>
                <w:szCs w:val="18"/>
                <w:highlight w:val="none"/>
                <w:u w:val="single"/>
              </w:rPr>
              <w:t>债券</w:t>
            </w:r>
            <w:r>
              <w:rPr>
                <w:rFonts w:hint="eastAsia" w:ascii="楷体" w:hAnsi="楷体" w:eastAsia="楷体" w:cs="宋体"/>
                <w:b/>
                <w:bCs/>
                <w:spacing w:val="-2"/>
                <w:sz w:val="18"/>
                <w:szCs w:val="18"/>
                <w:highlight w:val="none"/>
                <w:u w:val="single"/>
              </w:rPr>
              <w:t>、非标准化债权</w:t>
            </w:r>
            <w:r>
              <w:rPr>
                <w:rFonts w:ascii="楷体" w:hAnsi="楷体" w:eastAsia="楷体" w:cs="宋体"/>
                <w:b/>
                <w:bCs/>
                <w:spacing w:val="-2"/>
                <w:sz w:val="18"/>
                <w:szCs w:val="18"/>
                <w:highlight w:val="none"/>
                <w:u w:val="single"/>
              </w:rPr>
              <w:t>等资产</w:t>
            </w:r>
            <w:r>
              <w:rPr>
                <w:rFonts w:hint="eastAsia" w:ascii="楷体" w:hAnsi="楷体" w:eastAsia="楷体" w:cs="宋体"/>
                <w:b/>
                <w:bCs/>
                <w:spacing w:val="-2"/>
                <w:sz w:val="18"/>
                <w:szCs w:val="18"/>
                <w:highlight w:val="none"/>
                <w:u w:val="single"/>
              </w:rPr>
              <w:t>投资</w:t>
            </w:r>
            <w:r>
              <w:rPr>
                <w:rFonts w:ascii="楷体" w:hAnsi="楷体" w:eastAsia="楷体" w:cs="宋体"/>
                <w:b/>
                <w:bCs/>
                <w:spacing w:val="-2"/>
                <w:sz w:val="18"/>
                <w:szCs w:val="18"/>
                <w:highlight w:val="none"/>
                <w:u w:val="single"/>
              </w:rPr>
              <w:t>收益水平，在产品说明书约定的投资范围和投资比例内</w:t>
            </w:r>
            <w:r>
              <w:rPr>
                <w:rFonts w:hint="eastAsia" w:ascii="楷体" w:hAnsi="楷体" w:eastAsia="楷体" w:cs="宋体"/>
                <w:b/>
                <w:bCs/>
                <w:spacing w:val="-2"/>
                <w:sz w:val="18"/>
                <w:szCs w:val="18"/>
                <w:highlight w:val="none"/>
                <w:u w:val="single"/>
              </w:rPr>
              <w:t>，综合考虑各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份额收取的销售服务费和投资管理费</w:t>
            </w:r>
            <w:r>
              <w:rPr>
                <w:rFonts w:hint="eastAsia" w:ascii="楷体" w:hAnsi="楷体" w:eastAsia="楷体" w:cs="宋体"/>
                <w:b/>
                <w:bCs/>
                <w:spacing w:val="-2"/>
                <w:sz w:val="18"/>
                <w:szCs w:val="18"/>
                <w:highlight w:val="none"/>
                <w:u w:val="single"/>
                <w:lang w:val="en-US" w:eastAsia="zh-CN"/>
              </w:rPr>
              <w:t>等费用</w:t>
            </w:r>
            <w:r>
              <w:rPr>
                <w:rFonts w:hint="eastAsia" w:ascii="楷体" w:hAnsi="楷体" w:eastAsia="楷体" w:cs="宋体"/>
                <w:b/>
                <w:bCs/>
                <w:spacing w:val="-2"/>
                <w:sz w:val="18"/>
                <w:szCs w:val="18"/>
                <w:highlight w:val="none"/>
                <w:u w:val="single"/>
              </w:rPr>
              <w:t>情况，</w:t>
            </w:r>
            <w:r>
              <w:rPr>
                <w:rFonts w:ascii="楷体" w:hAnsi="楷体" w:eastAsia="楷体" w:cs="宋体"/>
                <w:b/>
                <w:bCs/>
                <w:spacing w:val="-2"/>
                <w:sz w:val="18"/>
                <w:szCs w:val="18"/>
                <w:highlight w:val="none"/>
                <w:u w:val="single"/>
              </w:rPr>
              <w:t>模拟测算得出</w:t>
            </w:r>
            <w:r>
              <w:rPr>
                <w:rFonts w:hint="eastAsia" w:ascii="楷体" w:hAnsi="楷体" w:eastAsia="楷体" w:cs="宋体"/>
                <w:b/>
                <w:bCs/>
                <w:spacing w:val="-2"/>
                <w:sz w:val="18"/>
                <w:szCs w:val="18"/>
                <w:highlight w:val="none"/>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b/>
                <w:bCs/>
                <w:spacing w:val="-2"/>
                <w:sz w:val="18"/>
                <w:szCs w:val="18"/>
                <w:highlight w:val="none"/>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highlight w:val="none"/>
                <w:u w:val="single"/>
              </w:rPr>
              <w:t>。</w:t>
            </w:r>
            <w:r>
              <w:rPr>
                <w:rFonts w:hint="eastAsia" w:ascii="楷体" w:hAnsi="楷体" w:eastAsia="楷体" w:cs="宋体"/>
                <w:spacing w:val="-2"/>
                <w:kern w:val="0"/>
                <w:sz w:val="18"/>
                <w:szCs w:val="18"/>
                <w:highlight w:val="none"/>
                <w:lang w:val="en-US" w:eastAsia="zh-CN" w:bidi="ar-SA"/>
              </w:rPr>
              <w:t>各类份额最新投资周期（2026年4月14日-2027年5月6日）业绩比较基准如下：</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697"/>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w:t>
                  </w:r>
                </w:p>
              </w:tc>
              <w:tc>
                <w:tcPr>
                  <w:tcW w:w="1871" w:type="dxa"/>
                  <w:noWrap w:val="0"/>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投资周期起始日</w:t>
                  </w:r>
                </w:p>
              </w:tc>
              <w:tc>
                <w:tcPr>
                  <w:tcW w:w="1697" w:type="dxa"/>
                  <w:noWrap w:val="0"/>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投资周期终止日</w:t>
                  </w:r>
                </w:p>
              </w:tc>
              <w:tc>
                <w:tcPr>
                  <w:tcW w:w="1989" w:type="dxa"/>
                  <w:noWrap w:val="0"/>
                  <w:vAlign w:val="center"/>
                </w:tcPr>
                <w:p>
                  <w:pPr>
                    <w:jc w:val="center"/>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业绩比较基准</w:t>
                  </w:r>
                </w:p>
                <w:p>
                  <w:pPr>
                    <w:jc w:val="center"/>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rPr>
                  </w:pPr>
                  <w:r>
                    <w:rPr>
                      <w:rFonts w:hint="eastAsia" w:ascii="楷体" w:hAnsi="楷体" w:eastAsia="楷体"/>
                      <w:b w:val="0"/>
                      <w:bCs w:val="0"/>
                      <w:sz w:val="18"/>
                      <w:szCs w:val="18"/>
                      <w:highlight w:val="none"/>
                      <w:lang w:val="en-US" w:eastAsia="zh-CN"/>
                    </w:rPr>
                    <w:t>1</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lang w:eastAsia="zh-CN"/>
                    </w:rPr>
                  </w:pPr>
                  <w:r>
                    <w:rPr>
                      <w:rFonts w:hint="eastAsia" w:ascii="楷体" w:hAnsi="楷体" w:eastAsia="楷体"/>
                      <w:b w:val="0"/>
                      <w:bCs w:val="0"/>
                      <w:sz w:val="18"/>
                      <w:szCs w:val="18"/>
                      <w:highlight w:val="none"/>
                      <w:lang w:val="en-US" w:eastAsia="zh-CN"/>
                    </w:rPr>
                    <w:t>2020年12月30日</w:t>
                  </w:r>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lang w:eastAsia="zh-CN"/>
                    </w:rPr>
                  </w:pPr>
                  <w:r>
                    <w:rPr>
                      <w:rFonts w:hint="eastAsia" w:ascii="楷体" w:hAnsi="楷体" w:eastAsia="楷体"/>
                      <w:b w:val="0"/>
                      <w:bCs w:val="0"/>
                      <w:sz w:val="18"/>
                      <w:szCs w:val="18"/>
                      <w:highlight w:val="none"/>
                      <w:lang w:eastAsia="zh-CN"/>
                    </w:rPr>
                    <w:t>2022年1月18日</w:t>
                  </w:r>
                </w:p>
              </w:tc>
              <w:tc>
                <w:tcPr>
                  <w:tcW w:w="1989"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jc w:val="center"/>
                    <w:textAlignment w:val="auto"/>
                    <w:rPr>
                      <w:rFonts w:hint="eastAsia" w:ascii="楷体" w:hAnsi="楷体" w:eastAsia="楷体" w:cs="楷体"/>
                      <w:sz w:val="18"/>
                      <w:szCs w:val="18"/>
                      <w:highlight w:val="none"/>
                    </w:rPr>
                  </w:pPr>
                  <w:r>
                    <w:rPr>
                      <w:rFonts w:hint="eastAsia" w:ascii="楷体" w:hAnsi="楷体" w:eastAsia="楷体"/>
                      <w:b w:val="0"/>
                      <w:bCs w:val="0"/>
                      <w:sz w:val="18"/>
                      <w:szCs w:val="18"/>
                      <w:highlight w:val="none"/>
                      <w:lang w:val="en-US" w:eastAsia="zh-CN"/>
                    </w:rPr>
                    <w:t>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rPr>
                  </w:pPr>
                  <w:r>
                    <w:rPr>
                      <w:rFonts w:hint="eastAsia" w:ascii="楷体" w:hAnsi="楷体" w:eastAsia="楷体"/>
                      <w:sz w:val="18"/>
                      <w:szCs w:val="18"/>
                      <w:highlight w:val="none"/>
                      <w:lang w:val="en-US" w:eastAsia="zh-CN"/>
                    </w:rPr>
                    <w:t>2</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lang w:eastAsia="zh-CN"/>
                    </w:rPr>
                  </w:pPr>
                  <w:r>
                    <w:rPr>
                      <w:rFonts w:hint="eastAsia" w:ascii="楷体" w:hAnsi="楷体" w:eastAsia="楷体"/>
                      <w:sz w:val="18"/>
                      <w:szCs w:val="18"/>
                      <w:highlight w:val="none"/>
                      <w:lang w:eastAsia="zh-CN"/>
                    </w:rPr>
                    <w:t>2022年1月19日</w:t>
                  </w:r>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lang w:eastAsia="zh-CN"/>
                    </w:rPr>
                  </w:pPr>
                  <w:r>
                    <w:rPr>
                      <w:rFonts w:hint="eastAsia" w:ascii="楷体" w:hAnsi="楷体" w:eastAsia="楷体"/>
                      <w:sz w:val="18"/>
                      <w:szCs w:val="18"/>
                      <w:highlight w:val="none"/>
                      <w:lang w:eastAsia="zh-CN"/>
                    </w:rPr>
                    <w:t>2023年2月28日</w:t>
                  </w:r>
                </w:p>
              </w:tc>
              <w:tc>
                <w:tcPr>
                  <w:tcW w:w="1989"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楷体"/>
                      <w:sz w:val="18"/>
                      <w:szCs w:val="18"/>
                      <w:highlight w:val="none"/>
                      <w:lang w:val="en-US" w:eastAsia="zh-CN"/>
                    </w:rPr>
                  </w:pPr>
                  <w:r>
                    <w:rPr>
                      <w:rFonts w:hint="eastAsia" w:ascii="楷体" w:hAnsi="楷体" w:eastAsia="楷体"/>
                      <w:sz w:val="18"/>
                      <w:szCs w:val="18"/>
                      <w:highlight w:val="none"/>
                      <w:lang w:val="en-US" w:eastAsia="zh-CN"/>
                    </w:rPr>
                    <w:t>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3</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宋体"/>
                      <w:spacing w:val="-2"/>
                      <w:sz w:val="18"/>
                      <w:szCs w:val="18"/>
                      <w:highlight w:val="none"/>
                      <w:lang w:val="en-US" w:eastAsia="zh-CN"/>
                    </w:rPr>
                  </w:pPr>
                  <w:r>
                    <w:rPr>
                      <w:rFonts w:hint="eastAsia" w:ascii="楷体" w:hAnsi="楷体" w:eastAsia="楷体"/>
                      <w:sz w:val="18"/>
                      <w:szCs w:val="18"/>
                      <w:highlight w:val="none"/>
                      <w:lang w:eastAsia="zh-CN"/>
                    </w:rPr>
                    <w:t>2023年3月1日</w:t>
                  </w:r>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eastAsia="zh-CN"/>
                    </w:rPr>
                    <w:t>2024年3月5日</w:t>
                  </w:r>
                </w:p>
              </w:tc>
              <w:tc>
                <w:tcPr>
                  <w:tcW w:w="1989"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highlight w:val="none"/>
                      <w:lang w:val="en-US" w:eastAsia="zh-CN"/>
                    </w:rPr>
                  </w:pPr>
                  <w:r>
                    <w:rPr>
                      <w:rFonts w:hint="default" w:ascii="楷体" w:hAnsi="楷体" w:eastAsia="楷体"/>
                      <w:sz w:val="18"/>
                      <w:szCs w:val="18"/>
                      <w:highlight w:val="none"/>
                      <w:lang w:val="en-US" w:eastAsia="zh-CN"/>
                    </w:rPr>
                    <w:t>A份额4.</w:t>
                  </w:r>
                  <w:r>
                    <w:rPr>
                      <w:rFonts w:hint="eastAsia" w:ascii="楷体" w:hAnsi="楷体" w:eastAsia="楷体"/>
                      <w:sz w:val="18"/>
                      <w:szCs w:val="18"/>
                      <w:highlight w:val="none"/>
                      <w:lang w:val="en-US" w:eastAsia="zh-CN"/>
                    </w:rPr>
                    <w:t>1</w:t>
                  </w:r>
                  <w:r>
                    <w:rPr>
                      <w:rFonts w:hint="default" w:ascii="楷体" w:hAnsi="楷体" w:eastAsia="楷体"/>
                      <w:sz w:val="18"/>
                      <w:szCs w:val="18"/>
                      <w:highlight w:val="none"/>
                      <w:lang w:val="en-US" w:eastAsia="zh-CN"/>
                    </w:rPr>
                    <w:t>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highlight w:val="none"/>
                      <w:lang w:val="en-US" w:eastAsia="zh-CN"/>
                    </w:rPr>
                  </w:pPr>
                  <w:r>
                    <w:rPr>
                      <w:rFonts w:hint="default" w:ascii="楷体" w:hAnsi="楷体" w:eastAsia="楷体"/>
                      <w:sz w:val="18"/>
                      <w:szCs w:val="18"/>
                      <w:highlight w:val="none"/>
                      <w:lang w:val="en-US" w:eastAsia="zh-CN"/>
                    </w:rPr>
                    <w:t>B份额4.</w:t>
                  </w:r>
                  <w:r>
                    <w:rPr>
                      <w:rFonts w:hint="eastAsia" w:ascii="楷体" w:hAnsi="楷体" w:eastAsia="楷体"/>
                      <w:sz w:val="18"/>
                      <w:szCs w:val="18"/>
                      <w:highlight w:val="none"/>
                      <w:lang w:val="en-US" w:eastAsia="zh-CN"/>
                    </w:rPr>
                    <w:t>1</w:t>
                  </w:r>
                  <w:r>
                    <w:rPr>
                      <w:rFonts w:hint="default" w:ascii="楷体" w:hAnsi="楷体" w:eastAsia="楷体"/>
                      <w:sz w:val="18"/>
                      <w:szCs w:val="18"/>
                      <w:highlight w:val="none"/>
                      <w:lang w:val="en-US" w:eastAsia="zh-CN"/>
                    </w:rPr>
                    <w:t>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G</w:t>
                  </w:r>
                  <w:r>
                    <w:rPr>
                      <w:rFonts w:hint="default" w:ascii="楷体" w:hAnsi="楷体" w:eastAsia="楷体"/>
                      <w:sz w:val="18"/>
                      <w:szCs w:val="18"/>
                      <w:highlight w:val="none"/>
                      <w:lang w:val="en-US" w:eastAsia="zh-CN"/>
                    </w:rPr>
                    <w:t>份额4.</w:t>
                  </w:r>
                  <w:r>
                    <w:rPr>
                      <w:rFonts w:hint="eastAsia" w:ascii="楷体" w:hAnsi="楷体" w:eastAsia="楷体"/>
                      <w:sz w:val="18"/>
                      <w:szCs w:val="18"/>
                      <w:highlight w:val="none"/>
                      <w:lang w:val="en-US" w:eastAsia="zh-CN"/>
                    </w:rPr>
                    <w:t>2</w:t>
                  </w:r>
                  <w:r>
                    <w:rPr>
                      <w:rFonts w:hint="default" w:ascii="楷体" w:hAnsi="楷体" w:eastAsia="楷体"/>
                      <w:sz w:val="18"/>
                      <w:szCs w:val="18"/>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kern w:val="2"/>
                      <w:sz w:val="18"/>
                      <w:szCs w:val="18"/>
                      <w:highlight w:val="none"/>
                      <w:lang w:val="en-US" w:eastAsia="zh-CN" w:bidi="ar-SA"/>
                    </w:rPr>
                  </w:pPr>
                  <w:r>
                    <w:rPr>
                      <w:rFonts w:hint="eastAsia" w:ascii="楷体" w:hAnsi="楷体" w:eastAsia="楷体"/>
                      <w:sz w:val="18"/>
                      <w:szCs w:val="18"/>
                      <w:highlight w:val="none"/>
                      <w:lang w:val="en-US" w:eastAsia="zh-CN"/>
                    </w:rPr>
                    <w:t>4</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kern w:val="2"/>
                      <w:sz w:val="18"/>
                      <w:szCs w:val="18"/>
                      <w:highlight w:val="none"/>
                      <w:lang w:val="en-US" w:eastAsia="zh-CN" w:bidi="ar-SA"/>
                    </w:rPr>
                  </w:pPr>
                  <w:r>
                    <w:rPr>
                      <w:rFonts w:hint="eastAsia" w:ascii="楷体" w:hAnsi="楷体" w:eastAsia="楷体" w:cs="宋体"/>
                      <w:spacing w:val="-2"/>
                      <w:sz w:val="18"/>
                      <w:szCs w:val="18"/>
                      <w:highlight w:val="none"/>
                      <w:lang w:val="en-US" w:eastAsia="zh-CN"/>
                    </w:rPr>
                    <w:t>2024年3月6日</w:t>
                  </w:r>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kern w:val="2"/>
                      <w:sz w:val="18"/>
                      <w:szCs w:val="18"/>
                      <w:highlight w:val="none"/>
                      <w:lang w:val="en-US" w:eastAsia="zh-CN" w:bidi="ar-SA"/>
                    </w:rPr>
                  </w:pPr>
                  <w:r>
                    <w:rPr>
                      <w:rFonts w:hint="eastAsia" w:ascii="楷体" w:hAnsi="楷体" w:eastAsia="楷体"/>
                      <w:sz w:val="18"/>
                      <w:szCs w:val="18"/>
                      <w:highlight w:val="none"/>
                      <w:lang w:val="en-US" w:eastAsia="zh-CN"/>
                    </w:rPr>
                    <w:t>2025年3月18日</w:t>
                  </w:r>
                </w:p>
              </w:tc>
              <w:tc>
                <w:tcPr>
                  <w:tcW w:w="1989"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highlight w:val="none"/>
                      <w:lang w:val="en-US" w:eastAsia="zh-CN"/>
                    </w:rPr>
                  </w:pPr>
                  <w:r>
                    <w:rPr>
                      <w:rFonts w:hint="default" w:ascii="楷体" w:hAnsi="楷体" w:eastAsia="楷体"/>
                      <w:sz w:val="18"/>
                      <w:szCs w:val="18"/>
                      <w:highlight w:val="none"/>
                      <w:lang w:val="en-US" w:eastAsia="zh-CN"/>
                    </w:rPr>
                    <w:t>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highlight w:val="none"/>
                      <w:lang w:val="en-US" w:eastAsia="zh-CN"/>
                    </w:rPr>
                  </w:pPr>
                  <w:r>
                    <w:rPr>
                      <w:rFonts w:hint="default" w:ascii="楷体" w:hAnsi="楷体" w:eastAsia="楷体"/>
                      <w:sz w:val="18"/>
                      <w:szCs w:val="18"/>
                      <w:highlight w:val="none"/>
                      <w:lang w:val="en-US" w:eastAsia="zh-CN"/>
                    </w:rPr>
                    <w:t>B份额3.33%-3.93%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highlight w:val="none"/>
                      <w:lang w:val="en-US" w:eastAsia="zh-CN"/>
                    </w:rPr>
                  </w:pPr>
                  <w:r>
                    <w:rPr>
                      <w:rFonts w:hint="default" w:ascii="楷体" w:hAnsi="楷体" w:eastAsia="楷体"/>
                      <w:sz w:val="18"/>
                      <w:szCs w:val="18"/>
                      <w:highlight w:val="none"/>
                      <w:lang w:val="en-US" w:eastAsia="zh-CN"/>
                    </w:rPr>
                    <w:t>D份额3.45%-4.05%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highlight w:val="none"/>
                      <w:lang w:val="en-US" w:eastAsia="zh-CN"/>
                    </w:rPr>
                  </w:pPr>
                  <w:r>
                    <w:rPr>
                      <w:rFonts w:hint="default" w:ascii="楷体" w:hAnsi="楷体" w:eastAsia="楷体"/>
                      <w:sz w:val="18"/>
                      <w:szCs w:val="18"/>
                      <w:highlight w:val="none"/>
                      <w:lang w:val="en-US" w:eastAsia="zh-CN"/>
                    </w:rPr>
                    <w:t>F份额3.30%-3.90%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highlight w:val="none"/>
                      <w:lang w:val="en-US" w:eastAsia="zh-CN"/>
                    </w:rPr>
                  </w:pPr>
                  <w:r>
                    <w:rPr>
                      <w:rFonts w:hint="default" w:ascii="楷体" w:hAnsi="楷体" w:eastAsia="楷体"/>
                      <w:sz w:val="18"/>
                      <w:szCs w:val="18"/>
                      <w:highlight w:val="none"/>
                      <w:lang w:val="en-US" w:eastAsia="zh-CN"/>
                    </w:rPr>
                    <w:t>G份额3.40%-4.00%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highlight w:val="none"/>
                      <w:lang w:val="en-US" w:eastAsia="zh-CN"/>
                    </w:rPr>
                  </w:pPr>
                  <w:r>
                    <w:rPr>
                      <w:rFonts w:hint="default" w:ascii="楷体" w:hAnsi="楷体" w:eastAsia="楷体"/>
                      <w:sz w:val="18"/>
                      <w:szCs w:val="18"/>
                      <w:highlight w:val="none"/>
                      <w:lang w:val="en-US" w:eastAsia="zh-CN"/>
                    </w:rPr>
                    <w:t>J份额3.40%-4.00%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highlight w:val="none"/>
                      <w:lang w:val="en-US" w:eastAsia="zh-CN"/>
                    </w:rPr>
                  </w:pPr>
                  <w:r>
                    <w:rPr>
                      <w:rFonts w:hint="default" w:ascii="楷体" w:hAnsi="楷体" w:eastAsia="楷体"/>
                      <w:sz w:val="18"/>
                      <w:szCs w:val="18"/>
                      <w:highlight w:val="none"/>
                      <w:lang w:val="en-US" w:eastAsia="zh-CN"/>
                    </w:rPr>
                    <w:t>ZA份额3.30%-3.90%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kern w:val="0"/>
                      <w:sz w:val="18"/>
                      <w:szCs w:val="18"/>
                      <w:highlight w:val="none"/>
                      <w:lang w:val="en-US" w:eastAsia="zh-CN" w:bidi="ar-SA"/>
                    </w:rPr>
                  </w:pPr>
                  <w:r>
                    <w:rPr>
                      <w:rFonts w:hint="default" w:ascii="楷体" w:hAnsi="楷体" w:eastAsia="楷体"/>
                      <w:sz w:val="18"/>
                      <w:szCs w:val="18"/>
                      <w:highlight w:val="none"/>
                      <w:lang w:val="en-US" w:eastAsia="zh-CN"/>
                    </w:rPr>
                    <w:t>ZF份额3.30%-3.90%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jc w:val="center"/>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5</w:t>
                  </w:r>
                </w:p>
              </w:tc>
              <w:tc>
                <w:tcPr>
                  <w:tcW w:w="1871" w:type="dxa"/>
                  <w:noWrap w:val="0"/>
                  <w:vAlign w:val="center"/>
                </w:tcPr>
                <w:p>
                  <w:pPr>
                    <w:jc w:val="center"/>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2025年3月19日</w:t>
                  </w:r>
                </w:p>
              </w:tc>
              <w:tc>
                <w:tcPr>
                  <w:tcW w:w="1697"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2026年4月13日</w:t>
                  </w:r>
                </w:p>
              </w:tc>
              <w:tc>
                <w:tcPr>
                  <w:tcW w:w="1989"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highlight w:val="none"/>
                      <w:lang w:val="en-US" w:eastAsia="zh-CN"/>
                    </w:rPr>
                  </w:pPr>
                  <w:r>
                    <w:rPr>
                      <w:rFonts w:hint="default" w:ascii="楷体" w:hAnsi="楷体" w:eastAsia="楷体" w:cs="Times New Roman"/>
                      <w:sz w:val="18"/>
                      <w:szCs w:val="18"/>
                      <w:highlight w:val="none"/>
                      <w:lang w:val="en-US" w:eastAsia="zh-CN"/>
                    </w:rPr>
                    <w:t>A份额</w:t>
                  </w:r>
                  <w:r>
                    <w:rPr>
                      <w:rFonts w:hint="eastAsia" w:ascii="楷体" w:hAnsi="楷体" w:eastAsia="楷体" w:cs="Times New Roman"/>
                      <w:sz w:val="18"/>
                      <w:szCs w:val="18"/>
                      <w:highlight w:val="none"/>
                      <w:lang w:val="en-US" w:eastAsia="zh-CN"/>
                    </w:rPr>
                    <w:t>2.60</w:t>
                  </w:r>
                  <w:r>
                    <w:rPr>
                      <w:rFonts w:hint="default" w:ascii="楷体" w:hAnsi="楷体" w:eastAsia="楷体" w:cs="Times New Roman"/>
                      <w:sz w:val="18"/>
                      <w:szCs w:val="18"/>
                      <w:highlight w:val="none"/>
                      <w:lang w:val="en-US" w:eastAsia="zh-CN"/>
                    </w:rPr>
                    <w:t>%-3.</w:t>
                  </w:r>
                  <w:r>
                    <w:rPr>
                      <w:rFonts w:hint="eastAsia" w:ascii="楷体" w:hAnsi="楷体" w:eastAsia="楷体" w:cs="Times New Roman"/>
                      <w:sz w:val="18"/>
                      <w:szCs w:val="18"/>
                      <w:highlight w:val="none"/>
                      <w:lang w:val="en-US" w:eastAsia="zh-CN"/>
                    </w:rPr>
                    <w:t>20</w:t>
                  </w:r>
                  <w:r>
                    <w:rPr>
                      <w:rFonts w:hint="default" w:ascii="楷体" w:hAnsi="楷体" w:eastAsia="楷体" w:cs="Times New Roman"/>
                      <w:sz w:val="18"/>
                      <w:szCs w:val="18"/>
                      <w:highlight w:val="none"/>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highlight w:val="none"/>
                      <w:lang w:val="en-US" w:eastAsia="zh-CN"/>
                    </w:rPr>
                  </w:pPr>
                  <w:r>
                    <w:rPr>
                      <w:rFonts w:hint="default" w:ascii="楷体" w:hAnsi="楷体" w:eastAsia="楷体" w:cs="Times New Roman"/>
                      <w:sz w:val="18"/>
                      <w:szCs w:val="18"/>
                      <w:highlight w:val="none"/>
                      <w:lang w:val="en-US" w:eastAsia="zh-CN"/>
                    </w:rPr>
                    <w:t>B份额</w:t>
                  </w:r>
                  <w:r>
                    <w:rPr>
                      <w:rFonts w:hint="eastAsia" w:ascii="楷体" w:hAnsi="楷体" w:eastAsia="楷体" w:cs="Times New Roman"/>
                      <w:sz w:val="18"/>
                      <w:szCs w:val="18"/>
                      <w:highlight w:val="none"/>
                      <w:lang w:val="en-US" w:eastAsia="zh-CN"/>
                    </w:rPr>
                    <w:t>2.63</w:t>
                  </w:r>
                  <w:r>
                    <w:rPr>
                      <w:rFonts w:hint="default" w:ascii="楷体" w:hAnsi="楷体" w:eastAsia="楷体" w:cs="Times New Roman"/>
                      <w:sz w:val="18"/>
                      <w:szCs w:val="18"/>
                      <w:highlight w:val="none"/>
                      <w:lang w:val="en-US" w:eastAsia="zh-CN"/>
                    </w:rPr>
                    <w:t>%-3.</w:t>
                  </w:r>
                  <w:r>
                    <w:rPr>
                      <w:rFonts w:hint="eastAsia" w:ascii="楷体" w:hAnsi="楷体" w:eastAsia="楷体" w:cs="Times New Roman"/>
                      <w:sz w:val="18"/>
                      <w:szCs w:val="18"/>
                      <w:highlight w:val="none"/>
                      <w:lang w:val="en-US" w:eastAsia="zh-CN"/>
                    </w:rPr>
                    <w:t>23</w:t>
                  </w:r>
                  <w:r>
                    <w:rPr>
                      <w:rFonts w:hint="default" w:ascii="楷体" w:hAnsi="楷体" w:eastAsia="楷体" w:cs="Times New Roman"/>
                      <w:sz w:val="18"/>
                      <w:szCs w:val="18"/>
                      <w:highlight w:val="none"/>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highlight w:val="none"/>
                      <w:lang w:val="en-US" w:eastAsia="zh-CN"/>
                    </w:rPr>
                  </w:pPr>
                  <w:r>
                    <w:rPr>
                      <w:rFonts w:hint="default" w:ascii="楷体" w:hAnsi="楷体" w:eastAsia="楷体" w:cs="Times New Roman"/>
                      <w:sz w:val="18"/>
                      <w:szCs w:val="18"/>
                      <w:highlight w:val="none"/>
                      <w:lang w:val="en-US" w:eastAsia="zh-CN"/>
                    </w:rPr>
                    <w:t>D份额</w:t>
                  </w:r>
                  <w:r>
                    <w:rPr>
                      <w:rFonts w:hint="eastAsia" w:ascii="楷体" w:hAnsi="楷体" w:eastAsia="楷体" w:cs="Times New Roman"/>
                      <w:sz w:val="18"/>
                      <w:szCs w:val="18"/>
                      <w:highlight w:val="none"/>
                      <w:lang w:val="en-US" w:eastAsia="zh-CN"/>
                    </w:rPr>
                    <w:t>2.75</w:t>
                  </w:r>
                  <w:r>
                    <w:rPr>
                      <w:rFonts w:hint="default" w:ascii="楷体" w:hAnsi="楷体" w:eastAsia="楷体" w:cs="Times New Roman"/>
                      <w:sz w:val="18"/>
                      <w:szCs w:val="18"/>
                      <w:highlight w:val="none"/>
                      <w:lang w:val="en-US" w:eastAsia="zh-CN"/>
                    </w:rPr>
                    <w:t>%-</w:t>
                  </w:r>
                  <w:r>
                    <w:rPr>
                      <w:rFonts w:hint="eastAsia" w:ascii="楷体" w:hAnsi="楷体" w:eastAsia="楷体" w:cs="Times New Roman"/>
                      <w:sz w:val="18"/>
                      <w:szCs w:val="18"/>
                      <w:highlight w:val="none"/>
                      <w:lang w:val="en-US" w:eastAsia="zh-CN"/>
                    </w:rPr>
                    <w:t>3.35</w:t>
                  </w:r>
                  <w:r>
                    <w:rPr>
                      <w:rFonts w:hint="default" w:ascii="楷体" w:hAnsi="楷体" w:eastAsia="楷体" w:cs="Times New Roman"/>
                      <w:sz w:val="18"/>
                      <w:szCs w:val="18"/>
                      <w:highlight w:val="none"/>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highlight w:val="none"/>
                      <w:lang w:val="en-US" w:eastAsia="zh-CN"/>
                    </w:rPr>
                  </w:pPr>
                  <w:r>
                    <w:rPr>
                      <w:rFonts w:hint="default" w:ascii="楷体" w:hAnsi="楷体" w:eastAsia="楷体" w:cs="Times New Roman"/>
                      <w:sz w:val="18"/>
                      <w:szCs w:val="18"/>
                      <w:highlight w:val="none"/>
                      <w:lang w:val="en-US" w:eastAsia="zh-CN"/>
                    </w:rPr>
                    <w:t>F份额</w:t>
                  </w:r>
                  <w:r>
                    <w:rPr>
                      <w:rFonts w:hint="eastAsia" w:ascii="楷体" w:hAnsi="楷体" w:eastAsia="楷体" w:cs="Times New Roman"/>
                      <w:sz w:val="18"/>
                      <w:szCs w:val="18"/>
                      <w:highlight w:val="none"/>
                      <w:lang w:val="en-US" w:eastAsia="zh-CN"/>
                    </w:rPr>
                    <w:t>2.60</w:t>
                  </w:r>
                  <w:r>
                    <w:rPr>
                      <w:rFonts w:hint="default" w:ascii="楷体" w:hAnsi="楷体" w:eastAsia="楷体" w:cs="Times New Roman"/>
                      <w:sz w:val="18"/>
                      <w:szCs w:val="18"/>
                      <w:highlight w:val="none"/>
                      <w:lang w:val="en-US" w:eastAsia="zh-CN"/>
                    </w:rPr>
                    <w:t>%-3.</w:t>
                  </w:r>
                  <w:r>
                    <w:rPr>
                      <w:rFonts w:hint="eastAsia" w:ascii="楷体" w:hAnsi="楷体" w:eastAsia="楷体" w:cs="Times New Roman"/>
                      <w:sz w:val="18"/>
                      <w:szCs w:val="18"/>
                      <w:highlight w:val="none"/>
                      <w:lang w:val="en-US" w:eastAsia="zh-CN"/>
                    </w:rPr>
                    <w:t>20</w:t>
                  </w:r>
                  <w:r>
                    <w:rPr>
                      <w:rFonts w:hint="default" w:ascii="楷体" w:hAnsi="楷体" w:eastAsia="楷体" w:cs="Times New Roman"/>
                      <w:sz w:val="18"/>
                      <w:szCs w:val="18"/>
                      <w:highlight w:val="none"/>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highlight w:val="none"/>
                      <w:lang w:val="en-US" w:eastAsia="zh-CN"/>
                    </w:rPr>
                  </w:pPr>
                  <w:r>
                    <w:rPr>
                      <w:rFonts w:hint="eastAsia" w:ascii="楷体" w:hAnsi="楷体" w:eastAsia="楷体" w:cs="Times New Roman"/>
                      <w:sz w:val="18"/>
                      <w:szCs w:val="18"/>
                      <w:highlight w:val="none"/>
                      <w:lang w:val="en-US" w:eastAsia="zh-CN"/>
                    </w:rPr>
                    <w:t>G份额2.65%-3.25%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highlight w:val="none"/>
                      <w:lang w:val="en-US" w:eastAsia="zh-CN"/>
                    </w:rPr>
                  </w:pPr>
                  <w:r>
                    <w:rPr>
                      <w:rFonts w:hint="default" w:ascii="楷体" w:hAnsi="楷体" w:eastAsia="楷体" w:cs="Times New Roman"/>
                      <w:sz w:val="18"/>
                      <w:szCs w:val="18"/>
                      <w:highlight w:val="none"/>
                      <w:lang w:val="en-US" w:eastAsia="zh-CN"/>
                    </w:rPr>
                    <w:t>J份额</w:t>
                  </w:r>
                  <w:r>
                    <w:rPr>
                      <w:rFonts w:hint="eastAsia" w:ascii="楷体" w:hAnsi="楷体" w:eastAsia="楷体" w:cs="Times New Roman"/>
                      <w:sz w:val="18"/>
                      <w:szCs w:val="18"/>
                      <w:highlight w:val="none"/>
                      <w:lang w:val="en-US" w:eastAsia="zh-CN"/>
                    </w:rPr>
                    <w:t>2.70</w:t>
                  </w:r>
                  <w:r>
                    <w:rPr>
                      <w:rFonts w:hint="default" w:ascii="楷体" w:hAnsi="楷体" w:eastAsia="楷体" w:cs="Times New Roman"/>
                      <w:sz w:val="18"/>
                      <w:szCs w:val="18"/>
                      <w:highlight w:val="none"/>
                      <w:lang w:val="en-US" w:eastAsia="zh-CN"/>
                    </w:rPr>
                    <w:t>%-</w:t>
                  </w:r>
                  <w:r>
                    <w:rPr>
                      <w:rFonts w:hint="eastAsia" w:ascii="楷体" w:hAnsi="楷体" w:eastAsia="楷体" w:cs="Times New Roman"/>
                      <w:sz w:val="18"/>
                      <w:szCs w:val="18"/>
                      <w:highlight w:val="none"/>
                      <w:lang w:val="en-US" w:eastAsia="zh-CN"/>
                    </w:rPr>
                    <w:t>3.30</w:t>
                  </w:r>
                  <w:r>
                    <w:rPr>
                      <w:rFonts w:hint="default" w:ascii="楷体" w:hAnsi="楷体" w:eastAsia="楷体" w:cs="Times New Roman"/>
                      <w:sz w:val="18"/>
                      <w:szCs w:val="18"/>
                      <w:highlight w:val="none"/>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highlight w:val="none"/>
                      <w:lang w:val="en-US" w:eastAsia="zh-CN"/>
                    </w:rPr>
                  </w:pPr>
                  <w:r>
                    <w:rPr>
                      <w:rFonts w:hint="eastAsia" w:ascii="楷体" w:hAnsi="楷体" w:eastAsia="楷体" w:cs="Times New Roman"/>
                      <w:sz w:val="18"/>
                      <w:szCs w:val="18"/>
                      <w:highlight w:val="none"/>
                      <w:lang w:val="en-US" w:eastAsia="zh-CN"/>
                    </w:rPr>
                    <w:t>P份额 2.80%-3.40%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highlight w:val="none"/>
                      <w:lang w:val="en-US" w:eastAsia="zh-CN"/>
                    </w:rPr>
                  </w:pPr>
                  <w:r>
                    <w:rPr>
                      <w:rFonts w:hint="default" w:ascii="楷体" w:hAnsi="楷体" w:eastAsia="楷体" w:cs="Times New Roman"/>
                      <w:sz w:val="18"/>
                      <w:szCs w:val="18"/>
                      <w:highlight w:val="none"/>
                      <w:lang w:val="en-US" w:eastAsia="zh-CN"/>
                    </w:rPr>
                    <w:t>ZA份</w:t>
                  </w:r>
                  <w:r>
                    <w:rPr>
                      <w:rFonts w:hint="eastAsia" w:ascii="楷体" w:hAnsi="楷体" w:eastAsia="楷体" w:cs="Times New Roman"/>
                      <w:sz w:val="18"/>
                      <w:szCs w:val="18"/>
                      <w:highlight w:val="none"/>
                      <w:lang w:val="en-US" w:eastAsia="zh-CN"/>
                    </w:rPr>
                    <w:t>额2.60</w:t>
                  </w:r>
                  <w:r>
                    <w:rPr>
                      <w:rFonts w:hint="default" w:ascii="楷体" w:hAnsi="楷体" w:eastAsia="楷体" w:cs="Times New Roman"/>
                      <w:sz w:val="18"/>
                      <w:szCs w:val="18"/>
                      <w:highlight w:val="none"/>
                      <w:lang w:val="en-US" w:eastAsia="zh-CN"/>
                    </w:rPr>
                    <w:t>%-3.</w:t>
                  </w:r>
                  <w:r>
                    <w:rPr>
                      <w:rFonts w:hint="eastAsia" w:ascii="楷体" w:hAnsi="楷体" w:eastAsia="楷体" w:cs="Times New Roman"/>
                      <w:sz w:val="18"/>
                      <w:szCs w:val="18"/>
                      <w:highlight w:val="none"/>
                      <w:lang w:val="en-US" w:eastAsia="zh-CN"/>
                    </w:rPr>
                    <w:t>20</w:t>
                  </w:r>
                  <w:r>
                    <w:rPr>
                      <w:rFonts w:hint="default" w:ascii="楷体" w:hAnsi="楷体" w:eastAsia="楷体" w:cs="Times New Roman"/>
                      <w:sz w:val="18"/>
                      <w:szCs w:val="18"/>
                      <w:highlight w:val="none"/>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highlight w:val="none"/>
                      <w:lang w:val="en-US" w:eastAsia="zh-CN"/>
                    </w:rPr>
                  </w:pPr>
                  <w:r>
                    <w:rPr>
                      <w:rFonts w:hint="default" w:ascii="楷体" w:hAnsi="楷体" w:eastAsia="楷体" w:cs="Times New Roman"/>
                      <w:sz w:val="18"/>
                      <w:szCs w:val="18"/>
                      <w:highlight w:val="none"/>
                      <w:lang w:val="en-US" w:eastAsia="zh-CN"/>
                    </w:rPr>
                    <w:t>ZF份</w:t>
                  </w:r>
                  <w:r>
                    <w:rPr>
                      <w:rFonts w:hint="eastAsia" w:ascii="楷体" w:hAnsi="楷体" w:eastAsia="楷体" w:cs="Times New Roman"/>
                      <w:sz w:val="18"/>
                      <w:szCs w:val="18"/>
                      <w:highlight w:val="none"/>
                      <w:lang w:val="en-US" w:eastAsia="zh-CN"/>
                    </w:rPr>
                    <w:t>额2.60</w:t>
                  </w:r>
                  <w:r>
                    <w:rPr>
                      <w:rFonts w:hint="default" w:ascii="楷体" w:hAnsi="楷体" w:eastAsia="楷体" w:cs="Times New Roman"/>
                      <w:sz w:val="18"/>
                      <w:szCs w:val="18"/>
                      <w:highlight w:val="none"/>
                      <w:lang w:val="en-US" w:eastAsia="zh-CN"/>
                    </w:rPr>
                    <w:t>%-3.</w:t>
                  </w:r>
                  <w:r>
                    <w:rPr>
                      <w:rFonts w:hint="eastAsia" w:ascii="楷体" w:hAnsi="楷体" w:eastAsia="楷体" w:cs="Times New Roman"/>
                      <w:sz w:val="18"/>
                      <w:szCs w:val="18"/>
                      <w:highlight w:val="none"/>
                      <w:lang w:val="en-US" w:eastAsia="zh-CN"/>
                    </w:rPr>
                    <w:t>20</w:t>
                  </w:r>
                  <w:r>
                    <w:rPr>
                      <w:rFonts w:hint="default" w:ascii="楷体" w:hAnsi="楷体" w:eastAsia="楷体" w:cs="Times New Roman"/>
                      <w:sz w:val="18"/>
                      <w:szCs w:val="18"/>
                      <w:highlight w:val="none"/>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highlight w:val="none"/>
                      <w:lang w:val="en-US" w:eastAsia="zh-CN"/>
                    </w:rPr>
                  </w:pPr>
                  <w:r>
                    <w:rPr>
                      <w:rFonts w:hint="eastAsia" w:ascii="楷体" w:hAnsi="楷体" w:eastAsia="楷体" w:cs="Times New Roman"/>
                      <w:sz w:val="18"/>
                      <w:szCs w:val="18"/>
                      <w:highlight w:val="none"/>
                      <w:lang w:val="en-US" w:eastAsia="zh-CN"/>
                    </w:rPr>
                    <w:t>ZN份额2.79%-3.39%</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highlight w:val="none"/>
                      <w:lang w:val="en-US" w:eastAsia="zh-CN"/>
                    </w:rPr>
                  </w:pPr>
                  <w:r>
                    <w:rPr>
                      <w:rFonts w:hint="eastAsia" w:ascii="楷体" w:hAnsi="楷体" w:eastAsia="楷体" w:cs="Times New Roman"/>
                      <w:sz w:val="18"/>
                      <w:szCs w:val="18"/>
                      <w:highlight w:val="none"/>
                      <w:lang w:val="en-US" w:eastAsia="zh-CN"/>
                    </w:rPr>
                    <w:t>ZQ份额2.55%-3.15%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highlight w:val="none"/>
                      <w:lang w:val="en-US" w:eastAsia="zh-CN"/>
                    </w:rPr>
                  </w:pPr>
                  <w:r>
                    <w:rPr>
                      <w:rFonts w:hint="eastAsia" w:ascii="楷体" w:hAnsi="楷体" w:eastAsia="楷体" w:cs="Times New Roman"/>
                      <w:sz w:val="18"/>
                      <w:szCs w:val="18"/>
                      <w:highlight w:val="none"/>
                      <w:lang w:val="en-US" w:eastAsia="zh-CN"/>
                    </w:rPr>
                    <w:t>ZS份额2.70%-3.30%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jc w:val="center"/>
                    <w:rPr>
                      <w:rFonts w:hint="eastAsia" w:ascii="楷体" w:hAnsi="楷体" w:eastAsia="楷体" w:cs="Times New Roman"/>
                      <w:kern w:val="2"/>
                      <w:sz w:val="18"/>
                      <w:szCs w:val="18"/>
                      <w:highlight w:val="none"/>
                      <w:lang w:val="en-US" w:eastAsia="zh-CN" w:bidi="ar-SA"/>
                    </w:rPr>
                  </w:pPr>
                  <w:r>
                    <w:rPr>
                      <w:rFonts w:hint="eastAsia" w:ascii="楷体" w:hAnsi="楷体" w:eastAsia="楷体"/>
                      <w:sz w:val="18"/>
                      <w:szCs w:val="18"/>
                      <w:highlight w:val="none"/>
                      <w:lang w:val="en-US" w:eastAsia="zh-CN"/>
                    </w:rPr>
                    <w:t>6</w:t>
                  </w:r>
                </w:p>
              </w:tc>
              <w:tc>
                <w:tcPr>
                  <w:tcW w:w="1871" w:type="dxa"/>
                  <w:noWrap w:val="0"/>
                  <w:vAlign w:val="center"/>
                </w:tcPr>
                <w:p>
                  <w:pPr>
                    <w:jc w:val="center"/>
                    <w:rPr>
                      <w:rFonts w:hint="eastAsia" w:ascii="楷体" w:hAnsi="楷体" w:eastAsia="楷体" w:cs="宋体"/>
                      <w:spacing w:val="-2"/>
                      <w:kern w:val="2"/>
                      <w:sz w:val="18"/>
                      <w:szCs w:val="18"/>
                      <w:highlight w:val="none"/>
                      <w:lang w:val="en-US" w:eastAsia="zh-CN" w:bidi="ar-SA"/>
                    </w:rPr>
                  </w:pPr>
                  <w:r>
                    <w:rPr>
                      <w:rFonts w:hint="eastAsia" w:ascii="楷体" w:hAnsi="楷体" w:eastAsia="楷体" w:cs="宋体"/>
                      <w:spacing w:val="-2"/>
                      <w:sz w:val="18"/>
                      <w:szCs w:val="18"/>
                      <w:highlight w:val="none"/>
                      <w:lang w:val="en-US" w:eastAsia="zh-CN"/>
                    </w:rPr>
                    <w:t>2026年4月14日</w:t>
                  </w:r>
                </w:p>
              </w:tc>
              <w:tc>
                <w:tcPr>
                  <w:tcW w:w="1697"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120" w:leftChars="0"/>
                    <w:jc w:val="center"/>
                    <w:textAlignment w:val="auto"/>
                    <w:rPr>
                      <w:rFonts w:hint="eastAsia" w:ascii="楷体" w:hAnsi="楷体" w:eastAsia="楷体" w:cs="Times New Roman"/>
                      <w:kern w:val="0"/>
                      <w:sz w:val="18"/>
                      <w:szCs w:val="18"/>
                      <w:highlight w:val="none"/>
                      <w:lang w:val="en-US" w:eastAsia="zh-CN" w:bidi="ar-SA"/>
                    </w:rPr>
                  </w:pPr>
                  <w:r>
                    <w:rPr>
                      <w:rFonts w:hint="eastAsia" w:ascii="楷体" w:hAnsi="楷体" w:eastAsia="楷体" w:cs="宋体"/>
                      <w:spacing w:val="-2"/>
                      <w:sz w:val="18"/>
                      <w:szCs w:val="18"/>
                      <w:highlight w:val="none"/>
                      <w:lang w:val="en-US" w:eastAsia="zh-CN"/>
                    </w:rPr>
                    <w:t>2027年5月6日</w:t>
                  </w:r>
                </w:p>
              </w:tc>
              <w:tc>
                <w:tcPr>
                  <w:tcW w:w="1989"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kern w:val="0"/>
                      <w:sz w:val="18"/>
                      <w:szCs w:val="18"/>
                      <w:highlight w:val="none"/>
                      <w:lang w:val="en-US" w:eastAsia="zh-CN" w:bidi="ar-SA"/>
                    </w:rPr>
                  </w:pPr>
                  <w:r>
                    <w:rPr>
                      <w:rFonts w:hint="eastAsia" w:ascii="楷体" w:hAnsi="楷体" w:eastAsia="楷体" w:cs="Times New Roman"/>
                      <w:sz w:val="18"/>
                      <w:szCs w:val="18"/>
                      <w:highlight w:val="none"/>
                      <w:lang w:val="en-US" w:eastAsia="zh-CN"/>
                    </w:rPr>
                    <w:t>A份额2.45%-3.05%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B份额2.48%-3.08%</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C份额2.50%-3.10%</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D份额2.60%-3.20%</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F份额2.45%-3.05%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G份额2.48%-3.08%</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J份额2.55%-3.15%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P份额2.65%-3.25%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GS份额2.55%-3.15%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U份额2.45%-3.05%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Z份额2.45%-3.05%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ZA份额2.45%-3.05%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ZF份额2.45%-3.05%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ZJ份额2.70%-3.30%</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ZL份额2.60%-3.20%</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ZN份额2.55%-3.15%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ZQ份额2.40%-3.00%</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ZC份额2.50%-3.10%</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ZK份额2.60%-3.20%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0.50%，P份额 0.45%，GS份额 0.55%，U份额 0.60%，Z份额 0.65%，ZA份额 0.65%，ZF份额 0.65%，ZJ份额 0.40%，ZL份额 0.50%，ZN份额 0.55%，ZQ份额 0.65%，ZC份额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0.70%，P份额 0.65%，GS份额 0.65%，U份额 0.70%，Z份额 0.65%，ZA份额 0.65%，ZF份额 0.65%，ZJ份额 0.65%，ZL份额 0.65%，ZN份额 0.65%，ZQ份额 0.70%，ZC份额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highlight w:val="none"/>
              </w:rPr>
            </w:pPr>
            <w:r>
              <w:rPr>
                <w:rFonts w:hint="eastAsia" w:ascii="楷体" w:hAnsi="楷体" w:eastAsia="楷体" w:cs="宋体"/>
                <w:b/>
                <w:spacing w:val="-2"/>
                <w:sz w:val="18"/>
                <w:szCs w:val="18"/>
                <w:highlight w:val="none"/>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highlight w:val="none"/>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本产品按投资周期进行现金分红</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highlight w:val="none"/>
              </w:rPr>
              <w:t>详见下文</w:t>
            </w:r>
            <w:r>
              <w:rPr>
                <w:rFonts w:hint="eastAsia" w:ascii="楷体" w:hAnsi="楷体" w:eastAsia="楷体" w:cs="宋体"/>
                <w:spacing w:val="-2"/>
                <w:sz w:val="18"/>
                <w:szCs w:val="18"/>
                <w:highlight w:val="none"/>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highlight w:val="none"/>
                <w:lang w:val="en-US"/>
              </w:rPr>
            </w:pPr>
            <w:r>
              <w:rPr>
                <w:rFonts w:hint="eastAsia" w:ascii="楷体" w:hAnsi="楷体" w:eastAsia="楷体" w:cs="宋体"/>
                <w:b/>
                <w:color w:val="auto"/>
                <w:spacing w:val="-2"/>
                <w:sz w:val="18"/>
                <w:szCs w:val="18"/>
                <w:highlight w:val="none"/>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w:t>
            </w:r>
            <w:r>
              <w:rPr>
                <w:rFonts w:hint="eastAsia" w:ascii="楷体" w:hAnsi="楷体" w:eastAsia="楷体" w:cs="宋体"/>
                <w:color w:val="auto"/>
                <w:spacing w:val="-2"/>
                <w:sz w:val="18"/>
                <w:szCs w:val="18"/>
                <w:highlight w:val="none"/>
                <w:shd w:val="clear" w:fill="auto"/>
                <w:lang w:val="en-US" w:eastAsia="zh-CN"/>
              </w:rPr>
              <w:t>产品</w:t>
            </w:r>
            <w:r>
              <w:rPr>
                <w:rFonts w:hint="eastAsia" w:ascii="楷体" w:hAnsi="楷体" w:eastAsia="楷体" w:cs="宋体"/>
                <w:color w:val="auto"/>
                <w:spacing w:val="-2"/>
                <w:sz w:val="18"/>
                <w:szCs w:val="18"/>
                <w:highlight w:val="none"/>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本产品管理人为</w:t>
      </w:r>
      <w:r>
        <w:rPr>
          <w:rFonts w:hint="eastAsia" w:ascii="楷体" w:hAnsi="楷体" w:eastAsia="楷体" w:cs="Calibri"/>
          <w:b/>
          <w:bCs/>
          <w:sz w:val="21"/>
          <w:szCs w:val="21"/>
          <w:highlight w:val="none"/>
          <w:u w:val="single"/>
        </w:rPr>
        <w:t>苏银理财有限责任公司</w:t>
      </w:r>
      <w:r>
        <w:rPr>
          <w:rFonts w:hint="eastAsia" w:ascii="楷体" w:hAnsi="楷体" w:eastAsia="楷体" w:cs="Calibri"/>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highlight w:val="none"/>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highlight w:val="none"/>
          <w:u w:val="single"/>
          <w:lang w:val="en-US" w:eastAsia="zh-CN"/>
        </w:rPr>
        <w:t>江苏银行股份有限</w:t>
      </w:r>
      <w:r>
        <w:rPr>
          <w:rFonts w:hint="eastAsia" w:ascii="楷体" w:hAnsi="楷体" w:eastAsia="楷体" w:cs="Calibri"/>
          <w:b/>
          <w:bCs/>
          <w:sz w:val="21"/>
          <w:szCs w:val="21"/>
          <w:highlight w:val="none"/>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维护等销售服务工作。销售机构不承担产品投资、兑付和风险管理责任，产品的投资、兑付和风险管理责任由管理人承担。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溧水农村商业银行股份有限公司/江苏银行股份有限公司/江苏句容农村商业银行股份有限公司/江苏宜兴农村商业银行股份有限公司/江苏沭阳农村商业银行股份有限公司/江苏涟水农村商业银行股份有限公司/江苏泰兴农村商业银行股份有限公司/九江银行股份有限公司/江苏扬州农村商业银行股份有限公司/江苏阜宁农村商业银行股份有限公司/江苏洪泽农村商业银行股份有限公司/江苏淮安农村商业银行股份有限公司/江苏海安农村商业银行股份有限公司/江苏东台农村商业银行股份有限公司/江苏新沂农村商业银行股份有限公司/江苏靖江农村商业银行股份有限公司/江苏高淳农村商业银行股份有限公司/江苏如东农村商业银行股份有限公司/江苏盱眙农村商业银行股份有限公司/江苏丹阳农村商业银行股份有限公司/江苏仪征农村商业银行股份有限公司/江苏如皋农村商业银行股份有限公司/江苏南通农村商业银行股份有限公司/江苏紫金农村商业银行股份有限公司/江苏江阴农村商业银行股份有限公司/江苏邳州农村商业银行股份有限公司/江苏高邮农村商业银行股份有限公司/江苏扬中农村商业银行股份有限公司/宁波东海银行股份有限公司/齐鲁银行股份有限公司/上海农村商业银行股份有限公司/上海银行股份有限公司/苏银理财有限责任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B份额:江苏溧水农村商业银行股份有限公司/江苏银行股份有限公司/江苏句容农村商业银行股份有限公司/江苏宜兴农村商业银行股份有限公司/江苏沭阳农村商业银行股份有限公司/江苏涟水农村商业银行股份有限公司/江苏泰兴农村商业银行股份有限公司/江苏扬州农村商业银行股份有限公司/江苏阜宁农村商业银行股份有限公司/江苏洪泽农村商业银行股份有限公司/江苏淮安农村商业银行股份有限公司/江苏海安农村商业银行股份有限公司/江苏东台农村商业银行股份有限公司/江苏新沂农村商业银行股份有限公司/江苏靖江农村商业银行股份有限公司/江苏高淳农村商业银行股份有限公司/江苏如东农村商业银行股份有限公司/江苏苏州农村商业银行股份有限公司/江苏盱眙农村商业银行股份有限公司/江苏丹阳农村商业银行股份有限公司/江苏仪征农村商业银行股份有限公司/江苏如皋农村商业银行股份有限公司/江苏南通农村商业银行股份有限公司/江苏紫金农村商业银行股份有限公司/江苏常熟农村商业银行股份有限公司/江苏邳州农村商业银行股份有限公司/江苏高邮农村商业银行股份有限公司/江苏扬中农村商业银行股份有限公司/宁波东海银行股份有限公司/齐鲁银行股份有限公司/苏银理财有限责任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C份额:江苏银行股份有限公司/苏银理财有限责任公司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D份额:江苏银行股份有限公司/江苏江阴农村商业银行股份有限公司/上海银行股份有限公司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F份额:北京农村商业银行股份有限公司/广州银行股份有限公司/广州农村商业银行股份有限公司/甘肃银行股份有限公司/华侨银行有限公司/杭州联合农村商业银行股份有限公司/九江银行股份有限公司/交通银行股份有限公司/宁波余姚农村商业银行股份有限公司/宁波慈溪农村商业银行股份有限公司/宁波通商银行股份有限公司/宁波镇海农村商业银行股份有限公司/日照银行股份有限公司/苏州银行股份有限公司/山西银行股份有限公司/深圳农村商业银行股份有限公司/台州银行股份有限公司/潍坊银行股份有限公司/兴业银行股份有限公司/浙江岱山农村商业银行股份有限公司/浙江开化农村商业银行股份有限公司/浙江泰顺农村商业银行股份有限公司/浙江义乌农村商业银行股份有限公司/浙江萧山农村商业银行股份有限公司/浙江杭州余杭农村商业银行股份有限公司/浙江永康农村商业银行股份有限公司/浙江桐庐农村商业银行股份有限公司/浙江上虞农村商业银行股份有限公司/浙江青田农村商业银行股份有限公司/浙江江山农村商业银行股份有限公司/浙江嘉善农村商业银行股份有限公司/浙江长兴农村商业银行股份有限公司/浙江温州瓯海农村商业银行股份有限公司/浙江临海农村商业银行股份有限公司/浙江海宁农村商业银行股份有限公司/浙江武义农村商业银行股份有限公司/浙江淳安农村商业银行股份有限公司/浙江绍兴瑞丰农村商业银行股份有限公司/浙江乐清农村商业银行股份有限公司/中邮邮惠万家银行有限责任公司/浙江舟山定海海洋农村商业银行股份有限公司/浙江德清农村商业银行股份有限公司/浙商银行股份有限公司/浙江温州龙湾农村商业银行股份有限公司/浙江永嘉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份额:广州银行股份有限公司/广州农村商业银行股份有限公司/徽商银行股份有限公司/杭州联合农村商业银行股份有限公司/九江银行股份有限公司/宁波余姚农村商业银行股份有限公司/宁波通商银行股份有限公司/山西银行股份有限公司/深圳农村商业银行股份有限公司/兴业银行股份有限公司/浙江岱山农村商业银行股份有限公司/浙江杭州余杭农村商业银行股份有限公司/浙江桐庐农村商业银行股份有限公司/浙江上虞农村商业银行股份有限公司/浙江嘉善农村商业银行股份有限公司/浙江衢州衢江农村商业银行股份有限公司/浙江海宁农村商业银行股份有限公司/浙江淳安农村商业银行股份有限公司/浙江绍兴瑞丰农村商业银行股份有限公司/浙江舟山定海海洋农村商业银行股份有限公司/浙江德清农村商业银行股份有限公司/浙商银行股份有限公司/浙江永嘉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J份额:江苏银行股份有限公司/江苏如皋农村商业银行股份有限公司/上海银行股份有限公司/苏银理财有限责任公司/威海银行股份有限公司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P份额:甘肃银行股份有限公司/徽商银行股份有限公司/郑州银行股份有限公司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GS份额:甘肃银行股份有限公司/兰州银行股份有限公司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U份额：徽商银行股份有限公司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Z份额：上海农村商业银行股份有限公司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sz w:val="21"/>
          <w:szCs w:val="21"/>
          <w:highlight w:val="none"/>
          <w:lang w:val="en-US" w:eastAsia="zh-CN"/>
        </w:rPr>
        <w:t>ZA份额:江苏溧水农村商业银行股份有限公司/江苏灌云农村商业银行股份有限公司/江苏句容农村商业银行股份有限公司/江苏大丰农村商业银行股份有限公司/江苏宜兴农村商业银行股份有限公司/江苏沭阳农村商业银行股份有限公司/江苏灌南农村商业银行股份有限公司/江苏东海农村商业银行股份有限公司/江苏泰兴农村商业银行股份有限公司/江苏丰县农村商业银行股份有限公司/江苏扬州农村商业银行股份有限公司/江苏阜宁农村商业银行股份有限公司/江苏洪泽农村商业银行股份有限公司/江苏启东农村商业银行股份有限公司/江苏泗洪农村商业银行股份有限公司/江苏淮安农村商业银行股份有限公司/江苏海安农村商业银行股份有限公司/江苏东台农村商业银行股份有限公司/江苏新沂农村商业银行股份有限公司/江苏靖江农村商业银行股份有限公司/江苏高淳农村商业银行股份有限公司/江苏如东农村商业银行股份有限公司/江苏苏州农村商业银行股份有限公司/江苏金湖农村商业银行股份有限公司/江苏盱眙农村商业银行股份有限公司/江苏丹阳农村商业银行股份有限公司/江苏建湖农村商业银行股份有限公司/江苏仪征农村商业银行股份有限公司/江苏如皋农村商业银行股份有限公司/江苏南通农村商业银行股份有限公司/江苏紫金农村商业银行股份有限公司/江苏常熟农村商业银行股份有限公司/江苏泗阳农村商业银行股份有限公司/江苏睢宁农村商业银行股份有限公司/江苏姜堰农村商业银行股份有限公司/江苏江都农村商业银行股份有限公司/江苏镇江农村商业银行股份有限公司/江苏邳州农村商业银行股份有限公司/江苏盐城农村商业银行股份有限公司/江苏民丰农村商业银行股份有限公司/江苏高邮农村商业银行股份有限公司/江苏扬中农村商业银行股份有限公司/连云港东方农村商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份额:河北银行股份有限公司/汉口银行股份有限公司/嘉兴银行股份有限公司/江苏张家港农村商业银行股份有限公司/江苏江南农村商业银行股份有限公司/莱商银行股份有限公司/宁波甬城农村商业银行股份有限公司/宁波余姚农村商业银行股份有限公司/宁波慈溪农村商业银行股份有限公司/宁波镇海农村商业银行股份有限公司/厦门银行股份有限公司/石嘴山银行股份有限公司/苏州银行股份有限公司/兴业银行股份有限公司/浙江岱山农村商业银行股份有限公司/浙江开化农村商业银行股份有限公司/浙江泰顺农村商业银行股份有限公司/浙江龙泉农村商业银行股份有限公司/浙江义乌农村商业银行股份有限公司/浙江民泰商业银行股份有限公司/浙江杭州余杭农村商业银行股份有限公司/浙江萧山农村商业银行股份有限公司/浙江永康农村商业银行股份有限公司/浙江上虞农村商业银行股份有限公司/浙江嵊州农村商业银行股份有限公司/浙江青田农村商业银行股份有限公司/浙江江山农村商业银行股份有限公司/浙江嘉善农村商业银行股份有限公司/浙江衢州衢江农村商业银行股份有限公司/浙江温州瓯海农村商业银行股份有限公司/浙江临海农村商业银行股份有限公司/浙江衢州柯城农村商业银行股份有限公司/浙江南浔农村商业银行股份有限公司/浙江新昌农村商业银行股份有限公司/浙江武义农村商业银行股份有限公司/浙江温岭农村商业银行股份有限公司/浙江浦江农村商业银行股份有限公司/浙江德清农村商业银行股份有限公司/浙江温州龙湾农村商业银行股份有限公司/浙江临安农村商业银行股份有限公司/浙江兰溪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ZJ份额:浙江海宁农村商业银行股份有限公司/浙江海盐农村商业银行股份有限公司/浙江平湖农村商业银行股份有限公司/浙江嘉善农村商业银行股份有限公司/浙江桐乡农村商业银行股份有限公司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ZL份额:苏州银行股份有限公司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ZN份额:广西北部湾银行股份有限公司/河北银行股份有限公司/汉口银行股份有限公司/宁波通商银行股份有限公司/浙江萧山农村商业银行股份有限公司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ZQ份额:江苏苏州农村商业银行股份有限公司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C份额:江苏溧水农村商业银行股份有限公司/江苏大丰农村商业银行股份有限公司/江苏宜兴农村商业银行股份有限公司/江苏灌南农村商业银行股份有限公司/江苏扬州农村商业银行股份有限公司/江苏阜宁农村商业银行股份有限公司/江苏海安农村商业银行股份有限公司/江苏东台农村商业银行股份有限公司/江苏高淳农村商业银行股份有限公司/江苏如东农村商业银行股份有限公司/江苏丹阳农村商业银行股份有限公司/江苏建湖农村商业银行股份有限公司/江苏仪征农村商业银行股份有限公司/江苏如皋农村商业银行股份有限公司/江苏紫金农村商业银行股份有限公司/江苏泗阳农村商业银行股份有限公司/江苏姜堰农村商业银行股份有限公司/江苏江都农村商业银行股份有限公司/江苏盐城农村商业银行股份有限公司/江苏民丰农村商业银行股份有限公司/江苏高邮农村商业银行股份有限公司/江苏泰兴农村商业银行股份有限公司/连云港东方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K份额:江苏溧水农村商业银行股份有限公司/江苏大丰农村商业银行股份有限公司/江苏宜兴农村商业银行股份有限公司/江苏灌南农村商业银行股份有限公司/江苏扬州农村商业银行股份有限公司/江苏阜宁农村商业银行股份有限公司/江苏海安农村商业银行股份有限公司/江苏东台农村商业银行股份有限公司/江苏高淳农村商业银行股份有限公司/江苏如东农村商业银行股份有限公司/江苏丹阳农村商业银行股份有限公司/江苏建湖农村商业银行股份有限公司/江苏仪征农村商业银行股份有限公司/江苏如皋农村商业银行股份有限公司/江苏南通农村商业银行股份有限公司/江苏紫金农村商业银行股份有限公司/江苏泗阳农村商业银行股份有限公司/江苏江都农村商业银行股份有限公司/江苏盐城农村商业银行股份有限公司/江苏民丰农村商业银行股份有限公司/江苏高邮农村商业银行股份有限公司/江苏沛县农村商业银行股份有限公司/江苏姜堰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名词释义</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销售代码：指本理财产品可能设置一</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或多</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产品份额，管理人在理财产品销售管理过程中对各</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份额设置的</w:t>
      </w:r>
      <w:r>
        <w:rPr>
          <w:rFonts w:hint="eastAsia" w:ascii="楷体" w:hAnsi="楷体" w:eastAsia="楷体" w:cs="Calibri"/>
          <w:sz w:val="21"/>
          <w:szCs w:val="21"/>
          <w:highlight w:val="none"/>
          <w:lang w:val="en-US" w:eastAsia="zh-CN"/>
        </w:rPr>
        <w:t>内部代</w:t>
      </w:r>
      <w:r>
        <w:rPr>
          <w:rFonts w:hint="eastAsia" w:ascii="楷体" w:hAnsi="楷体" w:eastAsia="楷体" w:cs="Calibri"/>
          <w:sz w:val="21"/>
          <w:szCs w:val="21"/>
          <w:highlight w:val="none"/>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交易日：</w:t>
      </w:r>
      <w:r>
        <w:rPr>
          <w:rFonts w:ascii="楷体" w:hAnsi="楷体" w:eastAsia="楷体" w:cs="Calibri"/>
          <w:sz w:val="21"/>
          <w:szCs w:val="21"/>
          <w:highlight w:val="none"/>
        </w:rPr>
        <w:t>指上海证券交易所和深圳证券交易所的正常开盘交易日</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份额登记日/份额确认日：</w:t>
      </w:r>
      <w:r>
        <w:rPr>
          <w:rFonts w:hint="eastAsia" w:ascii="楷体" w:hAnsi="楷体" w:eastAsia="楷体" w:cs="Calibri"/>
          <w:color w:val="auto"/>
          <w:sz w:val="21"/>
          <w:szCs w:val="21"/>
          <w:highlight w:val="none"/>
        </w:rPr>
        <w:t>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本理财产品计划通过债券、非标准化债权类资产的配置获取稳健收益，同时适时适量配置银行存款，包括同业存</w:t>
      </w:r>
      <w:r>
        <w:rPr>
          <w:rFonts w:hint="eastAsia" w:ascii="楷体" w:hAnsi="楷体" w:eastAsia="楷体"/>
          <w:sz w:val="21"/>
          <w:szCs w:val="21"/>
          <w:highlight w:val="none"/>
          <w:lang w:val="en-US" w:eastAsia="zh-CN"/>
        </w:rPr>
        <w:t>款</w:t>
      </w:r>
      <w:r>
        <w:rPr>
          <w:rFonts w:hint="default" w:ascii="楷体" w:hAnsi="楷体" w:eastAsia="楷体"/>
          <w:sz w:val="21"/>
          <w:szCs w:val="21"/>
          <w:highlight w:val="none"/>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none"/>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0"/>
          <w:numId w:val="0"/>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象山县滨海投资有限公司。融资人经营正常，是依法设立的国有公司，主要股东为宁波象开建设发展有限公司、浙江省财务开发有限责任公司，实际控制人为象山县国有资产管理局。（4）非标准化债权类资产：融资人为江苏盐城港控股集团有限公司。融资人经营正常，是依法设立的国有公司，主要股东为盐城市大丰区人民政府、盐城市交通投资建设控股集团有限公司、盐城市海兴集团有限公司，江苏省盐城市滨海县人民政府，江苏省盐城市射阳县人民政府，江苏省盐城市响水县人民政府及盐城市政府国有资产监督管理委员会，实际控制人为盐城市人民政府。（5）非标准化债权类资产：融资人为扬州新盛投资集团有限公司。融资人经营正常，是依法设立的国有公司，主要股东为扬州市城建国有资产控股(集团)有限责任公司、扬州易盛德产业投资集团有限公司、扬州市扬子江文旅投资发展集团有限责任公司，实际控制人为扬州市人民政府国有资产监督管理委员会。（6）非标准化债权类资产：融资人为温州瓯海科技产业发展集团有限公司。融资人经营正常，是依法设立的国有公司，主要股东为温州瓯海产业控股有限公司，实际控制人为温州市瓯海区国有资产管理办公室。（7）非标准化债权类资产：融资人为邳州市交通控股集团有限公司。融资人经营正常，是依法设立的国有公司，主要股东为邳州市交通投资发展集团有限公司，实际控制人为邳州市财政局。（8）非标准化债权类资产：融资人为如东县民泰城乡建设工程有限公司。融资人经营正常，是依法设立的国有公司，主要股东为如东县金鑫交通工程建设投资有限公司，实际控制人为如东县投资管理办公室。（9）非标准化债权类资产：融资人为无锡市惠山文商旅集团有限公司。融资人经营正常，是依法设立的国有公司，主要股东为无锡惠同控股集团有限公司、无锡惠山经济开发区开发建设总公司、无锡市惠山区生产力促进中心，实际控制人为无锡市惠山区国有资产管理办公室。（10）非标准化债权类资产：融资人为无锡锡山资产经营管理有限公司。融资人经营正常，是依法设立的国有公司，主要股东为无锡市锡州产城控股集团有限公司、无锡市锡山区国有企业改革发展服务中心，实际控制人为无锡市锡山区国有企业改革发展服务中心。（11）非标准化债权类资产：融资人为江苏钟吾城乡投资发展集团有限公司。融资人经营正常，是依法设立的国有公司，主要股东为徐州市人民政府，实际控制人为徐州市人民政府。（12）非标准化债权类资产：融资人为泰州医药城控股集团有限公司。融资人经营正常，是依法设立的国有公司，主要股东为泰州医药高新技术产业开发区管理委员会，实际控制人为泰州医药高新技术产业开发区管理委员会。（13）非标准化债权类资产：融资人为泰州国控投资集团有限公司。融资人经营正常，是依法设立的国有公司，主要股东为泰州市政府国有资产监督管理委员会，实际控制人为泰州市政府国有资产监督管理委员会。（14）非标准化债权类资产：融资人为杭州之江城市建设投资集团有限公司。融资人经营正常，是依法设立的国有公司，主要股东为杭州市西湖区人民政府国有资产监督管理办公室，实际控制人为杭州市西湖区人民政府国有资产监督管理办公室。（15）非标准化债权类资产：融资人为南京高淳老街旅游开发股份有限公司。融资人经营正常，是依法设立的国有公司，主要股东为南京高淳文化旅游投资有限公司、南京市高淳区城市更新中心(南京市高淳区房地产管理所、南京市高淳区房屋安全鉴定所)，实际控制人为南京市高淳区人民政府国有资产监督管理办公室。（16）非标准化债权类资产：融资人为扬州高新国控集团有限公司。融资人经营正常，是依法设立的国有公司，主要股东为扬州市人民政府，实际控制人为扬州市人民政府。（17）非标准化债权类资产：融资人为盐城市海兴集团有限公司。融资人经营正常，是依法设立的国有公司，主要股东为盐城市海兴控股集团有限公司，实际控制人为盐城市人民政府。（18）非标准化债权类资产：融资人为扬州维扬发展投资有限公司。融资人经营正常，是依法设立的国有公司，主要股东为扬州维投控股集团有限公司，实际控制人为扬州市人民政府。（19）非标准化债权类资产：融资人为富皋万泰集团有限公司。融资人经营正常，是依法设立的国有公司，主要股东为如皋市人民政府，实际控制人为如皋市人民政府。（20）非标准化债权类资产：融资人为盐城市水务集团有限公司。融资人经营正常，是依法设立的国有公司，主要股东为盐城市市政公用投资有限公司，实际控制人为盐城市人民政府。（21）非标准化债权类资产：融资人为无锡市太湖新城资产经营管理有限公司。融资人经营正常，是依法设立的国有公司，主要股东为无锡市太湖新城发展集团有限公司，实际控制人为无锡市人民政府国有资产监督管理委员会。（22）非标准化债权类资产：融资人为靖江市北辰城乡投资建设有限公司。融资人经营正常，是依法设立的国有公司，主要股东为靖江经济技术开发区管理委员会，实际控制人为靖江经济技术开发区管理委员会。（23）非标准化债权类资产：融资人为盐城市城镇化建设投资集团有限公司。融资人经营正常，是依法设立的国有公司，主要股东为盐城市人民政府，实际控制人为盐城市人民政府。（24）非标准化债权类资产：融资人为扬州广合国有资本运营集团有限公司。融资人经营正常，是依法设立的国有公司，主要股东为扬州市人民政府，实际控制人为扬州市人民政府。（25）非标准化债权类资产：融资人为扬州江淮建设发展有限公司。融资人经营正常，是依法设立的国有公司，主要股东为扬州市国联控股集团有限公司，实际控制人为扬州市人民政府。（26）非标准化债权类资产：融资人为盐城市东亭产业发展集团有限公司。融资人经营正常，是依法设立的国有公司，主要股东为盐城市人民政府，实际控制人为盐城市人民政府。（27）非标准化债权类资产：融资人为江苏淮阴城市产业投资集团有限公司。融资人经营正常，是依法设立的国有公司，主要股东为淮安国控投资集团有限公司，实际控制人为淮安市人民政府。（28）非标准化债权类资产：融资人为仪征市扬子文旅控股集团有限公司。融资人经营正常，是依法设立的国有公司，主要股东为仪征市国有资产管理中心，实际控制人为仪征市财政局(仪征市政府国有资产监督管理办公室)。（29）非标准化债权类资产：融资人为诸暨市国有资产经营有限公司。融资人经营正常，是依法设立的国有公司，主要股东为诸暨市财政局(诸暨市人民政府国有资产监督管理办公室)、浙江省财务开发有限责任公司，实际控制人为诸暨市财政局(诸暨市人民政府国有资产监督管理办公室)。（30）非标准化债权类资产：融资人为富港建设集团有限公司。融资人经营正常，是依法设立的国有公司，主要股东为如皋市人民政府、工银金融资产投资有限公司，实际控制人为如皋市人民政府。（31）非标准化债权类资产：融资人为无锡市梁溪产业发展集团有限公司。融资人经营正常，是依法设立的国有公司，主要股东为无锡市梁溪区人民政府国有资产监督管理办公室、无锡市梁溪城市运营服务集团有限公司，实际控制人为无锡市梁溪区人民政府国有资产监督管理办公室。（32）非标准化债权类资产：融资人为诸暨市城乡投资集团有限公司。融资人经营正常，是依法设立的国有公司，主要股东为诸暨市建设集团有限公司，实际控制人为诸暨市财政局。（33）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34）非标准化债权类资产：融资人为台州市黄岩国有资本投资运营集团有限公司。融资人经营正常，是依法设立的国有公司，主要股东为台州市黄岩区财政局，实际控制人为台州市黄岩区财政局。（35）非标准化债权类资产：融资人为镇江文化广电产业集团有限公司。融资人经营正常，是依法设立的国有公司，主要股东为镇江市广播电视台，实际控制人为江苏省镇江市人民政府。（36）非标准化债权类资产：融资人为绍兴市镜湖开发集团有限公司。融资人经营正常，是依法设立的国有公司，主要股东为绍兴市人民政府国有资产监督管理委员会，实际控制人为绍兴市人民政府国有资产监督管理委员会。（37）非标准化债权类资产：融资人为泰兴市城市投资发展集团有限公司。融资人经营正常，是依法设立的国有公司，主要股东为江苏平仲科技发展集团有限公司，实际控制人为泰兴市人民政府国有资产监督管理办公室。（38）收益凭证：融资人为中信证券股份有限公司。融资人经营正常，是依法设立的国有公司，主要股东为中国中信金融控股有限公司、香港中央结算（代理人）有限公司、广州越秀资本控股集团有限公司，实际控制人为中国中信集团有限公司。（39）收益凭证：融资人为中国国际金融股份有限公司。融资人经营正常，是依法设立的国有公司，主要股东为中央汇金投资有限责任公司、香港中央结算（代理人）有限公司、香港中央结算有限公司，实际控制人中央汇金投资有限责任公司。（40）收益凭证：融资人为中信建投证券股份有限公司。融资人经营正常，是依法设立的国有公司，主要股东为北京金融控股集团有限公司、中央汇金投资有限责任公司、香港中央结算（代理人）有限公司，实际控制人为中央汇金投资有限责任公司。（41）收益凭证：融资人为中国银河证券股份有限公司。融资人经营正常，是依法设立的国有公司，主要股东为中国银河金融控股有限责任公司、香港中央结算（代理人）有限公司、香港</w:t>
      </w:r>
      <w:r>
        <w:rPr>
          <w:rFonts w:hint="eastAsia" w:ascii="楷体" w:hAnsi="楷体" w:eastAsia="楷体" w:cs="楷体"/>
          <w:color w:val="auto"/>
          <w:kern w:val="2"/>
          <w:sz w:val="21"/>
          <w:szCs w:val="21"/>
          <w:highlight w:val="none"/>
          <w:lang w:val="en-US" w:eastAsia="zh-CN" w:bidi="ar-SA"/>
        </w:rPr>
        <w:t>中央结算有限公司，实际控制人为中央汇金投资有限责任公司。（42）收益凭证：融资人为华泰证券股份有限公司。融资人经营正常，是依法设立的国有公司，主要股东为江苏省国信集团有限公司、香港中央结算（代理人）有限公司、江苏交通控股有限公司，无实际控制人。（43）收益凭证：融资人为国泰海通证券股份有限公司。融资人经营正常，是依法设立的国有公司，主要股东为香港中央结算（代理人）有限公司、上海国有资产经营有限公司、上海国际集团有限公司，实际控制人为上海市国有资产监督管理委员会。（44）收益凭证：融资人为申万宏源证券有限公司。融资人经营正常，是依法设立的国有公司，主要股东为申万宏源集团股份有限公司，实际控制人为中央汇金投资有限责任公司。（45）收益凭证：融资人为东方证券股份有限公司。融资人经营正常，是依法设立的国有公司，主要股东为申能（集团）有限公司、香港中央结算（代理人）有限公司、上海海烟投资管理有限公司，实际控制人为上海市国有资产监督管理委员会。（46）收益凭证：融资人为浙商证券股份有限公司。融资人经营正常，是依法设立的国有公司，主要股东为浙江上三高速公路有限公司、台州市金融投资集团有限公司，实际控制人为浙江省交通投资集团有限公司。（47）收益凭证：融资人为国投证券股份有限公司。融资人经营正常，是依法设立的国有公司，主要股东为国投资本股份有限公司、上海毅胜投资有限公司，实际控制人为国家开发投资集团有限公司。</w:t>
      </w:r>
    </w:p>
    <w:p>
      <w:pPr>
        <w:numPr>
          <w:ilvl w:val="0"/>
          <w:numId w:val="0"/>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2）各资产到期日不超过理财产品投资周期终止日，循环期不还本、摊还期过手摊还本息；（3）-（37）各资产到期日不超过理财产品投资周期终止日，定期付息、到期一次性还本；（38）-（47）各资产到期日不超过理财产品投资周期终止日，到期一次性还本付息。</w:t>
      </w:r>
    </w:p>
    <w:p>
      <w:pPr>
        <w:numPr>
          <w:ilvl w:val="0"/>
          <w:numId w:val="0"/>
        </w:numPr>
        <w:ind w:firstLine="420" w:firstLineChars="200"/>
        <w:rPr>
          <w:rFonts w:hint="default"/>
          <w:highlight w:val="none"/>
          <w:lang w:val="en-US" w:eastAsia="zh-CN"/>
        </w:rPr>
      </w:pPr>
      <w:r>
        <w:rPr>
          <w:rFonts w:hint="eastAsia" w:ascii="楷体" w:hAnsi="楷体" w:eastAsia="楷体" w:cs="楷体"/>
          <w:color w:val="auto"/>
          <w:kern w:val="2"/>
          <w:sz w:val="21"/>
          <w:szCs w:val="21"/>
          <w:highlight w:val="none"/>
          <w:lang w:val="en-US" w:eastAsia="zh-CN" w:bidi="ar-SA"/>
        </w:rPr>
        <w:t>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numPr>
          <w:ilvl w:val="0"/>
          <w:numId w:val="0"/>
        </w:numPr>
        <w:ind w:firstLine="420" w:firstLineChars="200"/>
        <w:rPr>
          <w:rFonts w:hint="eastAsia" w:ascii="楷体" w:hAnsi="楷体" w:eastAsia="楷体"/>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r>
        <w:rPr>
          <w:rFonts w:hint="eastAsia" w:ascii="楷体" w:hAnsi="楷体" w:eastAsia="楷体"/>
          <w:sz w:val="21"/>
          <w:szCs w:val="21"/>
          <w:highlight w:val="none"/>
        </w:rPr>
        <w:t>：</w:t>
      </w:r>
    </w:p>
    <w:p>
      <w:pPr>
        <w:ind w:firstLine="420" w:firstLineChars="200"/>
        <w:rPr>
          <w:rFonts w:hint="eastAsia"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1 \* GB3 \* MERGEFORMAT </w:instrText>
      </w:r>
      <w:r>
        <w:rPr>
          <w:rFonts w:hint="default" w:ascii="Calibri" w:hAnsi="Calibri" w:eastAsia="楷体" w:cs="Calibri"/>
          <w:b w:val="0"/>
          <w:bCs w:val="0"/>
          <w:sz w:val="21"/>
          <w:szCs w:val="21"/>
          <w:highlight w:val="none"/>
        </w:rPr>
        <w:fldChar w:fldCharType="separate"/>
      </w:r>
      <w:r>
        <w:rPr>
          <w:highlight w:val="none"/>
        </w:rPr>
        <w:t>①</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江苏省国际信托有限责任公司</w:t>
      </w:r>
      <w:r>
        <w:rPr>
          <w:rFonts w:hint="eastAsia" w:ascii="楷体" w:hAnsi="楷体" w:eastAsia="楷体"/>
          <w:b w:val="0"/>
          <w:bCs w:val="0"/>
          <w:sz w:val="21"/>
          <w:szCs w:val="21"/>
          <w:highlight w:val="none"/>
          <w:lang w:eastAsia="zh-CN"/>
        </w:rPr>
        <w:t>：</w:t>
      </w:r>
      <w:r>
        <w:rPr>
          <w:rFonts w:hint="eastAsia" w:ascii="楷体" w:hAnsi="楷体" w:eastAsia="楷体"/>
          <w:b w:val="0"/>
          <w:bCs w:val="0"/>
          <w:sz w:val="21"/>
          <w:szCs w:val="21"/>
          <w:highlight w:val="none"/>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2 \* GB3 \* MERGEFORMAT </w:instrText>
      </w:r>
      <w:r>
        <w:rPr>
          <w:rFonts w:hint="default" w:ascii="Calibri" w:hAnsi="Calibri" w:eastAsia="楷体" w:cs="Calibri"/>
          <w:b w:val="0"/>
          <w:bCs w:val="0"/>
          <w:sz w:val="21"/>
          <w:szCs w:val="21"/>
          <w:highlight w:val="none"/>
        </w:rPr>
        <w:fldChar w:fldCharType="separate"/>
      </w:r>
      <w:r>
        <w:rPr>
          <w:highlight w:val="none"/>
        </w:rPr>
        <w:t>②</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创金合信基金管理有限公司</w:t>
      </w:r>
      <w:r>
        <w:rPr>
          <w:rFonts w:hint="eastAsia" w:ascii="楷体" w:hAnsi="楷体" w:eastAsia="楷体"/>
          <w:b w:val="0"/>
          <w:bCs w:val="0"/>
          <w:sz w:val="21"/>
          <w:szCs w:val="21"/>
          <w:highlight w:val="none"/>
          <w:lang w:eastAsia="zh-CN"/>
        </w:rPr>
        <w:t>：</w:t>
      </w:r>
      <w:r>
        <w:rPr>
          <w:rFonts w:ascii="楷体" w:hAnsi="楷体" w:eastAsia="楷体"/>
          <w:b w:val="0"/>
          <w:bCs w:val="0"/>
          <w:sz w:val="21"/>
          <w:szCs w:val="21"/>
          <w:highlight w:val="none"/>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highlight w:val="none"/>
          <w:lang w:val="en-US" w:eastAsia="zh-CN"/>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3 \* GB3 \* MERGEFORMAT </w:instrText>
      </w:r>
      <w:r>
        <w:rPr>
          <w:rFonts w:hint="default" w:ascii="Calibri" w:hAnsi="Calibri" w:eastAsia="楷体" w:cs="Calibri"/>
          <w:b w:val="0"/>
          <w:bCs w:val="0"/>
          <w:sz w:val="21"/>
          <w:szCs w:val="21"/>
          <w:highlight w:val="none"/>
        </w:rPr>
        <w:fldChar w:fldCharType="separate"/>
      </w:r>
      <w:r>
        <w:rPr>
          <w:highlight w:val="none"/>
        </w:rPr>
        <w:t>③</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highlight w:val="none"/>
          <w:lang w:val="en-US" w:eastAsia="zh-CN"/>
        </w:rPr>
      </w:pPr>
      <w:r>
        <w:rPr>
          <w:rFonts w:ascii="楷体" w:hAnsi="楷体" w:eastAsia="楷体"/>
          <w:b w:val="0"/>
          <w:bCs w:val="0"/>
          <w:sz w:val="21"/>
          <w:szCs w:val="21"/>
          <w:highlight w:val="none"/>
        </w:rPr>
        <w:fldChar w:fldCharType="begin"/>
      </w:r>
      <w:r>
        <w:rPr>
          <w:rFonts w:ascii="楷体" w:hAnsi="楷体" w:eastAsia="楷体"/>
          <w:b w:val="0"/>
          <w:bCs w:val="0"/>
          <w:sz w:val="21"/>
          <w:szCs w:val="21"/>
          <w:highlight w:val="none"/>
        </w:rPr>
        <w:instrText xml:space="preserve"> = 4 \* GB3 \* MERGEFORMAT </w:instrText>
      </w:r>
      <w:r>
        <w:rPr>
          <w:rFonts w:ascii="楷体" w:hAnsi="楷体" w:eastAsia="楷体"/>
          <w:b w:val="0"/>
          <w:bCs w:val="0"/>
          <w:sz w:val="21"/>
          <w:szCs w:val="21"/>
          <w:highlight w:val="none"/>
        </w:rPr>
        <w:fldChar w:fldCharType="separate"/>
      </w:r>
      <w:r>
        <w:rPr>
          <w:highlight w:val="none"/>
        </w:rPr>
        <w:t>④</w:t>
      </w:r>
      <w:r>
        <w:rPr>
          <w:rFonts w:ascii="楷体" w:hAnsi="楷体" w:eastAsia="楷体"/>
          <w:b w:val="0"/>
          <w:bCs w:val="0"/>
          <w:sz w:val="21"/>
          <w:szCs w:val="21"/>
          <w:highlight w:val="none"/>
        </w:rPr>
        <w:fldChar w:fldCharType="end"/>
      </w:r>
      <w:r>
        <w:rPr>
          <w:rFonts w:hint="eastAsia" w:ascii="楷体" w:hAnsi="楷体" w:eastAsia="楷体"/>
          <w:b w:val="0"/>
          <w:bCs w:val="0"/>
          <w:sz w:val="21"/>
          <w:szCs w:val="21"/>
          <w:highlight w:val="none"/>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5 \* GB3 \* MERGEFORMAT </w:instrText>
      </w:r>
      <w:r>
        <w:rPr>
          <w:rFonts w:hint="eastAsia" w:ascii="楷体" w:hAnsi="楷体" w:eastAsia="楷体"/>
          <w:b w:val="0"/>
          <w:bCs w:val="0"/>
          <w:sz w:val="21"/>
          <w:szCs w:val="21"/>
          <w:highlight w:val="none"/>
          <w:lang w:val="en-US" w:eastAsia="zh-CN"/>
        </w:rPr>
        <w:fldChar w:fldCharType="separate"/>
      </w:r>
      <w:r>
        <w:rPr>
          <w:highlight w:val="none"/>
        </w:rPr>
        <w:t>⑤</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6 \* GB3 \* MERGEFORMAT </w:instrText>
      </w:r>
      <w:r>
        <w:rPr>
          <w:rFonts w:hint="eastAsia" w:ascii="楷体" w:hAnsi="楷体" w:eastAsia="楷体"/>
          <w:b w:val="0"/>
          <w:bCs w:val="0"/>
          <w:sz w:val="21"/>
          <w:szCs w:val="21"/>
          <w:highlight w:val="none"/>
          <w:lang w:val="en-US" w:eastAsia="zh-CN"/>
        </w:rPr>
        <w:fldChar w:fldCharType="separate"/>
      </w:r>
      <w:r>
        <w:rPr>
          <w:highlight w:val="none"/>
        </w:rPr>
        <w:t>⑥</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7 \* GB3 \* MERGEFORMAT </w:instrText>
      </w:r>
      <w:r>
        <w:rPr>
          <w:rFonts w:hint="eastAsia" w:ascii="楷体" w:hAnsi="楷体" w:eastAsia="楷体"/>
          <w:b w:val="0"/>
          <w:bCs w:val="0"/>
          <w:sz w:val="21"/>
          <w:szCs w:val="21"/>
          <w:highlight w:val="none"/>
          <w:lang w:val="en-US" w:eastAsia="zh-CN"/>
        </w:rPr>
        <w:fldChar w:fldCharType="separate"/>
      </w:r>
      <w:r>
        <w:rPr>
          <w:highlight w:val="none"/>
        </w:rPr>
        <w:t>⑦</w:t>
      </w:r>
      <w:r>
        <w:rPr>
          <w:rFonts w:hint="eastAsia" w:ascii="楷体" w:hAnsi="楷体" w:eastAsia="楷体"/>
          <w:b w:val="0"/>
          <w:bCs w:val="0"/>
          <w:sz w:val="21"/>
          <w:szCs w:val="21"/>
          <w:highlight w:val="none"/>
          <w:lang w:val="en-US" w:eastAsia="zh-CN"/>
        </w:rPr>
        <w:fldChar w:fldCharType="end"/>
      </w:r>
      <w:r>
        <w:rPr>
          <w:rFonts w:hint="default" w:ascii="楷体" w:hAnsi="楷体" w:eastAsia="楷体"/>
          <w:b w:val="0"/>
          <w:bCs w:val="0"/>
          <w:sz w:val="21"/>
          <w:szCs w:val="21"/>
          <w:highlight w:val="none"/>
          <w:lang w:val="en-US" w:eastAsia="zh-CN"/>
        </w:rPr>
        <w:t>南方资本管理有限公司</w:t>
      </w:r>
      <w:r>
        <w:rPr>
          <w:rFonts w:hint="eastAsia" w:ascii="楷体" w:hAnsi="楷体" w:eastAsia="楷体"/>
          <w:b w:val="0"/>
          <w:bCs w:val="0"/>
          <w:sz w:val="21"/>
          <w:szCs w:val="21"/>
          <w:highlight w:val="none"/>
          <w:lang w:val="en-US" w:eastAsia="zh-CN"/>
        </w:rPr>
        <w:t>：</w:t>
      </w:r>
      <w:r>
        <w:rPr>
          <w:rFonts w:hint="default" w:ascii="楷体" w:hAnsi="楷体" w:eastAsia="楷体"/>
          <w:b w:val="0"/>
          <w:bCs w:val="0"/>
          <w:sz w:val="21"/>
          <w:szCs w:val="21"/>
          <w:highlight w:val="none"/>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w:t>
      </w:r>
      <w:r>
        <w:rPr>
          <w:rFonts w:hint="eastAsia" w:ascii="楷体" w:hAnsi="楷体" w:eastAsia="楷体" w:cs="Calibri"/>
          <w:b w:val="0"/>
          <w:bCs/>
          <w:sz w:val="21"/>
          <w:szCs w:val="21"/>
          <w:highlight w:val="none"/>
          <w:lang w:val="en-US" w:eastAsia="zh-CN"/>
        </w:rPr>
        <w:t>管理</w:t>
      </w:r>
      <w:r>
        <w:rPr>
          <w:rFonts w:hint="eastAsia" w:ascii="楷体" w:hAnsi="楷体" w:eastAsia="楷体" w:cs="Calibri"/>
          <w:b w:val="0"/>
          <w:bCs/>
          <w:sz w:val="21"/>
          <w:szCs w:val="21"/>
          <w:highlight w:val="none"/>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产品认购</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认购方式</w:t>
      </w:r>
      <w:r>
        <w:rPr>
          <w:rFonts w:hint="eastAsia" w:ascii="楷体" w:hAnsi="楷体" w:eastAsia="楷体" w:cs="Calibri"/>
          <w:color w:val="auto"/>
          <w:sz w:val="21"/>
          <w:szCs w:val="21"/>
          <w:highlight w:val="none"/>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认购份额的计算</w:t>
      </w:r>
    </w:p>
    <w:p>
      <w:pPr>
        <w:numPr>
          <w:ilvl w:val="-1"/>
          <w:numId w:val="0"/>
        </w:numPr>
        <w:ind w:left="0" w:firstLine="420" w:firstLineChars="200"/>
        <w:rPr>
          <w:rFonts w:hint="eastAsia" w:ascii="楷体" w:hAnsi="楷体" w:eastAsia="楷体" w:cs="Calibri"/>
          <w:color w:val="auto"/>
          <w:sz w:val="21"/>
          <w:szCs w:val="21"/>
          <w:highlight w:val="none"/>
          <w:lang w:val="en-US" w:eastAsia="zh-CN"/>
        </w:rPr>
      </w:pPr>
      <w:r>
        <w:rPr>
          <w:rFonts w:hint="eastAsia" w:ascii="楷体" w:hAnsi="楷体" w:eastAsia="楷体" w:cs="Calibri"/>
          <w:color w:val="auto"/>
          <w:sz w:val="21"/>
          <w:szCs w:val="21"/>
          <w:highlight w:val="none"/>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highlight w:val="none"/>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投资周期、开放计划</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本产品在每个投资周期结束前设置开放计划，时间为投资周期终止日前</w:t>
      </w:r>
      <w:r>
        <w:rPr>
          <w:rFonts w:hint="eastAsia" w:ascii="楷体" w:hAnsi="楷体" w:eastAsia="楷体"/>
          <w:sz w:val="21"/>
          <w:szCs w:val="21"/>
          <w:highlight w:val="none"/>
          <w:lang w:val="en-US" w:eastAsia="zh-CN"/>
        </w:rPr>
        <w:t>7个工作</w:t>
      </w:r>
      <w:r>
        <w:rPr>
          <w:rFonts w:hint="eastAsia" w:ascii="楷体" w:hAnsi="楷体" w:eastAsia="楷体"/>
          <w:sz w:val="21"/>
          <w:szCs w:val="21"/>
          <w:highlight w:val="none"/>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highlight w:val="none"/>
          <w:u w:val="single"/>
        </w:rPr>
        <w:t>除开放计划外的其他时间，管理人不接受投资者申购、赎回申请。</w:t>
      </w:r>
      <w:r>
        <w:rPr>
          <w:rFonts w:hint="eastAsia" w:ascii="楷体" w:hAnsi="楷体" w:eastAsia="楷体" w:cs="Calibri"/>
          <w:sz w:val="21"/>
          <w:szCs w:val="21"/>
          <w:highlight w:val="none"/>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申购、赎回的原则：投资者必须在产品开放计划内提出申购、赎回申请</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采用金额申购、份额赎回的原则，即申购以金额申请，赎回以份额申请。投资者提出申购申请时，须备足购买资金</w:t>
      </w:r>
      <w:r>
        <w:rPr>
          <w:rFonts w:hint="eastAsia" w:ascii="楷体" w:hAnsi="楷体" w:eastAsia="楷体" w:cs="Calibri"/>
          <w:sz w:val="21"/>
          <w:szCs w:val="21"/>
          <w:highlight w:val="none"/>
          <w:lang w:val="en-US" w:eastAsia="zh-CN"/>
        </w:rPr>
        <w:t>；</w:t>
      </w:r>
      <w:r>
        <w:rPr>
          <w:rFonts w:hint="eastAsia" w:ascii="楷体" w:hAnsi="楷体" w:eastAsia="楷体" w:cs="Calibri"/>
          <w:sz w:val="21"/>
          <w:szCs w:val="21"/>
          <w:highlight w:val="none"/>
        </w:rPr>
        <w:t>投资者提出赎回申请时，须有足够的理财产品份额余额。在开放计划内提交的申购/赎回申请可以在产品开放日</w:t>
      </w:r>
      <w:r>
        <w:rPr>
          <w:rFonts w:hint="eastAsia" w:ascii="楷体" w:hAnsi="楷体" w:eastAsia="楷体" w:cs="Calibri"/>
          <w:sz w:val="21"/>
          <w:szCs w:val="21"/>
          <w:highlight w:val="none"/>
          <w:lang w:val="en-US" w:eastAsia="zh-CN"/>
        </w:rPr>
        <w:t>闭市</w:t>
      </w:r>
      <w:r>
        <w:rPr>
          <w:rFonts w:hint="eastAsia" w:ascii="楷体" w:hAnsi="楷体" w:eastAsia="楷体" w:cs="Calibri"/>
          <w:sz w:val="21"/>
          <w:szCs w:val="21"/>
          <w:highlight w:val="none"/>
        </w:rPr>
        <w:t>前撤销，之后不得撤销。</w:t>
      </w:r>
      <w:r>
        <w:rPr>
          <w:rFonts w:hint="eastAsia" w:ascii="楷体" w:hAnsi="楷体" w:eastAsia="楷体"/>
          <w:sz w:val="21"/>
          <w:szCs w:val="21"/>
          <w:highlight w:val="none"/>
        </w:rPr>
        <w:t>（</w:t>
      </w:r>
      <w:r>
        <w:rPr>
          <w:rFonts w:hint="eastAsia" w:ascii="楷体" w:hAnsi="楷体" w:eastAsia="楷体" w:cs="Calibri"/>
          <w:sz w:val="21"/>
          <w:szCs w:val="21"/>
          <w:highlight w:val="none"/>
          <w:lang w:val="en-US" w:eastAsia="zh-CN"/>
        </w:rPr>
        <w:t>闭市时间</w:t>
      </w:r>
      <w:r>
        <w:rPr>
          <w:rFonts w:hint="eastAsia" w:ascii="楷体" w:hAnsi="楷体" w:eastAsia="楷体"/>
          <w:sz w:val="21"/>
          <w:szCs w:val="21"/>
          <w:highlight w:val="none"/>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申购份额的计算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申购份额=申购金额/开放日产品单位净值</w:t>
      </w:r>
      <w:r>
        <w:rPr>
          <w:rFonts w:hint="eastAsia" w:ascii="楷体" w:hAnsi="楷体" w:eastAsia="楷体"/>
          <w:sz w:val="21"/>
          <w:szCs w:val="21"/>
          <w:highlight w:val="none"/>
          <w:lang w:eastAsia="zh-CN"/>
        </w:rPr>
        <w:t>，</w:t>
      </w:r>
      <w:r>
        <w:rPr>
          <w:rFonts w:hint="eastAsia" w:ascii="楷体" w:hAnsi="楷体" w:eastAsia="楷体"/>
          <w:sz w:val="21"/>
          <w:szCs w:val="21"/>
          <w:highlight w:val="none"/>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赎回金额的计算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sz w:val="21"/>
          <w:szCs w:val="21"/>
          <w:highlight w:val="none"/>
          <w:lang w:eastAsia="zh-CN"/>
        </w:rPr>
        <w:t>，</w:t>
      </w:r>
      <w:r>
        <w:rPr>
          <w:rFonts w:hint="eastAsia" w:ascii="楷体" w:hAnsi="楷体" w:eastAsia="楷体"/>
          <w:sz w:val="21"/>
          <w:szCs w:val="21"/>
          <w:highlight w:val="none"/>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巨额赎回</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特殊情形及处理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w:t>
      </w:r>
      <w:r>
        <w:rPr>
          <w:rFonts w:hint="eastAsia" w:ascii="楷体" w:hAnsi="楷体" w:eastAsia="楷体"/>
          <w:sz w:val="21"/>
          <w:szCs w:val="21"/>
          <w:highlight w:val="none"/>
          <w:lang w:val="en-US" w:eastAsia="zh-CN"/>
        </w:rPr>
        <w:t>计划</w:t>
      </w:r>
      <w:r>
        <w:rPr>
          <w:rFonts w:hint="eastAsia" w:ascii="楷体" w:hAnsi="楷体" w:eastAsia="楷体"/>
          <w:sz w:val="21"/>
          <w:szCs w:val="21"/>
          <w:highlight w:val="none"/>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highlight w:val="none"/>
          <w:lang w:eastAsia="zh-CN"/>
        </w:rPr>
      </w:pPr>
      <w:r>
        <w:rPr>
          <w:rFonts w:hint="eastAsia" w:ascii="楷体" w:hAnsi="楷体" w:eastAsia="楷体"/>
          <w:b/>
          <w:sz w:val="21"/>
          <w:szCs w:val="21"/>
          <w:highlight w:val="none"/>
          <w:u w:val="single"/>
        </w:rPr>
        <w:t>以下示例均为假设情况，不代表本产品实际投资业绩</w:t>
      </w:r>
      <w:r>
        <w:rPr>
          <w:rFonts w:hint="eastAsia" w:ascii="楷体" w:hAnsi="楷体" w:eastAsia="楷体"/>
          <w:b/>
          <w:sz w:val="21"/>
          <w:szCs w:val="21"/>
          <w:highlight w:val="none"/>
          <w:u w:val="single"/>
          <w:lang w:eastAsia="zh-CN"/>
        </w:rPr>
        <w:t>。</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1.情景一</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20。理财产品单位净值大于面值，管理人可进行现金分红，每份额可获得的现金分红为0.0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该投资周期投资者可得分红=10,000.00×0.0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20.00（元）</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2.情景二</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highlight w:val="none"/>
        </w:rPr>
      </w:pPr>
      <w:r>
        <w:rPr>
          <w:rFonts w:hint="eastAsia" w:ascii="楷体" w:hAnsi="楷体" w:eastAsia="楷体"/>
          <w:b/>
          <w:sz w:val="21"/>
          <w:szCs w:val="21"/>
          <w:highlight w:val="none"/>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highlight w:val="none"/>
          <w:u w:val="single"/>
          <w:lang w:val="en-US" w:eastAsia="zh-CN"/>
        </w:rPr>
        <w:t>收益</w:t>
      </w:r>
      <w:r>
        <w:rPr>
          <w:rFonts w:hint="eastAsia" w:ascii="楷体" w:hAnsi="楷体" w:eastAsia="楷体"/>
          <w:b/>
          <w:sz w:val="21"/>
          <w:szCs w:val="21"/>
          <w:highlight w:val="none"/>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numPr>
          <w:ilvl w:val="0"/>
          <w:numId w:val="0"/>
        </w:numPr>
        <w:ind w:left="0" w:firstLine="420" w:firstLineChars="200"/>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ind w:firstLine="420" w:firstLineChars="200"/>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widowControl w:val="0"/>
        <w:numPr>
          <w:ilvl w:val="0"/>
          <w:numId w:val="0"/>
        </w:numPr>
        <w:tabs>
          <w:tab w:val="left" w:pos="1092"/>
        </w:tabs>
        <w:jc w:val="both"/>
        <w:rPr>
          <w:rFonts w:hint="eastAsia" w:ascii="楷体" w:hAnsi="楷体" w:eastAsia="楷体" w:cs="Calibri"/>
          <w:color w:val="auto"/>
          <w:sz w:val="21"/>
          <w:szCs w:val="21"/>
          <w:highlight w:val="none"/>
          <w:lang w:eastAsia="zh-CN"/>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lang w:val="en-US" w:eastAsia="zh-CN"/>
        </w:rPr>
        <w:t>情景示例</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以下示例均为假设情况，不代表本产品实际投资业绩。</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1.情景一</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-10,000.00=</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2.情景二</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-10,000.00=-</w:t>
      </w:r>
      <w:r>
        <w:rPr>
          <w:rFonts w:ascii="楷体" w:hAnsi="楷体" w:eastAsia="楷体"/>
          <w:color w:val="auto"/>
          <w:sz w:val="21"/>
          <w:szCs w:val="21"/>
          <w:highlight w:val="none"/>
        </w:rPr>
        <w:t>2</w:t>
      </w:r>
      <w:r>
        <w:rPr>
          <w:rFonts w:hint="eastAsia" w:ascii="楷体" w:hAnsi="楷体" w:eastAsia="楷体"/>
          <w:color w:val="auto"/>
          <w:sz w:val="21"/>
          <w:szCs w:val="21"/>
          <w:highlight w:val="none"/>
          <w:lang w:val="en-US" w:eastAsia="zh-CN"/>
        </w:rPr>
        <w:t>4</w:t>
      </w:r>
      <w:r>
        <w:rPr>
          <w:rFonts w:hint="eastAsia" w:ascii="楷体" w:hAnsi="楷体" w:eastAsia="楷体"/>
          <w:color w:val="auto"/>
          <w:sz w:val="21"/>
          <w:szCs w:val="21"/>
          <w:highlight w:val="none"/>
        </w:rPr>
        <w:t>.</w:t>
      </w:r>
      <w:r>
        <w:rPr>
          <w:rFonts w:ascii="楷体" w:hAnsi="楷体" w:eastAsia="楷体"/>
          <w:color w:val="auto"/>
          <w:sz w:val="21"/>
          <w:szCs w:val="21"/>
          <w:highlight w:val="none"/>
        </w:rPr>
        <w:t>0</w:t>
      </w:r>
      <w:r>
        <w:rPr>
          <w:rFonts w:hint="eastAsia" w:ascii="楷体" w:hAnsi="楷体" w:eastAsia="楷体"/>
          <w:color w:val="auto"/>
          <w:sz w:val="21"/>
          <w:szCs w:val="21"/>
          <w:highlight w:val="none"/>
          <w:lang w:val="en-US" w:eastAsia="zh-CN"/>
        </w:rPr>
        <w:t>6</w:t>
      </w:r>
      <w:r>
        <w:rPr>
          <w:rFonts w:hint="eastAsia" w:ascii="楷体" w:hAnsi="楷体" w:eastAsia="楷体"/>
          <w:color w:val="auto"/>
          <w:sz w:val="21"/>
          <w:szCs w:val="21"/>
          <w:highlight w:val="none"/>
        </w:rPr>
        <w:t>（元）</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最不利的情形下，投资者可能损失100%本金。</w:t>
      </w:r>
    </w:p>
    <w:p>
      <w:pPr>
        <w:ind w:left="0" w:leftChars="0" w:firstLine="422" w:firstLineChars="200"/>
        <w:rPr>
          <w:highlight w:val="none"/>
        </w:rPr>
      </w:pPr>
      <w:r>
        <w:rPr>
          <w:rFonts w:hint="eastAsia" w:ascii="楷体" w:hAnsi="楷体" w:eastAsia="楷体"/>
          <w:b/>
          <w:color w:val="auto"/>
          <w:sz w:val="21"/>
          <w:szCs w:val="21"/>
          <w:highlight w:val="none"/>
          <w:u w:val="single"/>
        </w:rPr>
        <w:t>上述情况假设仅用于向投资者示例收益计算方法之用，并不代表管理人对实际投资情况的预期判断，</w:t>
      </w:r>
      <w:r>
        <w:rPr>
          <w:rFonts w:hint="eastAsia" w:ascii="楷体" w:hAnsi="楷体" w:eastAsia="楷体"/>
          <w:b/>
          <w:color w:val="auto"/>
          <w:sz w:val="21"/>
          <w:szCs w:val="21"/>
          <w:highlight w:val="none"/>
          <w:u w:val="single"/>
          <w:lang w:val="en-US" w:eastAsia="zh-CN"/>
        </w:rPr>
        <w:t>也不代表</w:t>
      </w:r>
      <w:r>
        <w:rPr>
          <w:rFonts w:hint="eastAsia" w:ascii="楷体" w:hAnsi="楷体" w:eastAsia="楷体"/>
          <w:b/>
          <w:color w:val="auto"/>
          <w:sz w:val="21"/>
          <w:szCs w:val="21"/>
          <w:highlight w:val="none"/>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highlight w:val="none"/>
        </w:rPr>
      </w:pPr>
      <w:r>
        <w:rPr>
          <w:rFonts w:hint="eastAsia" w:ascii="楷体" w:hAnsi="楷体" w:eastAsia="楷体"/>
          <w:b/>
          <w:sz w:val="21"/>
          <w:szCs w:val="21"/>
          <w:highlight w:val="none"/>
        </w:rPr>
        <w:t>产品费用</w:t>
      </w:r>
    </w:p>
    <w:p>
      <w:pPr>
        <w:ind w:firstLine="420" w:firstLineChars="200"/>
        <w:rPr>
          <w:rFonts w:hint="default" w:ascii="楷体" w:hAnsi="楷体" w:eastAsia="楷体" w:cs="Calibri"/>
          <w:b w:val="0"/>
          <w:bCs/>
          <w:sz w:val="21"/>
          <w:szCs w:val="21"/>
          <w:highlight w:val="none"/>
          <w:lang w:val="en-US" w:eastAsia="zh-CN"/>
        </w:rPr>
      </w:pPr>
      <w:r>
        <w:rPr>
          <w:rFonts w:hint="eastAsia" w:ascii="楷体" w:hAnsi="楷体" w:eastAsia="楷体"/>
          <w:b w:val="0"/>
          <w:bCs/>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b w:val="0"/>
          <w:bCs/>
          <w:sz w:val="21"/>
          <w:szCs w:val="21"/>
          <w:highlight w:val="none"/>
        </w:rPr>
        <w:t>计提方法</w:t>
      </w:r>
      <w:r>
        <w:rPr>
          <w:rFonts w:hint="eastAsia" w:ascii="楷体" w:hAnsi="楷体" w:eastAsia="楷体" w:cs="Calibri"/>
          <w:b w:val="0"/>
          <w:bCs/>
          <w:sz w:val="21"/>
          <w:szCs w:val="21"/>
          <w:highlight w:val="none"/>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highlight w:val="none"/>
          <w:lang w:val="en-US" w:eastAsia="zh-CN"/>
        </w:rPr>
      </w:pPr>
      <w:r>
        <w:rPr>
          <w:rFonts w:hint="eastAsia" w:ascii="楷体" w:hAnsi="楷体" w:eastAsia="楷体"/>
          <w:sz w:val="21"/>
          <w:szCs w:val="21"/>
          <w:highlight w:val="none"/>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r>
        <w:rPr>
          <w:rFonts w:hint="eastAsia" w:ascii="楷体" w:hAnsi="楷体" w:eastAsia="楷体" w:cs="Calibri"/>
          <w:sz w:val="21"/>
          <w:szCs w:val="21"/>
          <w:highlight w:val="none"/>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信息披露</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highlight w:val="none"/>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highlight w:val="none"/>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其他</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追索条款</w:t>
      </w:r>
    </w:p>
    <w:p>
      <w:pPr>
        <w:ind w:firstLine="420" w:firstLineChars="200"/>
        <w:rPr>
          <w:rFonts w:ascii="楷体" w:hAnsi="楷体" w:eastAsia="楷体"/>
          <w:color w:val="auto"/>
          <w:sz w:val="21"/>
          <w:szCs w:val="21"/>
          <w:highlight w:val="none"/>
        </w:rPr>
      </w:pPr>
      <w:r>
        <w:rPr>
          <w:rFonts w:hint="eastAsia" w:ascii="楷体" w:hAnsi="楷体" w:eastAsia="楷体"/>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苏银理财及</w:t>
      </w:r>
      <w:r>
        <w:rPr>
          <w:rFonts w:hint="eastAsia" w:ascii="楷体" w:hAnsi="楷体" w:eastAsia="楷体"/>
          <w:color w:val="auto"/>
          <w:sz w:val="21"/>
          <w:szCs w:val="21"/>
          <w:highlight w:val="none"/>
          <w:lang w:val="en-US" w:eastAsia="zh-CN"/>
        </w:rPr>
        <w:t>销售</w:t>
      </w:r>
      <w:r>
        <w:rPr>
          <w:rFonts w:hint="eastAsia" w:ascii="楷体" w:hAnsi="楷体" w:eastAsia="楷体"/>
          <w:color w:val="auto"/>
          <w:sz w:val="21"/>
          <w:szCs w:val="21"/>
          <w:highlight w:val="none"/>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争议解决</w:t>
      </w:r>
    </w:p>
    <w:p>
      <w:pPr>
        <w:ind w:firstLine="420" w:firstLineChars="200"/>
        <w:jc w:val="left"/>
        <w:rPr>
          <w:rFonts w:hint="eastAsia"/>
          <w:highlight w:val="none"/>
        </w:rPr>
      </w:pP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的订立、生效、履行、解释、修改和终止等事项均适用中华人民共和国（</w:t>
      </w:r>
      <w:r>
        <w:rPr>
          <w:rFonts w:hint="eastAsia" w:ascii="楷体" w:hAnsi="楷体" w:eastAsia="楷体"/>
          <w:color w:val="auto"/>
          <w:sz w:val="21"/>
          <w:szCs w:val="21"/>
          <w:highlight w:val="none"/>
          <w:lang w:val="en-US" w:eastAsia="zh-CN"/>
        </w:rPr>
        <w:t>为本合同目的，</w:t>
      </w:r>
      <w:r>
        <w:rPr>
          <w:rFonts w:hint="eastAsia" w:ascii="楷体" w:hAnsi="楷体" w:eastAsia="楷体"/>
          <w:color w:val="auto"/>
          <w:sz w:val="21"/>
          <w:szCs w:val="21"/>
          <w:highlight w:val="none"/>
        </w:rPr>
        <w:t>不包括香港特别行政区、澳门特别行政区和台湾地区）法律。</w:t>
      </w:r>
      <w:r>
        <w:rPr>
          <w:rFonts w:hint="eastAsia" w:ascii="楷体" w:hAnsi="楷体" w:eastAsia="楷体"/>
          <w:color w:val="auto"/>
          <w:sz w:val="21"/>
          <w:szCs w:val="21"/>
          <w:highlight w:val="none"/>
          <w:lang w:val="en-US" w:eastAsia="zh-CN"/>
        </w:rPr>
        <w:t>因本产品说明书</w:t>
      </w:r>
      <w:r>
        <w:rPr>
          <w:rFonts w:hint="eastAsia" w:ascii="楷体" w:hAnsi="楷体" w:eastAsia="楷体"/>
          <w:color w:val="auto"/>
          <w:sz w:val="21"/>
          <w:szCs w:val="21"/>
          <w:highlight w:val="none"/>
        </w:rPr>
        <w:t>引起的或与</w:t>
      </w: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有关的任何争议，应当首先通过双方之间的友好协商解决；协商不成的，双方均有权提交产品管理人</w:t>
      </w:r>
      <w:r>
        <w:rPr>
          <w:rFonts w:hint="eastAsia" w:ascii="楷体" w:hAnsi="楷体" w:eastAsia="楷体"/>
          <w:color w:val="auto"/>
          <w:sz w:val="21"/>
          <w:szCs w:val="21"/>
          <w:highlight w:val="none"/>
          <w:lang w:val="en-US" w:eastAsia="zh-CN"/>
        </w:rPr>
        <w:t>住所地</w:t>
      </w:r>
      <w:r>
        <w:rPr>
          <w:rFonts w:hint="eastAsia" w:ascii="楷体" w:hAnsi="楷体" w:eastAsia="楷体"/>
          <w:color w:val="auto"/>
          <w:sz w:val="21"/>
          <w:szCs w:val="21"/>
          <w:highlight w:val="none"/>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C17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2</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2026-03-25T10:43:52Z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