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 w:before="100" w:beforeAutospacing="1" w:line="360" w:lineRule="auto"/>
        <w:jc w:val="center"/>
        <w:outlineLvl w:val="0"/>
        <w:rPr>
          <w:rFonts w:ascii="华文中宋" w:cs="华文中宋" w:eastAsia="华文中宋" w:hAnsi="华文中宋"/>
          <w:b/>
          <w:bCs/>
          <w:kern w:val="0"/>
          <w:sz w:val="36"/>
          <w:szCs w:val="36"/>
        </w:rPr>
      </w:pPr>
      <w:r>
        <w:rPr>
          <w:rFonts w:ascii="黑体" w:cs="黑体" w:eastAsia="黑体" w:hAnsi="黑体" w:hint="eastAsia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ascii="黑体" w:cs="黑体" w:eastAsia="黑体" w:hAnsi="黑体" w:hint="eastAsia"/>
          <w:b/>
          <w:bCs/>
          <w:kern w:val="0"/>
          <w:sz w:val="36"/>
          <w:szCs w:val="36"/>
          <w:lang w:eastAsia="zh-CN" w:val="en-US"/>
        </w:rPr>
        <w:t>产品</w:t>
      </w:r>
      <w:r>
        <w:rPr>
          <w:rFonts w:ascii="黑体" w:cs="黑体" w:eastAsia="黑体" w:hAnsi="黑体" w:hint="eastAsia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after="100" w:afterAutospacing="1" w:before="100" w:beforeAutospacing="1" w:line="360" w:lineRule="auto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after="100" w:afterAutospacing="1" w:before="100" w:beforeAutospacing="1" w:line="360" w:lineRule="auto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为满足投资者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的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理财需求，更好地为投资者提供服务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，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杭银理财拟对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的产品费用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type="dxa" w:w="8883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销售代码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费用类型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说明书约定的费率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调整后的费率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  <w:lang w:eastAsia="zh-CN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生效日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（</w:t>
            </w:r>
            <w:r>
              <w:rPr>
                <w:rFonts w:ascii="宋体" w:cs="宋体" w:eastAsia="宋体" w:hAnsi="宋体" w:hint="eastAsia"/>
                <w:color w:val="333333"/>
                <w:lang w:eastAsia="zh-CN" w:val="en-US"/>
              </w:rPr>
              <w:t>含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）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  <w:lang w:eastAsia="zh-CN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结束日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（</w:t>
            </w:r>
            <w:r>
              <w:rPr>
                <w:rFonts w:ascii="宋体" w:cs="宋体" w:eastAsia="宋体" w:hAnsi="宋体" w:hint="eastAsia"/>
                <w:color w:val="333333"/>
                <w:lang w:eastAsia="zh-CN" w:val="en-US"/>
              </w:rPr>
              <w:t>含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TYGC14D2402Z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固定管理费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0.30%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0.05%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2026-04-01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2026-06-30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TYGC14D2402Z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销售服务费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0.20%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0.05%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2026-04-01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2026-06-30</w:t>
            </w:r>
          </w:p>
        </w:tc>
      </w:tr>
    </w:tbl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</w:p>
    <w:p>
      <w:pPr>
        <w:widowControl/>
        <w:spacing w:after="100" w:afterAutospacing="1" w:before="100" w:beforeAutospacing="1"/>
        <w:ind w:firstLine="560" w:firstLineChars="200"/>
        <w:jc w:val="righ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after="100" w:afterAutospacing="1" w:before="100" w:beforeAutospacing="1"/>
        <w:ind w:firstLine="560" w:firstLineChars="200"/>
        <w:jc w:val="right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2026年3月26日</w:t>
      </w:r>
    </w:p>
    <w:sectPr>
      <w:headerReference r:id="rId3" w:type="default"/>
      <w:pgSz w:h="16838" w:w="11906"/>
      <w:pgMar w:bottom="2551" w:footer="992" w:gutter="0" w:header="851" w:left="1803" w:right="1803" w:top="2551"/>
      <w:cols w:num="1" w:space="0"/>
      <w:docGrid w:charSpace="0" w:linePitch="317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allowOverlap="1" behindDoc="1" distB="0" distL="114300" distR="114300" distT="0" layoutInCell="1" locked="0" relativeHeight="25165824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b="15240" l="0" r="0" t="0"/>
          <wp:wrapNone/>
          <wp:docPr descr="微信图片_20220817144322" id="5" name="WordPictureWatermark140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微信图片_20220817144322" id="5" name="WordPictureWatermark14062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mc:Ignorable="w14">
  <w:docDefaults>
    <w:rPrDefault>
      <w:rPr>
        <w:rFonts w:ascii="Calibri" w:cs="Times New Roman" w:eastAsia="宋体" w:hAnsi="Calibri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semiHidden="0" w:uiPriority="0"/>
    <w:lsdException w:name="heading 3" w:qFormat="1" w:semiHidden="0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qFormat="1" w:semiHidden="0" w:uiPriority="0" w:unhideWhenUsed="0"/>
    <w:lsdException w:name="footer" w:qFormat="1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qFormat="1" w:semiHidden="0" w:uiPriority="99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99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qFormat="1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styleId="2" w:type="paragraph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styleId="3" w:type="paragraph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styleId="4" w:type="paragraph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default="1" w:styleId="10" w:type="character">
    <w:name w:val="Default Paragraph Font"/>
    <w:semiHidden/>
    <w:unhideWhenUsed/>
    <w:qFormat/>
    <w:uiPriority w:val="1"/>
  </w:style>
  <w:style w:default="1" w:styleId="8" w:type="table">
    <w:name w:val="Normal Table"/>
    <w:semiHidden/>
    <w:unhideWhenUsed/>
    <w:qFormat/>
    <w:uiPriority w:val="99"/>
    <w:tblPr>
      <w:tblLayout w:type="fixed"/>
      <w:tblCellMar>
        <w:top w:type="dxa" w:w="0"/>
        <w:left w:type="dxa" w:w="108"/>
        <w:bottom w:type="dxa" w:w="0"/>
        <w:right w:type="dxa" w:w="108"/>
      </w:tblCellMar>
    </w:tblPr>
  </w:style>
  <w:style w:styleId="5" w:type="paragraph">
    <w:name w:val="footer"/>
    <w:basedOn w:val="1"/>
    <w:qFormat/>
    <w:uiPriority w:val="0"/>
    <w:pPr>
      <w:tabs>
        <w:tab w:pos="4153" w:val="center"/>
        <w:tab w:pos="8306" w:val="right"/>
      </w:tabs>
      <w:snapToGrid w:val="0"/>
      <w:jc w:val="left"/>
    </w:pPr>
    <w:rPr>
      <w:sz w:val="18"/>
    </w:rPr>
  </w:style>
  <w:style w:styleId="6" w:type="paragraph">
    <w:name w:val="header"/>
    <w:basedOn w:val="1"/>
    <w:qFormat/>
    <w:uiPriority w:val="0"/>
    <w:pPr>
      <w:pBdr>
        <w:top w:color="auto" w:space="1" w:sz="0" w:val="none"/>
        <w:left w:color="auto" w:space="4" w:sz="0" w:val="none"/>
        <w:bottom w:color="auto" w:space="1" w:sz="0" w:val="none"/>
        <w:right w:color="auto" w:space="4" w:sz="0" w:val="none"/>
      </w:pBdr>
      <w:tabs>
        <w:tab w:pos="4153" w:val="center"/>
        <w:tab w:pos="8306" w:val="right"/>
      </w:tabs>
      <w:snapToGrid w:val="0"/>
    </w:pPr>
    <w:rPr>
      <w:sz w:val="18"/>
    </w:rPr>
  </w:style>
  <w:style w:styleId="7" w:type="paragraph">
    <w:name w:val="Normal (Web)"/>
    <w:basedOn w:val="1"/>
    <w:unhideWhenUsed/>
    <w:qFormat/>
    <w:uiPriority w:val="99"/>
    <w:pPr>
      <w:widowControl/>
      <w:spacing w:after="100" w:afterAutospacing="1" w:before="100" w:beforeAutospacing="1"/>
      <w:jc w:val="left"/>
    </w:pPr>
    <w:rPr>
      <w:rFonts w:ascii="宋体" w:cs="宋体" w:eastAsia="宋体" w:hAnsi="宋体"/>
      <w:kern w:val="0"/>
      <w:sz w:val="24"/>
    </w:rPr>
  </w:style>
  <w:style w:styleId="9" w:type="table">
    <w:name w:val="Table Grid"/>
    <w:basedOn w:val="8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Layout w:type="fixed"/>
    </w:tblPr>
  </w:style>
  <w:style w:styleId="XDocReport_Hyperlink" w:type="character">
    <w:name w:val="Hyperlink"/>
    <!-- <w:basedOn w:val="Policepardfaut" /> -->
    <w:uiPriority w:val="99"/>
    <w:unhideWhenUsed/>
    <!-- <w:rsid w:val="00CB4FF3" /> -->
    <w:rPr>
      <w:color w:themeColor="hyperlink" w:val="0000FF"/>
      <w:u w:val="single"/>
    </w:rPr>
  </w:style>
  <w:style w:styleId="XDocReport_Heading_4" w:type="paragraph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XDocReport_Heading_5" w:type="paragraph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XDocReport_Heading_6" w:type="paragraph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156FBEF45315492997A928A82EDAEB25</vt:lpwstr>
  </property>
  <property fmtid="{D5CDD505-2E9C-101B-9397-08002B2CF9AE}" name="KSOProductBuildVer" pid="3">
    <vt:lpwstr>2052-11.8.2.8411</vt:lpwstr>
  </property>
</Properties>
</file>