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thumbnail.wmf" Type="http://schemas.openxmlformats.org/package/2006/relationships/metadata/thumbnail"/><Relationship Id="rId2" Target="docProps/app.xml" Type="http://schemas.openxmlformats.org/officeDocument/2006/relationships/extended-properties"/><Relationship Id="rId3" Target="docProps/core.xml" Type="http://schemas.openxmlformats.org/package/2006/relationships/metadata/core-properties"/><Relationship Id="rId4" Target="docProps/custom.xml" Type="http://schemas.openxmlformats.org/officeDocument/2006/relationships/custom-properties"/><Relationship Id="rId5"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heme="minorEastAsia" w:hAnsiTheme="minorEastAsia"/>
          <w:b/>
          <w:sz w:val="28"/>
          <w:szCs w:val="24"/>
        </w:rPr>
      </w:pPr>
      <w:r>
        <w:rPr>
          <w:rFonts w:hint="eastAsia" w:asciiTheme="minorEastAsia" w:hAnsiTheme="minorEastAsia"/>
          <w:b/>
          <w:sz w:val="28"/>
          <w:szCs w:val="24"/>
        </w:rPr>
        <w:t>青银理财理财产品客户权益须知</w:t>
      </w:r>
    </w:p>
    <w:p>
      <w:pPr>
        <w:spacing w:line="360" w:lineRule="auto"/>
        <w:rPr>
          <w:rFonts w:asciiTheme="minorEastAsia" w:hAnsiTheme="minorEastAsia"/>
          <w:sz w:val="24"/>
          <w:szCs w:val="24"/>
        </w:rPr>
      </w:pPr>
      <w:r>
        <w:rPr>
          <w:rFonts w:hint="eastAsia" w:asciiTheme="minorEastAsia" w:hAnsiTheme="minorEastAsia"/>
          <w:sz w:val="24"/>
          <w:szCs w:val="24"/>
        </w:rPr>
        <w:t>尊敬的客户:</w:t>
      </w:r>
    </w:p>
    <w:p>
      <w:pPr>
        <w:spacing w:line="360" w:lineRule="auto"/>
        <w:rPr>
          <w:rFonts w:asciiTheme="minorEastAsia" w:hAnsiTheme="minorEastAsia"/>
          <w:b/>
          <w:bCs/>
          <w:sz w:val="24"/>
          <w:szCs w:val="24"/>
        </w:rPr>
      </w:pPr>
      <w:r>
        <w:rPr>
          <w:rFonts w:hint="eastAsia" w:asciiTheme="minorEastAsia" w:hAnsiTheme="minorEastAsia"/>
          <w:sz w:val="24"/>
          <w:szCs w:val="24"/>
        </w:rPr>
        <w:t xml:space="preserve"> </w:t>
      </w:r>
      <w:r>
        <w:rPr>
          <w:rFonts w:asciiTheme="minorEastAsia" w:hAnsiTheme="minorEastAsia"/>
          <w:sz w:val="24"/>
          <w:szCs w:val="24"/>
        </w:rPr>
        <w:t xml:space="preserve">   </w:t>
      </w:r>
      <w:r>
        <w:rPr>
          <w:rFonts w:hint="eastAsia" w:asciiTheme="minorEastAsia" w:hAnsiTheme="minorEastAsia"/>
          <w:b/>
          <w:bCs/>
          <w:sz w:val="24"/>
          <w:szCs w:val="24"/>
        </w:rPr>
        <w:t>理财非存款，产品有风险，投资须谨慎。</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 xml:space="preserve">为了保护您/贵公司的合法权益，请在购买理财产品前认真阅读以下内容:    </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一、客户购买理财办理流程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持本人/公司有效身份证件开立理财账户。</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w:t>
      </w:r>
      <w:r>
        <w:rPr>
          <w:rFonts w:asciiTheme="minorEastAsia" w:hAnsiTheme="minorEastAsia"/>
          <w:sz w:val="24"/>
          <w:szCs w:val="24"/>
        </w:rPr>
        <w:t xml:space="preserve"> </w:t>
      </w:r>
      <w:r>
        <w:rPr>
          <w:rFonts w:hint="eastAsia" w:asciiTheme="minorEastAsia" w:hAnsiTheme="minorEastAsia"/>
          <w:sz w:val="24"/>
          <w:szCs w:val="24"/>
        </w:rPr>
        <w:t>个人/公司客户独立完成并接受本公司/销售机构对您/贵公司的风险承受能力评估， 根据评估结果选择适合的理财产品。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w:t>
      </w:r>
      <w:r>
        <w:rPr>
          <w:rFonts w:asciiTheme="minorEastAsia" w:hAnsiTheme="minorEastAsia"/>
          <w:sz w:val="24"/>
          <w:szCs w:val="24"/>
        </w:rPr>
        <w:t xml:space="preserve">. </w:t>
      </w:r>
      <w:r>
        <w:rPr>
          <w:rFonts w:hint="eastAsia" w:asciiTheme="minorEastAsia" w:hAnsiTheme="minorEastAsia"/>
          <w:sz w:val="24"/>
          <w:szCs w:val="24"/>
        </w:rPr>
        <w:t>个人/公司客户根据自身财务状况、投资经验、投资目的、收益预期、风险偏好、流动性要求、风险认识以及风险损失承受程度等方面，评估贵公司自身的投资需求和风险承受能力，选择适合贵公司投资需求和风险承受能力的理财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w:t>
      </w:r>
      <w:r>
        <w:rPr>
          <w:rFonts w:asciiTheme="minorEastAsia" w:hAnsiTheme="minorEastAsia"/>
          <w:sz w:val="24"/>
          <w:szCs w:val="24"/>
        </w:rPr>
        <w:t xml:space="preserve">. </w:t>
      </w:r>
      <w:r>
        <w:rPr>
          <w:rFonts w:hint="eastAsia" w:asciiTheme="minorEastAsia" w:hAnsiTheme="minorEastAsia"/>
          <w:sz w:val="24"/>
          <w:szCs w:val="24"/>
        </w:rPr>
        <w:t>理财产品销售机构通过营业网点向非机构投资者销售理财产品的，应当按照国家金融监督管理总局的相关规定实施理财产品销售专区管理，面向投资者严格有效区分理财产品与其他金融产品。理财产品销售机构应当在销售专区内对每只理财产品销售过程进行录音录像，销售专区应当具有明显标识。除非与非机构投资者当面书面约定，评级为四级以上理财产品销售，应当在营业网点进行。</w:t>
      </w:r>
    </w:p>
    <w:p>
      <w:pPr>
        <w:spacing w:line="360" w:lineRule="auto"/>
        <w:ind w:firstLine="480" w:firstLineChars="200"/>
        <w:rPr>
          <w:rFonts w:asciiTheme="minorEastAsia" w:hAnsiTheme="minorEastAsia"/>
          <w:sz w:val="24"/>
          <w:szCs w:val="24"/>
        </w:rPr>
      </w:pPr>
      <w:r>
        <w:rPr>
          <w:rFonts w:asciiTheme="minorEastAsia" w:hAnsiTheme="minorEastAsia"/>
          <w:sz w:val="24"/>
          <w:szCs w:val="24"/>
        </w:rPr>
        <w:t>5</w:t>
      </w:r>
      <w:r>
        <w:rPr>
          <w:rFonts w:hint="eastAsia" w:asciiTheme="minorEastAsia" w:hAnsiTheme="minorEastAsia"/>
          <w:sz w:val="24"/>
          <w:szCs w:val="24"/>
        </w:rPr>
        <w:t>. 仔细阅读本权益须知、投资协议书、理财产品说明书、 风险揭示书、销售协议书，确定已理解和同意相关内容、充分了解产品风险后，办理购买手续并签署《理财产品销售协议书》《理财产品风险揭示书》《理财产品投资协议书》等销售材料。</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二、普通投资者风险承受能力评估及产品评级</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w:t>
      </w:r>
      <w:r>
        <w:rPr>
          <w:rFonts w:asciiTheme="minorEastAsia" w:hAnsiTheme="minorEastAsia"/>
          <w:sz w:val="24"/>
          <w:szCs w:val="24"/>
        </w:rPr>
        <w:t xml:space="preserve"> </w:t>
      </w:r>
      <w:r>
        <w:rPr>
          <w:rFonts w:hint="eastAsia" w:asciiTheme="minorEastAsia" w:hAnsiTheme="minorEastAsia"/>
          <w:sz w:val="24"/>
          <w:szCs w:val="24"/>
        </w:rPr>
        <w:t>评估场所:首次在相应合规渠道购买理财产品时，您</w:t>
      </w:r>
      <w:r>
        <w:rPr>
          <w:rFonts w:hint="eastAsia" w:ascii="宋体" w:hAnsi="宋体" w:eastAsia="宋体"/>
          <w:sz w:val="24"/>
          <w:szCs w:val="24"/>
        </w:rPr>
        <w:t>/贵公司</w:t>
      </w:r>
      <w:r>
        <w:rPr>
          <w:rFonts w:hint="eastAsia" w:asciiTheme="minorEastAsia" w:hAnsiTheme="minorEastAsia"/>
          <w:sz w:val="24"/>
          <w:szCs w:val="24"/>
        </w:rPr>
        <w:t>需接受风险承受能力评估。此后您</w:t>
      </w:r>
      <w:r>
        <w:rPr>
          <w:rFonts w:hint="eastAsia" w:ascii="宋体" w:hAnsi="宋体" w:eastAsia="宋体"/>
          <w:sz w:val="24"/>
          <w:szCs w:val="24"/>
        </w:rPr>
        <w:t>/贵公司</w:t>
      </w:r>
      <w:r>
        <w:rPr>
          <w:rFonts w:hint="eastAsia" w:asciiTheme="minorEastAsia" w:hAnsiTheme="minorEastAsia"/>
          <w:sz w:val="24"/>
          <w:szCs w:val="24"/>
        </w:rPr>
        <w:t>可通过相应合规渠道定期或不定期地完成风险承受能力评估。</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评估流程:填写风险承受能力评估报告获知评估结果，您</w:t>
      </w:r>
      <w:r>
        <w:rPr>
          <w:rFonts w:hint="eastAsia" w:ascii="宋体" w:hAnsi="宋体" w:eastAsia="宋体"/>
          <w:sz w:val="24"/>
          <w:szCs w:val="24"/>
        </w:rPr>
        <w:t>/贵公司</w:t>
      </w:r>
      <w:r>
        <w:rPr>
          <w:rFonts w:hint="eastAsia" w:asciiTheme="minorEastAsia" w:hAnsiTheme="minorEastAsia"/>
          <w:sz w:val="24"/>
          <w:szCs w:val="24"/>
        </w:rPr>
        <w:t>和理财经理（如有）均应对评估结果签字确认。</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客户风险承受能力评级:本公司/销售机构根据客户的年龄、财务状况、投资经验，投资目的、收益预期、风险偏好、流动性要求、风险认识及风险损失承受程度等因素自行设计评估问卷并确定评估标准，本公司将客户风险承受能力分为五级，按照风险承受能力从低到高的顺序依次为:谨慎型、稳健型、平衡型、进取型、激进型。</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理财产品风险等级:本公司根据理财产品投资范围、风险收益特点、流动性等不同因素将理财产品分为五级，按照产品风险从低到高的顺序依次为:谨慎型产品(★)、稳健型产品(★★)、平衡型产品(★★★),进取型产品(★★★★).激进型产品(★★★★★)。</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w:t>
      </w:r>
      <w:r>
        <w:rPr>
          <w:rFonts w:hint="eastAsia"/>
        </w:rPr>
        <w:t xml:space="preserve"> </w:t>
      </w:r>
      <w:r>
        <w:rPr>
          <w:rFonts w:hint="eastAsia" w:asciiTheme="minorEastAsia" w:hAnsiTheme="minorEastAsia"/>
          <w:sz w:val="24"/>
          <w:szCs w:val="24"/>
        </w:rPr>
        <w:t>普通投资者风险承受能力与适合购买的理财产品的对应关系</w:t>
      </w:r>
    </w:p>
    <w:p>
      <w:pPr>
        <w:spacing w:line="360" w:lineRule="auto"/>
        <w:rPr>
          <w:rFonts w:asciiTheme="minorEastAsia" w:hAnsiTheme="minorEastAsia"/>
          <w:sz w:val="24"/>
          <w:szCs w:val="24"/>
        </w:rPr>
      </w:pP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69"/>
        <w:gridCol w:w="51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理财产品类型</w:t>
            </w:r>
          </w:p>
        </w:tc>
        <w:tc>
          <w:tcPr>
            <w:tcW w:w="5153" w:type="dxa"/>
          </w:tcPr>
          <w:p>
            <w:pPr>
              <w:spacing w:line="360" w:lineRule="auto"/>
              <w:jc w:val="center"/>
              <w:rPr>
                <w:rFonts w:asciiTheme="minorEastAsia" w:hAnsiTheme="minorEastAsia"/>
                <w:b/>
                <w:sz w:val="24"/>
                <w:szCs w:val="24"/>
              </w:rPr>
            </w:pPr>
            <w:r>
              <w:rPr>
                <w:rFonts w:hint="eastAsia" w:asciiTheme="minorEastAsia" w:hAnsiTheme="minorEastAsia"/>
                <w:b/>
                <w:sz w:val="24"/>
                <w:szCs w:val="24"/>
              </w:rPr>
              <w:t>适合购买的客户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谨慎型产品(★)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风险承受能力评级为谨慎型及以上的客户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稳健型产品(★★)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风险承受能力评级为稳健型及以上的客户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平衡型产品(★★★)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风险承受能力评级为平衡型及以上的客户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进取型产品(★★★★)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风险承受能力评级为进取型及以上的客户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369" w:type="dxa"/>
          </w:tcPr>
          <w:p>
            <w:pPr>
              <w:spacing w:line="360" w:lineRule="auto"/>
              <w:jc w:val="center"/>
              <w:rPr>
                <w:rFonts w:asciiTheme="minorEastAsia" w:hAnsiTheme="minorEastAsia"/>
                <w:sz w:val="24"/>
                <w:szCs w:val="24"/>
              </w:rPr>
            </w:pPr>
            <w:r>
              <w:rPr>
                <w:rFonts w:hint="eastAsia" w:asciiTheme="minorEastAsia" w:hAnsiTheme="minorEastAsia"/>
                <w:sz w:val="24"/>
                <w:szCs w:val="24"/>
              </w:rPr>
              <w:t>激进型产品(★★★★★)</w:t>
            </w:r>
          </w:p>
        </w:tc>
        <w:tc>
          <w:tcPr>
            <w:tcW w:w="5153" w:type="dxa"/>
          </w:tcPr>
          <w:p>
            <w:pPr>
              <w:spacing w:line="360" w:lineRule="auto"/>
              <w:jc w:val="center"/>
              <w:rPr>
                <w:rFonts w:asciiTheme="minorEastAsia" w:hAnsiTheme="minorEastAsia"/>
                <w:sz w:val="24"/>
                <w:szCs w:val="24"/>
              </w:rPr>
            </w:pPr>
            <w:r>
              <w:rPr>
                <w:rFonts w:hint="eastAsia" w:asciiTheme="minorEastAsia" w:hAnsiTheme="minorEastAsia"/>
                <w:sz w:val="24"/>
                <w:szCs w:val="24"/>
              </w:rPr>
              <w:t>风险承受能力评级为激进型的客户</w:t>
            </w:r>
          </w:p>
        </w:tc>
      </w:tr>
    </w:tbl>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我司客户风险承受能力评测结果有效期为一年。如果您</w:t>
      </w:r>
      <w:r>
        <w:rPr>
          <w:rFonts w:hint="eastAsia" w:ascii="宋体" w:hAnsi="宋体" w:eastAsia="宋体"/>
          <w:sz w:val="24"/>
          <w:szCs w:val="24"/>
        </w:rPr>
        <w:t>/贵公司</w:t>
      </w:r>
      <w:r>
        <w:rPr>
          <w:rFonts w:hint="eastAsia" w:asciiTheme="minorEastAsia" w:hAnsiTheme="minorEastAsia"/>
          <w:sz w:val="24"/>
          <w:szCs w:val="24"/>
        </w:rPr>
        <w:t>超过一年未在本公司进行风险承受能力评估，或者发生影响您</w:t>
      </w:r>
      <w:r>
        <w:rPr>
          <w:rFonts w:hint="eastAsia" w:ascii="宋体" w:hAnsi="宋体" w:eastAsia="宋体"/>
          <w:sz w:val="24"/>
          <w:szCs w:val="24"/>
        </w:rPr>
        <w:t>/贵公司</w:t>
      </w:r>
      <w:r>
        <w:rPr>
          <w:rFonts w:hint="eastAsia" w:asciiTheme="minorEastAsia" w:hAnsiTheme="minorEastAsia"/>
          <w:sz w:val="24"/>
          <w:szCs w:val="24"/>
        </w:rPr>
        <w:t>自身风险承受能力的情况，请在购买理财产品前主动要求并接受本公司对您</w:t>
      </w:r>
      <w:r>
        <w:rPr>
          <w:rFonts w:hint="eastAsia" w:ascii="宋体" w:hAnsi="宋体" w:eastAsia="宋体"/>
          <w:sz w:val="24"/>
          <w:szCs w:val="24"/>
        </w:rPr>
        <w:t>/贵公司</w:t>
      </w:r>
      <w:r>
        <w:rPr>
          <w:rFonts w:hint="eastAsia" w:asciiTheme="minorEastAsia" w:hAnsiTheme="minorEastAsia"/>
          <w:sz w:val="24"/>
          <w:szCs w:val="24"/>
        </w:rPr>
        <w:t>的再次评估。</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三、注意事项</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 理财发行期内，青银理财对客户购买申请提交成功后对应理财购买资金实时扣款。客户可在理财发行期内取消认购，发行期过后，本公司不接受取消认购的申请。青银理财在理财起息日自动确认起息，并进入产品存续期。产品到期后本公司将理财本金和收益一次性兑付客户，产品到期日至理财资金到账日期间本公司不计付利息。</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 因客户购买资金扣款失败导致本理财计划认购失败的，青银理财不承担责任。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3. 因账户冻结、挂失、换卡、销户、长期不动户等原因造成客户理财账户变更或异常的，客户应及时办理变更手续，如因客户未及时办理变更手续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4. 因有权机关采取强制措施对客户相关账户予以冻结或对客户的资金予以冻结、扣划、处置而导致理财认购失败或者理财到期资金入账失败的，青银理财不承担责任。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5. 客户如对理财收益存有异议，应在其知晓或应当知晓其收益后的5个工作日内向青银理财提出，否则视为对该收益的认可。本协议中涉及的所有日期如遇国家法定假日，则顺延至下一个工作日，由此导致的风险，青银理财不承担责任。</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 有关本理财产品是否可以提前终止等相关事宜已在对应期次的《产品说明书》和《风险提示书》中载明。本理财计划的相关税款由客户自行缴纳。</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7. 因自然灾害、火灾、战争、罢工或者国家有关法律、法规、政策及市场环境的突然改变等不可抗力或非青银理财原因导致理财产品无法募集成立或理财运作，兑付被延误、终止等任何风险及损失，青银理财不承担责任，但青银理财将在条件允许的情况下及时通知客户，并采取一切必要的补救措施以减小不可抗力造成的损失。</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8. 理财产品对应期次的《理财产品销售协议书》《理财产品说明书》《理财产品投资协议书》《理财产品风险揭示书》《理财产品客户权益须知》等共同构成青银理财与客户就购买本理财产品相关事宜的全部协议。如客户与青银理财之间存在多份理财产品协议，则各份协议之间相互独立，每一份协议的效力及履行情况均独立于其他协议合同。</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 本理财销售协议适用中华人民共和国的法律。本协议项下的及与之有关的一切争议，双方应首先友好协商解决，协商不成的，任何一方应提交青岛仲裁委员会按照其仲裁规则进行仲裁，仲裁地点在青岛。</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四、信息披露的方式、渠道和频率</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有关产品相关信息的披露方式、渠道和频率，客户可根据《产品说明书》中所载明的信息公告约定进行查询。</w:t>
      </w:r>
    </w:p>
    <w:p>
      <w:pPr>
        <w:spacing w:line="360" w:lineRule="auto"/>
        <w:ind w:firstLine="482" w:firstLineChars="200"/>
        <w:rPr>
          <w:rFonts w:asciiTheme="minorEastAsia" w:hAnsiTheme="minorEastAsia"/>
          <w:b/>
          <w:sz w:val="24"/>
          <w:szCs w:val="24"/>
        </w:rPr>
      </w:pPr>
      <w:r>
        <w:rPr>
          <w:rFonts w:hint="eastAsia" w:asciiTheme="minorEastAsia" w:hAnsiTheme="minorEastAsia"/>
          <w:b/>
          <w:sz w:val="24"/>
          <w:szCs w:val="24"/>
        </w:rPr>
        <w:t>五、客户投诉的方式和程序</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如您/贵公司对所购买的理财计划有任何意见或建议，请联系青银理财销售人员，我司将及时受理并给予答复。</w:t>
      </w:r>
    </w:p>
    <w:p>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六、联络方式</w:t>
      </w:r>
    </w:p>
    <w:p>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（一） 销售机构： 浙江嵊州农村商业银行股份有限公司；客服热线：4008896596。</w:t>
      </w:r>
    </w:p>
    <w:p>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 青银理财网站：</w:t>
      </w:r>
      <w:r>
        <w:fldChar w:fldCharType="begin"/>
      </w:r>
      <w:r>
        <w:instrText xml:space="preserve"> HYPERLINK "http://www.bqd-wm.com" </w:instrText>
      </w:r>
      <w:r>
        <w:fldChar w:fldCharType="separate"/>
      </w:r>
      <w:r>
        <w:rPr>
          <w:rStyle w:val="10"/>
          <w:rFonts w:hint="eastAsia" w:asciiTheme="minorEastAsia" w:hAnsiTheme="minorEastAsia"/>
          <w:sz w:val="24"/>
          <w:szCs w:val="24"/>
        </w:rPr>
        <w:t>www.bqd-wm.com</w:t>
      </w:r>
      <w:r>
        <w:rPr>
          <w:rStyle w:val="10"/>
          <w:rFonts w:hint="eastAsia" w:asciiTheme="minorEastAsia" w:hAnsiTheme="minorEastAsia"/>
          <w:sz w:val="24"/>
          <w:szCs w:val="24"/>
        </w:rPr>
        <w:fldChar w:fldCharType="end"/>
      </w:r>
      <w:r>
        <w:rPr>
          <w:rFonts w:hint="eastAsia" w:asciiTheme="minorEastAsia" w:hAnsiTheme="minorEastAsia"/>
          <w:sz w:val="24"/>
          <w:szCs w:val="24"/>
        </w:rPr>
        <w:t>；客服热线：</w:t>
      </w:r>
      <w:r>
        <w:rPr>
          <w:rFonts w:asciiTheme="minorEastAsia" w:hAnsiTheme="minorEastAsia"/>
          <w:sz w:val="24"/>
          <w:szCs w:val="24"/>
        </w:rPr>
        <w:t>4000879666</w:t>
      </w:r>
      <w:r>
        <w:rPr>
          <w:rFonts w:hint="eastAsia" w:asciiTheme="minorEastAsia" w:hAnsiTheme="minorEastAsia"/>
          <w:sz w:val="24"/>
          <w:szCs w:val="24"/>
        </w:rPr>
        <w:t>。</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3CEA"/>
    <w:rsid w:val="00063058"/>
    <w:rsid w:val="000944B0"/>
    <w:rsid w:val="000D039C"/>
    <w:rsid w:val="000E5F3C"/>
    <w:rsid w:val="00100590"/>
    <w:rsid w:val="00136DB3"/>
    <w:rsid w:val="001512CC"/>
    <w:rsid w:val="00151EF6"/>
    <w:rsid w:val="00164375"/>
    <w:rsid w:val="001A3E23"/>
    <w:rsid w:val="001B6C59"/>
    <w:rsid w:val="001F6C05"/>
    <w:rsid w:val="002026DE"/>
    <w:rsid w:val="00231B5E"/>
    <w:rsid w:val="002B1435"/>
    <w:rsid w:val="002C1670"/>
    <w:rsid w:val="002E0120"/>
    <w:rsid w:val="003016E7"/>
    <w:rsid w:val="00304FB1"/>
    <w:rsid w:val="00350A29"/>
    <w:rsid w:val="00354D8C"/>
    <w:rsid w:val="00357ACD"/>
    <w:rsid w:val="0037148F"/>
    <w:rsid w:val="00394A84"/>
    <w:rsid w:val="003F51A3"/>
    <w:rsid w:val="00406DED"/>
    <w:rsid w:val="004211ED"/>
    <w:rsid w:val="0047246C"/>
    <w:rsid w:val="0048036E"/>
    <w:rsid w:val="00493B0D"/>
    <w:rsid w:val="004A26B0"/>
    <w:rsid w:val="004A6B83"/>
    <w:rsid w:val="004D78EA"/>
    <w:rsid w:val="004D7FD4"/>
    <w:rsid w:val="005225DA"/>
    <w:rsid w:val="005232BC"/>
    <w:rsid w:val="00550829"/>
    <w:rsid w:val="005808EA"/>
    <w:rsid w:val="00583892"/>
    <w:rsid w:val="00587011"/>
    <w:rsid w:val="005A4D1A"/>
    <w:rsid w:val="00631BFA"/>
    <w:rsid w:val="0064726C"/>
    <w:rsid w:val="00647F7C"/>
    <w:rsid w:val="00655E7A"/>
    <w:rsid w:val="00663F15"/>
    <w:rsid w:val="006864FE"/>
    <w:rsid w:val="006A5ADC"/>
    <w:rsid w:val="00713142"/>
    <w:rsid w:val="00746C84"/>
    <w:rsid w:val="007E1409"/>
    <w:rsid w:val="007F3B7F"/>
    <w:rsid w:val="008274FB"/>
    <w:rsid w:val="008340A4"/>
    <w:rsid w:val="00855376"/>
    <w:rsid w:val="008745FF"/>
    <w:rsid w:val="00884E00"/>
    <w:rsid w:val="008F5E6E"/>
    <w:rsid w:val="009149A6"/>
    <w:rsid w:val="00931C0C"/>
    <w:rsid w:val="0093248A"/>
    <w:rsid w:val="00940842"/>
    <w:rsid w:val="009D2E6D"/>
    <w:rsid w:val="009E2D26"/>
    <w:rsid w:val="00A3426C"/>
    <w:rsid w:val="00A349CB"/>
    <w:rsid w:val="00A457A7"/>
    <w:rsid w:val="00A80940"/>
    <w:rsid w:val="00A91916"/>
    <w:rsid w:val="00AE6AB0"/>
    <w:rsid w:val="00AF4D9A"/>
    <w:rsid w:val="00B23D0A"/>
    <w:rsid w:val="00B37516"/>
    <w:rsid w:val="00B57F6F"/>
    <w:rsid w:val="00C03E4E"/>
    <w:rsid w:val="00C100F4"/>
    <w:rsid w:val="00C137F3"/>
    <w:rsid w:val="00C16107"/>
    <w:rsid w:val="00C301A6"/>
    <w:rsid w:val="00C9574F"/>
    <w:rsid w:val="00CC110C"/>
    <w:rsid w:val="00CC2A0F"/>
    <w:rsid w:val="00D00729"/>
    <w:rsid w:val="00D1299B"/>
    <w:rsid w:val="00D231E1"/>
    <w:rsid w:val="00D26C35"/>
    <w:rsid w:val="00D54421"/>
    <w:rsid w:val="00D7198E"/>
    <w:rsid w:val="00DA2DAF"/>
    <w:rsid w:val="00DD1162"/>
    <w:rsid w:val="00DE3FC4"/>
    <w:rsid w:val="00DF1F76"/>
    <w:rsid w:val="00E07437"/>
    <w:rsid w:val="00E43CEA"/>
    <w:rsid w:val="00EA2D50"/>
    <w:rsid w:val="00EA4073"/>
    <w:rsid w:val="00ED4418"/>
    <w:rsid w:val="00ED7592"/>
    <w:rsid w:val="00EF31A3"/>
    <w:rsid w:val="00F10509"/>
    <w:rsid w:val="00F12B15"/>
    <w:rsid w:val="00F20FDB"/>
    <w:rsid w:val="00F64330"/>
    <w:rsid w:val="00F71D0A"/>
    <w:rsid w:val="00F82113"/>
    <w:rsid w:val="00F85083"/>
    <w:rsid w:val="00F944F4"/>
    <w:rsid w:val="00FA5DFD"/>
    <w:rsid w:val="00FD63C6"/>
    <w:rsid w:val="00FF13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7"/>
    <w:semiHidden/>
    <w:unhideWhenUsed/>
    <w:uiPriority w:val="99"/>
    <w:rPr>
      <w:sz w:val="18"/>
      <w:szCs w:val="18"/>
    </w:rPr>
  </w:style>
  <w:style w:type="paragraph" w:styleId="4">
    <w:name w:val="footer"/>
    <w:basedOn w:val="1"/>
    <w:link w:val="13"/>
    <w:unhideWhenUsed/>
    <w:uiPriority w:val="99"/>
    <w:pPr>
      <w:tabs>
        <w:tab w:val="center" w:pos="4153"/>
        <w:tab w:val="right" w:pos="8306"/>
      </w:tabs>
      <w:snapToGrid w:val="0"/>
      <w:jc w:val="left"/>
    </w:pPr>
    <w:rPr>
      <w:sz w:val="18"/>
      <w:szCs w:val="18"/>
    </w:rPr>
  </w:style>
  <w:style w:type="paragraph" w:styleId="5">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semiHidden/>
    <w:unhideWhenUsed/>
    <w:qFormat/>
    <w:uiPriority w:val="99"/>
    <w:rPr>
      <w:b/>
      <w:bCs/>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unhideWhenUsed/>
    <w:qFormat/>
    <w:uiPriority w:val="99"/>
    <w:rPr>
      <w:color w:val="0000FF" w:themeColor="hyperlink"/>
      <w:u w:val="single"/>
      <w14:textFill>
        <w14:solidFill>
          <w14:schemeClr w14:val="hlink"/>
        </w14:solidFill>
      </w14:textFill>
    </w:rPr>
  </w:style>
  <w:style w:type="character" w:styleId="11">
    <w:name w:val="annotation reference"/>
    <w:basedOn w:val="9"/>
    <w:semiHidden/>
    <w:unhideWhenUsed/>
    <w:uiPriority w:val="99"/>
    <w:rPr>
      <w:sz w:val="21"/>
      <w:szCs w:val="21"/>
    </w:rPr>
  </w:style>
  <w:style w:type="character" w:customStyle="1" w:styleId="12">
    <w:name w:val="页眉 字符"/>
    <w:basedOn w:val="9"/>
    <w:link w:val="5"/>
    <w:uiPriority w:val="99"/>
    <w:rPr>
      <w:sz w:val="18"/>
      <w:szCs w:val="18"/>
    </w:rPr>
  </w:style>
  <w:style w:type="character" w:customStyle="1" w:styleId="13">
    <w:name w:val="页脚 字符"/>
    <w:basedOn w:val="9"/>
    <w:link w:val="4"/>
    <w:qFormat/>
    <w:uiPriority w:val="99"/>
    <w:rPr>
      <w:sz w:val="18"/>
      <w:szCs w:val="18"/>
    </w:rPr>
  </w:style>
  <w:style w:type="paragraph" w:customStyle="1" w:styleId="14">
    <w:name w:val="Revision"/>
    <w:hidden/>
    <w:semiHidden/>
    <w:uiPriority w:val="99"/>
    <w:rPr>
      <w:rFonts w:asciiTheme="minorHAnsi" w:hAnsiTheme="minorHAnsi" w:eastAsiaTheme="minorEastAsia" w:cstheme="minorBidi"/>
      <w:kern w:val="2"/>
      <w:sz w:val="21"/>
      <w:szCs w:val="22"/>
      <w:lang w:val="en-US" w:eastAsia="zh-CN" w:bidi="ar-SA"/>
    </w:rPr>
  </w:style>
  <w:style w:type="character" w:customStyle="1" w:styleId="15">
    <w:name w:val="批注文字 字符"/>
    <w:basedOn w:val="9"/>
    <w:link w:val="2"/>
    <w:semiHidden/>
    <w:qFormat/>
    <w:uiPriority w:val="99"/>
  </w:style>
  <w:style w:type="character" w:customStyle="1" w:styleId="16">
    <w:name w:val="批注主题 字符"/>
    <w:basedOn w:val="15"/>
    <w:link w:val="6"/>
    <w:semiHidden/>
    <w:qFormat/>
    <w:uiPriority w:val="99"/>
    <w:rPr>
      <w:b/>
      <w:bCs/>
    </w:rPr>
  </w:style>
  <w:style w:type="character" w:customStyle="1" w:styleId="17">
    <w:name w:val="批注框文本 字符"/>
    <w:basedOn w:val="9"/>
    <w:link w:val="3"/>
    <w:semiHidden/>
    <w:qFormat/>
    <w:uiPriority w:val="99"/>
    <w:rPr>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Pages>
  <Words>361</Words>
  <Characters>2059</Characters>
  <Lines>17</Lines>
  <Paragraphs>4</Paragraphs>
  <TotalTime>0</TotalTime>
  <ScaleCrop>false</ScaleCrop>
  <LinksUpToDate>false</LinksUpToDate>
  <CharactersWithSpaces>2416</CharactersWithSpaces>
  <Application>WPS Office_11.8.2.12119_F1E327BC-269C-435d-A152-05C5408002CA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2026-03-02T08:49:00Z</dcterms:created>
  <dc:creator>吕增顺</dc:creator>
  <cp:lastModifiedBy>qdccb</cp:lastModifiedBy>
  <cp:lastPrinted>2023-02-14T09:00:00Z</cp:lastPrinted>
  <dcterms:modified xsi:type="dcterms:W3CDTF">2026-03-11T03:25:09Z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2052-11.8.2.12119</vt:lpwstr>
  </property>
  <property fmtid="{D5CDD505-2E9C-101B-9397-08002B2CF9AE}" pid="3" name="ICV">
    <vt:lpwstr>CA7EB2E0FF4849B986AB4F96A923836A</vt:lpwstr>
  </property>
</Properties>
</file>