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幸福99丰裕固收386天26056期理财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幸福99丰裕固收386天26056期理财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幸福99丰裕固收386天26056期理财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幸福99丰裕固收386天26056期理财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幸福99丰裕固收386天26056期理财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386</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幸福99丰裕固收386天26056期理财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Z7002226000142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幸福99丰裕固收386天26056期理财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幸福99丰裕固收386天26056期理财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幸福99丰裕固收386天26056期理财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幸福99丰裕固收386天26056期理财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幸福99丰裕固收386天26056期理财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幸福99丰裕固收386天26056期理财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bookmarkStart w:id="0" w:name="_GoBack"/>
      <w:bookmarkEnd w:id="0"/>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幸福99丰裕固收386天26056期理财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丰裕固收26056期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FYG26056</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Z7002226000142</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A份额（销售代码〖FYG26056A〗）：普通个人投资者和机构客户。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B份额（销售代码〖FYG26056B〗）：普通个人投资者和机构客户。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C份额（销售代码〖FYG26056C〗）：普通个人投资者和机构客户。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D份额（销售代码〖FYG26056D〗）：普通个人投资者和机构客户。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E份额（公司专属）（销售代码〖FYG26056E〗）：普通个人投资者和机构客户。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G份额（销售代码〖FYG26056G〗）：普通个人投资者和机构客户。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H份额（北行专属）（销售代码〖FYG26056H〗）：普通个人投资者和机构客户。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I份额（爽盈优选）（销售代码〖FYG26056I〗）：普通个人投资者和机构客户。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J份额（销售代码〖FYG26056J〗）：普通个人投资者和机构客户。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K份额（鲲鹏优选）（销售代码〖FYG26056K〗）：普通个人投资者和机构客户。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M份额（天府·优选）（销售代码〖FYG26056M〗）：普通个人投资者和机构客户。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N份额惠享款（长长财富·专属）（销售代码〖FYG26056N〗）：普通个人投资者和机构客户。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O份额（销售代码〖FYG26056O〗）：普通个人投资者和机构客户。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P份额（芙蓉锦程·优选）（销售代码〖FYG26056P〗）：普通个人投资者和机构客户。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Q份额（销售代码〖FYG26056Q〗）：普通个人投资者和机构客户。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R份额惠享款吉行十二号（销售代码〖FYG26056R〗）：普通个人投资者和机构客户。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S份额（销售代码〖FYG26056S〗）：浙商银行浙江省内分行网点开户的客户。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T份额惠享款（齐鲁-逢六有约）（销售代码〖FYG26056T〗）：普通个人投资者和机构客户。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V份额（金芙蓉专属）（销售代码〖FYG26056V〗）：普通个人投资者和机构客户。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W份额惠享款（销售代码〖FYG26056W〗）：普通个人投资者和机构客户。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X份额（销售代码〖FYG26056X〗）：普通个人投资者。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Y份额惠享款（销售代码〖FYG26056Y〗）：普通个人投资者和机构客户。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Z份额惠享款（销售代码〖FYG26056Z〗）：普通个人投资者和机构客户。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ZA份额惠享款（销售代码〖FYG26056ZA〗）：普通个人投资者和机构客户。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14</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20</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21</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12</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〖S份额〗起点〖1〗元整，超过认购起点部分，应为〖1〗元的整数倍。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本理财计划〖H份额〗业绩比较基准为〖2.50%-2.70%〗（年化）。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本理财计划〖S份额〗业绩比较基准为〖2.65%-2.85%〗（年化）。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本理财计划〖T份额〗业绩比较基准为〖2.56%-2.76%〗（年化）。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〖H份额〗收取年化〖0.20%〗的销售服务费,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〖R份额〗收取年化〖0.15%〗的销售服务费, 〖S份额〗收取年化〖0.10%〗的销售服务费,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〖S份额〗收取年化〖0.05%〗的固定管理费, 〖T份额〗收取年化〖0.09%〗的固定管理费, 〖V份额〗收取年化〖0.10%〗的固定管理费, 〖W份额〗收取年化〖0.10%〗的固定管理费, 〖X份额〗收取年化〖0.10%〗的固定管理费, 〖Y份额〗收取年化〖0.10%〗的固定管理费, 〖Z份额〗收取年化〖0.10%〗的固定管理费, 〖ZA份额〗收取年化〖0.10%〗的固定管理费。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古田县农村信用合作联社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吉林农村商业银行股份有限公司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吉林省长春市朝阳区人民大街7251号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寿宁县农村信用合作联社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尤溪县农村信用合作联社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惠安县农村信用合作联社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成都农村商业银行股份有限公司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新韩银行（中国）有限公司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无锡农村商业银行股份有限公司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昆仑银行股份有限公司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明溪县农村信用合作联社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松溪县农村信用合作联社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永春县农村信用合作联社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江苏丹阳农村商业银行股份有限公司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江苏南通农村商业银行股份有限公司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江苏启东农村商业银行股份有限公司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江苏如皋农村商业银行股份有限公司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江苏常熟农村商业银行股份有限公司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江苏扬州农村商业银行股份有限公司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江苏昆山农村商业银行股份有限公司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江苏江南农村商业银行股份有限公司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江苏江阴农村商业银行股份有限公司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江苏泗阳农村商业银行股份有限公司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江苏高邮农村商业银行股份有限公司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浦城县农村信用合作联社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烟台银行股份有限公司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烟台市芝罘区海港路25号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0535-6691305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甘肃银行股份有限公司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甘肃省兰州市城关区东岗西路525号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0931-8771864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福建三明农村商业银行股份有限公司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福建上杭农村商业银行股份有限公司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福建仙游农村商业银行股份有限公司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福建南安农村商业银行股份有限公司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福建宁德农村商业银行股份有限公司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福建安溪农村商业银行股份有限公司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福建平和农村商业银行股份有限公司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福建建瓯农村商业银行股份有限公司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福建晋江农村商业银行股份有限公司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福建沙县农村商业银行股份有限公司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福建海峡银行股份有限公司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福建石狮农村商业银行股份有限公司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福建莆田农村商业银行股份有限公司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福建连江农村商业银行股份有限公司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福建邵武农村商业银行股份有限公司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福建长乐农村商业银行股份有限公司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福建龙岩农村商业银行股份有限公司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福鼎市农村信用合作联社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秦皇岛银行股份有限公司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河北省秦皇岛市海港区河北大街西段560号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0335-5911161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罗源县农村信用合作联社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苏州银行股份有限公司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辽宁农村商业银行股份有限公司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连城县农村信用合作联社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长安银行股份有限公司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闽侯县农村信用合作联社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闽清县农村信用合作联社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青海大通农村商业银行股份有限公司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青海西宁农村商业银行股份有限公司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顺昌县农村信用合作联社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龙岩市永定区农村信用合作联社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O份额〗、〖P份额〗、〖Q份额〗、〖S份额〗、〖V份额〗、〖X份额〗和销售服务费于产品成立日一次性收取的〖N份额〗、〖R份额〗、〖T份额〗、〖W份额〗、〖Y份额〗、〖Z份额〗、〖ZA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H份额的年化销售服务费率为〖0.20%〗,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R份额的年化销售服务费率为〖0.15%〗, S份额的年化销售服务费率为〖0.10%〗,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S份额的年化固定管理费率为〖0.05%〗, T份额的年化固定管理费率为〖0.09%〗, V份额的年化固定管理费率为〖0.10%〗, W份额的年化固定管理费率为〖0.10%〗, X份额的年化固定管理费率为〖0.10%〗, Y份额的年化固定管理费率为〖0.10%〗, Z份额的年化固定管理费率为〖0.10%〗, ZA份额的年化固定管理费率为〖0.10%〗,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7CD2388"/>
    <w:rsid w:val="089F06F0"/>
    <w:rsid w:val="08EC59C1"/>
    <w:rsid w:val="09012D55"/>
    <w:rsid w:val="093A6D15"/>
    <w:rsid w:val="09C724A3"/>
    <w:rsid w:val="09C80899"/>
    <w:rsid w:val="0A057859"/>
    <w:rsid w:val="0C9E7500"/>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3FFDD4F4"/>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40560</Words>
  <Characters>44202</Characters>
  <Lines>1</Lines>
  <Paragraphs>1</Paragraphs>
  <TotalTime>0</TotalTime>
  <ScaleCrop>false</ScaleCrop>
  <LinksUpToDate>false</LinksUpToDate>
  <CharactersWithSpaces>44705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2026-04-10T00:45:01Z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491748FF9B02D5C65C56D769A3BBF2FE_43</vt:lpwstr>
  </property>
</Properties>
</file>