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left="141" w:hanging="141" w:hangingChars="50"/>
        <w:jc w:val="center"/>
        <w:rPr>
          <w:rFonts w:ascii="宋体" w:hAnsi="宋体"/>
          <w:b/>
          <w:sz w:val="24"/>
        </w:rPr>
      </w:pPr>
      <w:r>
        <w:rPr>
          <w:rFonts w:hint="eastAsia" w:ascii="宋体" w:hAnsi="宋体"/>
          <w:b/>
          <w:sz w:val="28"/>
          <w:szCs w:val="28"/>
          <w:lang w:val="en-US" w:eastAsia="zh-CN"/>
        </w:rPr>
        <w:t>北银理财</w:t>
      </w:r>
      <w:r>
        <w:rPr>
          <w:rFonts w:hint="eastAsia" w:ascii="宋体" w:hAnsi="宋体"/>
          <w:b/>
          <w:sz w:val="28"/>
          <w:szCs w:val="28"/>
        </w:rPr>
        <w:t>理财产品销售文件的调整公告</w:t>
      </w:r>
    </w:p>
    <w:p>
      <w:pPr>
        <w:spacing w:line="360" w:lineRule="auto"/>
        <w:rPr>
          <w:rFonts w:ascii="宋体" w:hAnsi="宋体"/>
          <w:b/>
          <w:sz w:val="24"/>
        </w:rPr>
      </w:pPr>
      <w:r>
        <w:rPr>
          <w:rFonts w:hint="eastAsia" w:ascii="宋体" w:hAnsi="宋体"/>
          <w:b/>
          <w:sz w:val="24"/>
        </w:rPr>
        <w:t>尊敬的投资者：</w:t>
      </w:r>
    </w:p>
    <w:p>
      <w:pPr>
        <w:spacing w:line="360" w:lineRule="auto"/>
        <w:ind w:firstLine="480" w:firstLineChars="200"/>
        <w:rPr>
          <w:rFonts w:hint="eastAsia" w:ascii="宋体" w:hAnsi="宋体"/>
          <w:sz w:val="24"/>
        </w:rPr>
      </w:pPr>
      <w:r>
        <w:rPr>
          <w:rFonts w:hint="eastAsia" w:ascii="宋体" w:hAnsi="宋体"/>
          <w:sz w:val="24"/>
          <w:lang w:val="en-US" w:eastAsia="zh-CN"/>
        </w:rPr>
        <w:t>为更好地保护投资者权益，</w:t>
      </w:r>
      <w:r>
        <w:rPr>
          <w:rFonts w:hint="eastAsia" w:ascii="宋体" w:hAnsi="宋体"/>
          <w:sz w:val="24"/>
        </w:rPr>
        <w:t>产品管理人拟对</w:t>
      </w:r>
      <w:r>
        <w:rPr>
          <w:rFonts w:hint="eastAsia" w:ascii="宋体" w:hAnsi="宋体"/>
          <w:sz w:val="24"/>
          <w:lang w:val="en-US" w:eastAsia="zh-CN"/>
        </w:rPr>
        <w:t>2026</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15</w:t>
      </w:r>
      <w:r>
        <w:rPr>
          <w:rFonts w:hint="eastAsia" w:ascii="宋体" w:hAnsi="宋体"/>
          <w:sz w:val="24"/>
        </w:rPr>
        <w:t>日存续的理财产品（</w:t>
      </w:r>
      <w:r>
        <w:rPr>
          <w:rFonts w:hint="eastAsia" w:ascii="宋体" w:hAnsi="宋体"/>
          <w:sz w:val="24"/>
          <w:lang w:val="en-US" w:eastAsia="zh-CN"/>
        </w:rPr>
        <w:t>产品代码、</w:t>
      </w:r>
      <w:r>
        <w:rPr>
          <w:rFonts w:hint="eastAsia" w:ascii="宋体" w:hAnsi="宋体"/>
          <w:sz w:val="24"/>
        </w:rPr>
        <w:t>产品名称、产品登记编码、产品成立日见公告附件）销售文件进行</w:t>
      </w:r>
      <w:r>
        <w:rPr>
          <w:rFonts w:hint="eastAsia" w:ascii="宋体" w:hAnsi="宋体"/>
          <w:sz w:val="24"/>
          <w:lang w:val="en-US" w:eastAsia="zh-CN"/>
        </w:rPr>
        <w:t>修订，</w:t>
      </w:r>
      <w:r>
        <w:rPr>
          <w:rFonts w:hint="eastAsia" w:ascii="宋体" w:hAnsi="宋体"/>
          <w:sz w:val="24"/>
        </w:rPr>
        <w:t>本次调整不影响产品的风险评级</w:t>
      </w:r>
      <w:r>
        <w:rPr>
          <w:rFonts w:hint="eastAsia" w:ascii="宋体" w:hAnsi="宋体"/>
          <w:sz w:val="24"/>
          <w:lang w:val="en-US" w:eastAsia="zh-CN"/>
        </w:rPr>
        <w:t>及投资运作</w:t>
      </w:r>
      <w:r>
        <w:rPr>
          <w:rFonts w:hint="eastAsia" w:ascii="宋体" w:hAnsi="宋体"/>
          <w:sz w:val="24"/>
          <w:lang w:eastAsia="zh-CN"/>
        </w:rPr>
        <w:t>，</w:t>
      </w:r>
      <w:r>
        <w:rPr>
          <w:rFonts w:hint="eastAsia" w:ascii="宋体" w:hAnsi="宋体"/>
          <w:sz w:val="24"/>
          <w:lang w:val="en-US" w:eastAsia="zh-CN"/>
        </w:rPr>
        <w:t>具体内容如下：</w:t>
      </w:r>
    </w:p>
    <w:p>
      <w:pPr>
        <w:pStyle w:val="2"/>
        <w:numPr>
          <w:ilvl w:val="0"/>
          <w:numId w:val="1"/>
        </w:numPr>
        <w:ind w:left="480" w:leftChars="0" w:firstLine="0" w:firstLineChars="0"/>
        <w:rPr>
          <w:rFonts w:hint="eastAsia" w:ascii="宋体" w:hAnsi="宋体"/>
          <w:sz w:val="24"/>
          <w:lang w:val="en-US" w:eastAsia="zh-CN"/>
        </w:rPr>
      </w:pPr>
      <w:r>
        <w:rPr>
          <w:rFonts w:hint="eastAsia" w:ascii="宋体" w:hAnsi="宋体"/>
          <w:sz w:val="24"/>
          <w:lang w:val="en-US" w:eastAsia="zh-CN"/>
        </w:rPr>
        <w:t>适用于所有存续产品的调整</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1.《理财产品说明书》中的“二、释义”中清算期定义调整为：“清算期：指自本理财产品到期日/终止日至投资者理财本金及收益到账日之间为本理财产品的清算期。”</w:t>
      </w:r>
    </w:p>
    <w:p>
      <w:pPr>
        <w:spacing w:line="360" w:lineRule="auto"/>
        <w:ind w:firstLine="480" w:firstLineChars="200"/>
        <w:rPr>
          <w:rFonts w:hint="default" w:ascii="宋体" w:hAnsi="宋体"/>
          <w:sz w:val="24"/>
          <w:lang w:val="en-US" w:eastAsia="zh-CN"/>
        </w:rPr>
      </w:pPr>
      <w:r>
        <w:rPr>
          <w:rFonts w:hint="eastAsia" w:ascii="宋体" w:hAnsi="宋体"/>
          <w:sz w:val="24"/>
          <w:lang w:val="en-US" w:eastAsia="zh-CN"/>
        </w:rPr>
        <w:t>2.《理财产品说明书》中的“五、产品的募集和认购”中的“（六）受理时间和确认时间”中相关认购失败退回资金表述调整为“如资金已划转至产品管理人，产品管理人将于本产品原定成立日将对应资金退回销售机构，由销售机构退回投资者；如资金尚未划转至产品管理人，则由销售机构退回投资者。”</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textAlignment w:val="auto"/>
        <w:rPr>
          <w:rFonts w:hint="eastAsia" w:ascii="宋体" w:hAnsi="宋体"/>
          <w:sz w:val="24"/>
          <w:lang w:val="en-US" w:eastAsia="zh-CN"/>
        </w:rPr>
      </w:pPr>
      <w:r>
        <w:rPr>
          <w:rFonts w:hint="eastAsia" w:ascii="宋体" w:hAnsi="宋体"/>
          <w:sz w:val="24"/>
          <w:lang w:val="en-US" w:eastAsia="zh-CN"/>
        </w:rPr>
        <w:t>3.《理财产品说明书》中的“八、产品的终止与清算”中“（三）产品的清算”的关于清算期表述调整为“自本理财产品到期日/终止日至投资者理财本金及收益到账日之间为本理财产品的清算期。清算期原则上不得超过5个工作日，清算期超过5个工作日的，本理财产品到期日/终止日前，产品管理人将至少提前1个工作日通过本理财产品销售文件约定的信息披露渠道发布相关信息公告通知投资者。”</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textAlignment w:val="auto"/>
        <w:rPr>
          <w:rFonts w:hint="eastAsia" w:ascii="宋体" w:hAnsi="宋体"/>
          <w:sz w:val="24"/>
          <w:lang w:val="en-US" w:eastAsia="zh-CN"/>
        </w:rPr>
      </w:pPr>
      <w:r>
        <w:rPr>
          <w:rFonts w:hint="eastAsia" w:ascii="宋体" w:hAnsi="宋体"/>
          <w:sz w:val="24"/>
          <w:lang w:val="en-US" w:eastAsia="zh-CN"/>
        </w:rPr>
        <w:t>4.《理财产品说明书》中的“</w:t>
      </w:r>
      <w:r>
        <w:rPr>
          <w:rFonts w:hint="eastAsia" w:ascii="宋体" w:hAnsi="宋体"/>
          <w:sz w:val="24"/>
        </w:rPr>
        <w:t>三、产品概况和基本要素</w:t>
      </w:r>
      <w:r>
        <w:rPr>
          <w:rFonts w:hint="eastAsia" w:ascii="宋体" w:hAnsi="宋体"/>
          <w:sz w:val="24"/>
          <w:lang w:val="en-US" w:eastAsia="zh-CN"/>
        </w:rPr>
        <w:t>”以及“</w:t>
      </w:r>
      <w:r>
        <w:rPr>
          <w:rFonts w:hint="eastAsia" w:ascii="宋体" w:hAnsi="宋体"/>
          <w:sz w:val="24"/>
        </w:rPr>
        <w:t>九、产品的费用</w:t>
      </w:r>
      <w:r>
        <w:rPr>
          <w:rFonts w:hint="eastAsia" w:ascii="宋体" w:hAnsi="宋体"/>
          <w:sz w:val="24"/>
          <w:lang w:eastAsia="zh-CN"/>
        </w:rPr>
        <w:t>”</w:t>
      </w:r>
      <w:r>
        <w:rPr>
          <w:rFonts w:hint="eastAsia" w:ascii="宋体" w:hAnsi="宋体"/>
          <w:sz w:val="24"/>
          <w:lang w:val="en-US" w:eastAsia="zh-CN"/>
        </w:rPr>
        <w:t>中关于</w:t>
      </w:r>
      <w:r>
        <w:rPr>
          <w:rFonts w:hint="eastAsia" w:ascii="宋体" w:hAnsi="宋体"/>
          <w:sz w:val="24"/>
        </w:rPr>
        <w:t>其他成本费用</w:t>
      </w:r>
      <w:r>
        <w:rPr>
          <w:rFonts w:hint="eastAsia" w:ascii="宋体" w:hAnsi="宋体"/>
          <w:sz w:val="24"/>
          <w:lang w:val="en-US" w:eastAsia="zh-CN"/>
        </w:rPr>
        <w:t>表述调整为“</w:t>
      </w:r>
      <w:r>
        <w:rPr>
          <w:rFonts w:hint="eastAsia" w:ascii="宋体" w:hAnsi="宋体"/>
          <w:sz w:val="24"/>
        </w:rPr>
        <w:t>本理财产品运作和清算中产生的其他资金汇划费、结算费、交易手续费、注册登记费、账户服务费/维护费、进行本理财产品销售文件约定的投资而发生的交易费用、根据国家有关规定应当在本理财产品收益或资产中扣除的法定费用、本理财产品存续期间发生的信息披露费用、与本理财产品相关的会计师费（如审计费等）和律师费以及本理财产品销售文件约定可扣除的其他费用(包括交易发生的税费、手续费等)均属于本理财产品的其他成本费用，由产品管理人依照相关法律文件的约定在向投资者分配资金前从理财产品中支付</w:t>
      </w:r>
      <w:r>
        <w:rPr>
          <w:rFonts w:hint="eastAsia" w:ascii="宋体" w:hAnsi="宋体"/>
          <w:sz w:val="24"/>
          <w:lang w:eastAsia="zh-CN"/>
        </w:rPr>
        <w:t>。</w:t>
      </w:r>
      <w:r>
        <w:rPr>
          <w:rFonts w:hint="eastAsia" w:ascii="宋体" w:hAnsi="宋体"/>
          <w:sz w:val="24"/>
          <w:lang w:val="en-US" w:eastAsia="zh-CN"/>
        </w:rPr>
        <w:t>”</w:t>
      </w:r>
    </w:p>
    <w:p>
      <w:pPr>
        <w:pStyle w:val="5"/>
        <w:rPr>
          <w:rFonts w:hint="eastAsia"/>
          <w:lang w:val="en-US" w:eastAsia="zh-CN"/>
        </w:rPr>
      </w:pPr>
    </w:p>
    <w:p>
      <w:pPr>
        <w:pStyle w:val="2"/>
        <w:numPr>
          <w:ilvl w:val="0"/>
          <w:numId w:val="1"/>
        </w:numPr>
        <w:ind w:left="480" w:leftChars="0" w:firstLine="0" w:firstLineChars="0"/>
        <w:rPr>
          <w:rFonts w:hint="eastAsia" w:ascii="宋体" w:hAnsi="宋体"/>
          <w:sz w:val="24"/>
          <w:lang w:val="en-US" w:eastAsia="zh-CN"/>
        </w:rPr>
      </w:pPr>
      <w:r>
        <w:rPr>
          <w:rFonts w:hint="eastAsia" w:ascii="宋体" w:hAnsi="宋体"/>
          <w:sz w:val="24"/>
          <w:lang w:val="en-US" w:eastAsia="zh-CN"/>
        </w:rPr>
        <w:t>适用于谋定止盈系列产品的调整</w:t>
      </w:r>
    </w:p>
    <w:p>
      <w:pPr>
        <w:pStyle w:val="2"/>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1.</w:t>
      </w:r>
      <w:r>
        <w:rPr>
          <w:rFonts w:hint="eastAsia" w:ascii="宋体" w:hAnsi="宋体"/>
          <w:sz w:val="24"/>
        </w:rPr>
        <w:t>《理财产品说明书》中的“三、产品概况和基本要素”中“止盈目标收益率”中关于止盈观察日顺延的表述调整为“若某个止盈观察日，本理财产品[  类份额]成立以来年化收益率不低于止盈目标收益率，则本理财产品在该止盈观察日后的第</w:t>
      </w:r>
      <w:r>
        <w:rPr>
          <w:rFonts w:hint="eastAsia" w:ascii="宋体" w:hAnsi="宋体"/>
          <w:sz w:val="24"/>
          <w:lang w:val="en-US" w:eastAsia="zh-CN"/>
        </w:rPr>
        <w:t>3</w:t>
      </w:r>
      <w:r>
        <w:rPr>
          <w:rFonts w:hint="eastAsia" w:ascii="宋体" w:hAnsi="宋体"/>
          <w:sz w:val="24"/>
        </w:rPr>
        <w:t>个交易日提前终止（如该提前终止日为非交易日，或该提前终止日次日为非交易日，则相应顺延至下一个交易日，且该交易日次日不得为非交易日）。”</w:t>
      </w:r>
    </w:p>
    <w:p>
      <w:pPr>
        <w:pStyle w:val="2"/>
        <w:numPr>
          <w:ilvl w:val="-1"/>
          <w:numId w:val="0"/>
        </w:numPr>
        <w:spacing w:beforeLines="0" w:afterLines="0" w:line="360" w:lineRule="auto"/>
        <w:ind w:left="0" w:leftChars="0" w:firstLine="480" w:firstLineChars="200"/>
        <w:rPr>
          <w:rFonts w:hint="eastAsia" w:ascii="宋体" w:hAnsi="宋体"/>
          <w:sz w:val="24"/>
          <w:lang w:val="en-US" w:eastAsia="zh-CN"/>
        </w:rPr>
      </w:pPr>
      <w:r>
        <w:rPr>
          <w:rFonts w:hint="eastAsia" w:ascii="宋体" w:hAnsi="宋体"/>
          <w:sz w:val="24"/>
          <w:lang w:val="en-US" w:eastAsia="zh-CN"/>
        </w:rPr>
        <w:t>2.</w:t>
      </w:r>
      <w:r>
        <w:rPr>
          <w:rFonts w:hint="eastAsia" w:ascii="宋体" w:hAnsi="宋体"/>
          <w:sz w:val="24"/>
        </w:rPr>
        <w:t>《理财产品说明书》中的“ 八、产品的终止与清算”中“（一）产品的提前终止”的关于止盈观察日表述调整为“【若某个止盈观察日，本理财产品[  类份额]成立以来年化收益率不低于止盈目标收益率，则本理财产品在该止盈观察日后的第</w:t>
      </w:r>
      <w:r>
        <w:rPr>
          <w:rFonts w:hint="eastAsia" w:ascii="宋体" w:hAnsi="宋体"/>
          <w:sz w:val="24"/>
          <w:lang w:val="en-US" w:eastAsia="zh-CN"/>
        </w:rPr>
        <w:t>3</w:t>
      </w:r>
      <w:r>
        <w:rPr>
          <w:rFonts w:hint="eastAsia" w:ascii="宋体" w:hAnsi="宋体"/>
          <w:sz w:val="24"/>
        </w:rPr>
        <w:t>个交易日提前终止（如该提前终止日为非交易日，或该提前终止日次日为非交易日，则相应顺延至下一个交易日，且该交易日次日不得为非交易日）】”。</w:t>
      </w:r>
    </w:p>
    <w:p>
      <w:pPr>
        <w:pStyle w:val="5"/>
        <w:rPr>
          <w:rFonts w:hint="eastAsia"/>
          <w:lang w:val="en-US" w:eastAsia="zh-CN"/>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本公告自</w:t>
      </w:r>
      <w:r>
        <w:rPr>
          <w:rFonts w:hint="eastAsia" w:ascii="宋体" w:hAnsi="宋体"/>
          <w:sz w:val="24"/>
          <w:lang w:val="en-US" w:eastAsia="zh-CN"/>
        </w:rPr>
        <w:t>2026</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20</w:t>
      </w:r>
      <w:r>
        <w:rPr>
          <w:rFonts w:hint="eastAsia" w:ascii="宋体" w:hAnsi="宋体"/>
          <w:sz w:val="24"/>
        </w:rPr>
        <w:t>日</w:t>
      </w:r>
      <w:r>
        <w:rPr>
          <w:rFonts w:hint="eastAsia" w:ascii="宋体" w:hAnsi="宋体" w:eastAsia="宋体" w:cs="Times New Roman"/>
          <w:kern w:val="2"/>
          <w:sz w:val="24"/>
          <w:szCs w:val="24"/>
          <w:lang w:val="en-US" w:eastAsia="zh-CN" w:bidi="ar-SA"/>
        </w:rPr>
        <w:t>生效，本公告生效之日起为理财产品销售文件的组成部分，理财产品销售文件与本公告内容不一致的，以本公告内容为准。</w:t>
      </w:r>
    </w:p>
    <w:p>
      <w:pPr>
        <w:spacing w:line="360" w:lineRule="auto"/>
        <w:ind w:firstLine="480" w:firstLineChars="200"/>
        <w:rPr>
          <w:rFonts w:hint="eastAsia" w:ascii="宋体" w:hAnsi="宋体"/>
          <w:sz w:val="24"/>
          <w:lang w:val="en-US" w:eastAsia="zh-CN"/>
        </w:rPr>
      </w:pPr>
      <w:r>
        <w:rPr>
          <w:rFonts w:hint="eastAsia" w:ascii="宋体" w:hAnsi="宋体" w:eastAsia="宋体" w:cs="Times New Roman"/>
          <w:kern w:val="2"/>
          <w:sz w:val="24"/>
          <w:szCs w:val="24"/>
          <w:lang w:val="en-US" w:eastAsia="zh-CN" w:bidi="ar-SA"/>
        </w:rPr>
        <w:t>感谢您一直以来对北银理财的信赖与支持！我司将继续为您提供更优质</w:t>
      </w:r>
      <w:r>
        <w:rPr>
          <w:rFonts w:hint="eastAsia" w:ascii="宋体" w:hAnsi="宋体"/>
          <w:sz w:val="24"/>
        </w:rPr>
        <w:t>的理财服务。</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特此公告。</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 xml:space="preserve">                                            北银理财有限责任公司</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 xml:space="preserve">                                             2026</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16</w:t>
      </w:r>
      <w:r>
        <w:rPr>
          <w:rFonts w:hint="eastAsia" w:ascii="宋体" w:hAnsi="宋体"/>
          <w:sz w:val="24"/>
        </w:rPr>
        <w:t>日</w:t>
      </w:r>
    </w:p>
    <w:p>
      <w:pPr>
        <w:pStyle w:val="2"/>
        <w:rPr>
          <w:rFonts w:hint="eastAsia" w:ascii="宋体" w:hAnsi="宋体"/>
          <w:sz w:val="24"/>
          <w:lang w:val="en-US" w:eastAsia="zh-CN"/>
        </w:rPr>
      </w:pPr>
    </w:p>
    <w:p>
      <w:pPr>
        <w:pStyle w:val="5"/>
        <w:rPr>
          <w:rFonts w:hint="eastAsia" w:ascii="宋体" w:hAnsi="宋体"/>
          <w:sz w:val="24"/>
          <w:lang w:val="en-US" w:eastAsia="zh-CN"/>
        </w:rPr>
      </w:pPr>
      <w:r>
        <w:rPr>
          <w:rFonts w:hint="eastAsia" w:ascii="宋体" w:hAnsi="宋体"/>
          <w:sz w:val="24"/>
          <w:lang w:val="en-US" w:eastAsia="zh-CN"/>
        </w:rPr>
        <w:br w:type="page"/>
      </w:r>
    </w:p>
    <w:p>
      <w:pPr>
        <w:rPr>
          <w:rFonts w:hint="eastAsia" w:ascii="宋体" w:hAnsi="宋体"/>
          <w:sz w:val="24"/>
          <w:lang w:val="en-US" w:eastAsia="zh-CN"/>
        </w:rPr>
      </w:pPr>
      <w:r>
        <w:rPr>
          <w:rFonts w:hint="eastAsia" w:ascii="宋体" w:hAnsi="宋体"/>
          <w:sz w:val="24"/>
          <w:lang w:val="en-US" w:eastAsia="zh-CN"/>
        </w:rPr>
        <w:t>附件：</w:t>
      </w:r>
    </w:p>
    <w:tbl>
      <w:tblPr>
        <w:tblStyle w:val="7"/>
        <w:tblpPr w:leftFromText="180" w:rightFromText="180" w:vertAnchor="text" w:horzAnchor="page" w:tblpX="1437" w:tblpY="597"/>
        <w:tblOverlap w:val="never"/>
        <w:tblW w:w="9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380"/>
        <w:gridCol w:w="3473"/>
        <w:gridCol w:w="2075"/>
        <w:gridCol w:w="2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75" w:hRule="atLeast"/>
        </w:trPr>
        <w:tc>
          <w:tcPr>
            <w:tcW w:w="1380" w:type="dxa"/>
            <w:shd w:val="clear" w:color="auto" w:fill="C0C0C0"/>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产品代码</w:t>
            </w:r>
          </w:p>
        </w:tc>
        <w:tc>
          <w:tcPr>
            <w:tcW w:w="3473" w:type="dxa"/>
            <w:shd w:val="clear" w:color="auto" w:fill="C0C0C0"/>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产品名称</w:t>
            </w:r>
          </w:p>
        </w:tc>
        <w:tc>
          <w:tcPr>
            <w:tcW w:w="2075" w:type="dxa"/>
            <w:shd w:val="clear" w:color="auto" w:fill="C0C0C0"/>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产品登记编码</w:t>
            </w:r>
          </w:p>
        </w:tc>
        <w:tc>
          <w:tcPr>
            <w:tcW w:w="2163" w:type="dxa"/>
            <w:shd w:val="clear" w:color="auto" w:fill="C0C0C0"/>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起息日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YJ14250508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北银理财京华远见春系列美元固收封闭式88号理财管理计划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Z7008925000371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2025-11-13</w:t>
            </w:r>
          </w:p>
        </w:tc>
      </w:tr>
      <w:tr>
        <w:tblPrEx>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北银理财京华远见春系列坤钰封闭式22号理财产品（机构版）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YJ01250561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YJ01250465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Z7008925000205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HY01250305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北银理财京华汇盈秋系列瑞盈13M封闭式1号（多元配置策略）理财产品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北银理财京华远见春系列卓远美元270天持有期1号（存款存单策略）理财产品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FYJ01260201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北银理财京华远见春系列坤钰封闭式74号理财产品（机构版）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RZ01250402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YJ01250696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北银理财京华远见春系列坤钰封闭式37号理财产品（机构版）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Z7008925A000070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YJ01250909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北银理财京华远见春系列天天金39号理财产品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Z7008925000557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YJ01251054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北银理财京华远见春系列天天金50号理财产品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Z7008925000625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YJ01251137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北银理财京华远见春系列卓远固收封闭式214号理财产品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Z7008925000683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Z7008926000039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YJ01251053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北银理财京华远见春系列天天金49号理财产品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YJ01250495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北银理财丰收系列京华远见春系列诚享7天持有期1号理财产品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Z7008925000252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YJ14250509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北银理财京华远见春系列美元固收封闭式89号理财管理计划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Z7008925000364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北银理财京华远见春系列行远18M封闭式6号（红利增强策略）理财产品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YJ01250472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Z7008925000505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YJ01251244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北银理财京华远见春系列卓远固收封闭式303号理财产品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Z7008926000035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北银理财京华远见春系列坤钰封闭式59号理财产品（机构版）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YJ01250489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北银理财京华远见春系列智远3M定开1号理财产品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Z7008925000248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YJ01250623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北银理财京华远见春系列坤钰22号理财产品（存款存单策略）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Z7008925A000049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YJ01251270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北银理财京华远见春系列坤钰封闭式92号理财产品（机构版）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Z7008925A000160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RZ01260201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北银理财冬系列恒润12M封闭式27号理财产品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YJ01251066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北银理财京华远见春系列坤钰封闭式69号理财产品（机构版）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YJ01251131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北银理财京华远见春系列坤钰封闭式80号理财产品（机构版）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Z7008925A000133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YJ01250693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北银理财京华远见春系列坤钰封闭式34号理财产品（机构版）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Z7008925A000072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北银理财冬系列恒润12M封闭式24号理财产品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Z7008925A000141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YJ01251068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北银理财京华远见春系列行远私募封闭式16号（全球配置策略）理财产品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YJ01251026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北银理财京华远见春系列智远封闭式16号理财产品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Z7008925000576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YJ01250878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北银理财京华远见春系列坤钰25号理财产品（存款存单策略）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YJ01250829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YJ01250333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北银理财京华远见春系列高远固收周定开1号理财产品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Z7008925000097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HY01250302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北银理财京华汇盈秋系列瑞盈90天持有期1号（多元配置策略）理财产品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Z7008925000089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北银理财京华远见春系列坤钰封闭式54号理财产品（机构版）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Z7008925A000099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YJ01250361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北银理财京华远见春系列诚享180天持有期1号理财产品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北银理财京华远见春系列诚享持有期14天2号（存款存单策略）理财产品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Z7008925000165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YJ01250621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北银理财京华远见春系列行远私募封闭式8号（全球配置策略）理财产品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Z7008925A000053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北银理财京华远见春系列坤钰封闭式56号理财产品（机构版）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YJ01250477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北银理财京华远见春系列智远188天持有期1号理财产品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YJ01250680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北银理财京华远见春系列卓远固收封闭式164号理财产品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YJ01250559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Z7008925000336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YJ01250408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Z7008925000138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北银理财京华远见春系列卓远固收封闭式106号理财产品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北银理财京华远见春系列坤钰封闭式50号理财产品（机构版）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Z7008925A000098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YJ01260126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北银理财京华远见春系列行远15M封闭式1号（红利增强策略）理财产品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Z7008926000076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YJ01250558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YJ01250462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YJ01250683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北银理财京华远见春系列卓远固收封闭式167号理财产品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Z7008925000430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YJ01250267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北银理财京华远见春系列卓远固收封闭式67号理财产品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Z7008925000039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YJ01250253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北银理财京华远见春系列卓远固收封闭式53号理财产品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Z7008925000045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Z7008925000135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RZ01250401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Z7008925A000025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北银理财京华远见春系列坤钰19号理财产品（存款存单策略）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Z7008925A000042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Z7008925000591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YJ01251132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北银理财京华远见春系列慧远188天持有期1号理财产品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Z7008925000663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YJ01250315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北银理财京华远见春系列高远88天持有期1号理财产品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Z7008925000068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YJ01250269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北银理财京华远见春系列卓远固收封闭式69号理财产品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Z7008925000049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YJ01250659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北银理财京华远见春系列智远封闭式13号理财产品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Z7008925000383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YJ01251127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北银理财京华远见春系列坤钰封闭式76号理财产品（机构版）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北银理财京华远见春系列坤钰封闭式62号理财产品（机构版）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YJ01251254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北银理财春系列谋定止盈26号（港股主题方向）理财产品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Z7008926000066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YJ01251052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北银理财京华远见春系列天天金48号理财产品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Z7008925000635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北银理财京华远见春系列易淘金22号现金管理类理财产品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Z7008926000054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YJ01251259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北银理财京华远见春系列坤钰封闭式81号理财产品（机构版）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Z7008925A000166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YJ01250743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北银理财京华远见春系列行远私募封闭式9号（全球配置策略）理财产品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Z7008925A000081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YJ01250541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北银理财京华远见春系列行远25M封闭式2号（大类资产轮动策略）理财产品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Z7008925000296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YJ01251050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北银理财京华远见春系列天天金46号理财产品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Z7008925000627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YJ01250826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Z7008925000504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YJ01250347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Z7008925000110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RZ01250901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北银理财京华润泽冬系列恒润12M封闭式22号理财产品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Z7008925A000105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北银理财京华远见春系列智远45天持有期1号理财产品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Z7008925000065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YJ01250681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北银理财京华远见春系列卓远固收封闭式165号理财产品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Z7008925000423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Z7008924000041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Z7008926000043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YJ01260202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北银理财京华远见春系列易淘金11号现金管理类理财产品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Z7008926000090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北银理财京华远见春系列行远18M封闭式4号（红利增强策略）理财产品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北银理财京华远见春系列行远18M封闭式5号（红利增强策略）理财产品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北银理财京华远见春系列卓远固收封闭式274号理财产品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Z7008925000595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YJ01250824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北银理财京华远见春系列慧远360天持有期1号理财产品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Z7008925000501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北银理财京华远见春系列坤钰封闭式60号理财产品（机构版）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YJ01250459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北银理财京华远见春系列行远12M封闭式4号（大类资产轮动策略）理财产品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Z7008925000201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YJ01250632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北银理财京华远见春系列行远12M封闭式7号（大类资产轮动策略）理财产品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YJ01250870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北银理财京华远见春系列行远380天持有期1号（红利增强策略）理财产品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Z7008925000546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YJ01250634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北银理财京华远见春系列行远12M封闭式9号（大类资产轮动策略）理财产品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Z7008925000378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YJ01250530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北银理财京华远见春系列高远30天持有期1号理财产品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Z7008925000271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XH01251201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北银理财夏系列盛鸿12M私募封闭式1号理财产品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Z7008925A000150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YJ01260118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北银理财京华远见春系列坤钰封闭式72号理财产品（机构版）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Z7008926A000003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YJ01260303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北银理财京华远见春系列坤钰封闭式32号理财产品（机构版）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Z7008926A000036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YJ01250553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Z7008925000305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RZ01250701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北银理财京华润泽冬系列恒润12M封闭式17号理财产品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Z7008925A000076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YJ01250463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YJ01251028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北银理财京华远见春系列智远封闭式18号理财产品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北银理财京华远见春系列行远18M封闭式1号（大类资产轮动策略）理财产品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Z7008925000656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Z7008925000509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北银理财京华远见春系列智远550天持有期1号理财产品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Z7008925000064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北银理财京华远见春系列坤钰封闭式65号理财产品（机构版）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HY01240604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北银理财京华汇盈秋系列多元配置年定开8号理财产品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Z7008924000262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YJ01251250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北银理财京华远见春系列行远18M封闭式9号（大类资产轮动策略）理财产品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Z7008926000046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YJ01260136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北银理财京华远见春系列坤钰封闭式51号理财产品（机构版）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Z7008926A000006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YJ14250505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Z7008925000363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RZ01250602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北银理财京华润泽冬系列恒润12M封闭式15号理财产品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Z7008925A000062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北银理财京华远见春系列卓远固收封闭式275号理财产品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Z7008925000606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北银理财京华远见春系列行远私募封闭式19号（全球配置策略）理财产品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Z7008925A000145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YJ14250315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北银理财京华远见春系列美元固收封闭式79号理财管理计划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Z7008925000084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北银理财京华远见春系列坤钰24号理财产品（存款存单策略）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Z7008925A000084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TG01240348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YJ01241270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北银理财京华远见春系列全球配置270天持有期1号理财产品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Z7008924000612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YJ01251067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北银理财京华远见春系列行远私募封闭式15号（全球配置策略）理财产品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RZ01250801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北银理财京华润泽冬系列恒润12M封闭式19号理财产品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Z7008925A000085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北银理财京华远见春系列易淘金7号现金管理类理财产品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YJ01250454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北银理财京华远见春系列坤钰16号理财产品（存款存单策略）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YJ01250455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北银理财京华远见春系列坤钰17号理财产品（存款存单策略）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Z7008925A000020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YJ01251063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北银理财京华远见春系列坤钰封闭式66号理财产品（机构版）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TG01240363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Z7008924000149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RZ01260306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北银理财冬系列恒润12M封闭式29号理财产品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Z7008926A000052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YJ01251064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北银理财京华远见春系列坤钰封闭式67号理财产品（机构版）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YJ01250619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北银理财京华远见春系列行远私募封闭式6号（全球配置策略）理财产品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Z7008925A000048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YJ01250746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北银理财京华远见春系列行远私募封闭式12号（全球配置策略）理财产品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Z7008925A000083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YJ01251128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北银理财京华远见春系列坤钰封闭式77号理财产品（机构版）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TG01250405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北银理财京华远见春系列天天金33号理财产品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Z7008925000072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Z7008925000590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TG01250403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北银理财京华远见春系列天天金31号理财产品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Z7008925000073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YJ01250593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北银理财京华远见春系列卓远固收封闭式130号理财产品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Z7008925000151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YJ01250923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北银理财京华远见春系列坤钰31号理财产品（存款存单策略）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YJ01251241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北银理财京华远见春系列卓远固收封闭式300号理财产品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YJ01250677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北银理财京华远见春系列卓远固收封闭式161号理财产品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YJ01251136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北银理财京华远见春系列卓远固收封闭式213号理财产品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RZ01250802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北银理财京华润泽冬系列恒润12M封闭式20号理财产品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Z7008925A000092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YJ14251112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北银理财京华远见春系列美元固收封闭式97号理财管理计划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Z7008925000674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YJ01250457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北银理财京华远见春系列行远12M封闭式2号（大类资产轮动策略）理财产品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Z7008925000200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YJ01251070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北银理财京华远见春系列行远私募封闭式18号（全球配置策略）理财产品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YJ01250318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北银理财京华远见春系列坤钰封闭式10号理财产品（机构版）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YJ14250702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北银理财京华远见春系列QDII美元固收定开8号理财产品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Z7008925000446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YJ01250500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北银理财京华远见春系列坤钰封闭式19号理财产品（机构版）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YJ14250703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北银理财京华远见春系列QDII美元固收定开9号理财产品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Z7008925000443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YJ01251029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北银理财京华远见春系列智远封闭式19号理财产品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YJ01250658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北银理财京华远见春系列智远封闭式12号理财产品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Z7008925000386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YJ01250672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北银理财京华远见春系列诚享7天持有期24号理财产品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Z7008925000417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YJ01251108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YJ01250562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北银理财京华远见春系列恒远固收封闭式40号理财产品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Z7008925000330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YJ14251114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北银理财京华远见春系列美元固收封闭式99号理财管理计划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Z7008925000670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YJ14251101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北银理财京华远见春系列美元固收封闭式37号理财管理计划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Z7008925000681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YJ01250679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北银理财京华远见春系列卓远固收封闭式163号理财产品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北银理财京华远见春系列行远18M封闭式3号（大类资产轮动策略）理财产品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Z7008925000653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YJ01251024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北银理财京华远见春系列智远封闭式14号理财产品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Z7008925000574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YJ01260320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北银理财京华远见春系列行远15M封闭式3号（红利增强策略）理财产品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Z7008926000200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YJ01251025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北银理财京华远见春系列智远封闭式15号理财产品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HY01241208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北银理财京华汇盈秋系列瑞盈60天持有期1号（多元配置策略）理财产品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Z7008924000591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YJ01250851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Z7008925000531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YJ01260119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北银理财京华远见春系列坤钰封闭式73号理财产品（机构版）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Z7008926A000002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YJ01250409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Z7008925000009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北银理财京华远见春系列诚享持有期60天1号（存款存单策略）理财产品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Z7008926000051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YJ01250421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北银理财京华远见春系列诚享持有期14天1号（存款存单策略）理财产品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Z7008925000167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YJ01250625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北银理财京华远见春系列坤钰封闭式23号理财产品（机构版）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Z7008925A000054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YJ01250684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北银理财京华远见春系列卓远固收封闭式168号理财产品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Z7008925000427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YJ01251260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北银理财京华远见春系列坤钰封闭式82号理财产品（机构版）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Z7008925A000161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YJ14250316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北银理财京华远见春系列美元固收封闭式80号理财管理计划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Z7008925000088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TG01240349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Z7008924000135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Z7008925000132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北银理财京华润泽冬系列恒润12M封闭式23号理财产品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HY01241201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北银理财京华汇盈秋系列多元配置年定开6号理财产品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Z7008924000584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RZ01250403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北银理财京华润泽冬系列恒润24M封闭式10号理财产品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Z7008925A000040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YJ14250503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Z7008925000368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YJ01250473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Z7008925000224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YJ14250310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北银理财京华远见春系列美元固收封闭式74号理财管理计划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YJ14250506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Z7008925000366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YJ01250850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YJ01250674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北银理财京华远见春系列诚享7天持有期26号理财产品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YJ14251111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北银理财京华远见春系列美元固收封闭式96号理财管理计划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Z7008925000673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YJ01260255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北银理财京华远见春系列卓远固收封闭式320号理财产品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Z7008926000126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Z7008925000139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YJ01250268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北银理财京华远见春系列卓远固收封闭式68号理财产品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北银理财京华远见春系列行远13M封闭式1号（全球配置策略）理财产品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Z7008925000017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北银理财京华远见春系列卓远固收封闭式271号理财产品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TG01250404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北银理财京华远见春系列天天金32号理财产品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Z7008925000069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YJ01251243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北银理财京华远见春系列卓远固收封闭式302号理财产品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YJ01251218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北银理财京华远见春系列卓远固收封闭式277号理财产品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Z7008926000031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北银理财京华远见春系列坤钰封闭式48号理财产品（机构版）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Z7008925A000093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YJ01250697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北银理财京华远见春系列坤钰封闭式38号理财产品（机构版）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Z7008925A000073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HY01260201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北银理财夏系列千鸿188天持有期1号（科技领先）理财产品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Z7008926000114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北银理财京华远见春系列坤钰封闭式70号理财产品（机构版）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Z7008926A000004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YJ01251248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北银理财京华远见春系列行远18M封闭式7号（大类资产轮动策略）理财产品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Z7008926000047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北银理财京华远见春系列行远18M封闭式4号（大类资产轮动策略）理财产品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Z7008925000655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YJ01250446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北银理财京华远见春系列智远3M定开3号理财产品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Z7008925000231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YJ01250823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北银理财京华远见春系列坤钰封闭式42号理财产品（机构版）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Z7008925A000086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北银理财京华远见春系列卓远固收封闭式253号理财产品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Z7008925000481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YJ01250458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北银理财京华远见春系列行远12M封闭式3号（大类资产轮动策略）理财产品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Z7008925000202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TG14240106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北银理财京华远见春系列QDII美元固收定开6号理财产品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Z7008924000157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YJ01250682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北银理财京华远见春系列卓远固收封闭式166号理财产品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Z7008925000433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YJ01250695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北银理财京华远见春系列坤钰封闭式36号理财产品（机构版）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Z7008925A000064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YJ01251240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RZ01260202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北银理财冬系列丰润封闭式10号理财产品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YJ01251115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北银理财京华远见春系列行远18M封闭式5号（大类资产轮动策略）理财产品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Z7008925000651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北银理财京华远见春系列坤钰20号理财产品（存款存单策略）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TG01250402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北银理财京华远见春系列天天金30号理财产品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Z7008925000070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北银理财京华远见春系列天天金40号理财产品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Z7008925000556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北银理财京华远见春系列坤钰封闭式61号理财产品（机构版）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YJ01250660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北银理财京华远见春系列行远25M封闭式1号（红利增强策略）理财产品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Z7008925000400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YJ01260282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北银理财京华远见春系列全球配置30天持有期1号理财产品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Z7008926000158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YJ01250480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北银理财京华远见春系列智远90天持有期1号理财产品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YJ01251255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北银理财春系列谋定止盈27号（港股主题方向）理财产品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Z7008926000068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YJ01250496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北银理财丰收系列京华远见春系列诚享7天持有期2号理财产品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Z7008925000253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YJ01250631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北银理财京华远见春系列行远12M封闭式6号（大类资产轮动策略）理财产品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Z7008925000379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YJ14250309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北银理财京华远见春系列美元固收封闭式73号理财管理计划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Z7008925000074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YJ14251003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北银理财京华远见春系列卓远美元550天持有期1号（存款存单策略）理财产品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Z7008925000136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YJ01250560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Z7008925000318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YJ01250356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Z7008925000189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FS01251001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北银理财丰收系列京华远见春系列诚享21天持有期1号理财产品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Z7008925000573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北银理财京华远见春系列卓远固收封闭式254号理财产品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Z7008925000482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YJ14250314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北银理财京华远见春系列美元固收封闭式78号理财管理计划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Z7008925000078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YJ01250664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北银理财京华远见春系列谋定止盈18号理财产品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Z7008925000401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YJ01250940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北银理财京华远见春系列高远14天持有期1号理财产品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Z7008925000570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北银理财京华润泽冬系列恒润24M封闭式12号理财产品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Z7008925A000038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YJ01250701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北银理财春系列高远日日盈1号理财产品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北银理财京华远见春系列坤钰21号理财产品（存款存单策略）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Z7008925A000046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Z7008926000017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Z7008925000530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YJ01250624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北银理财京华远见春系列坤钰23号理财产品（存款存单策略）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Z7008925A000051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YJ01250466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YJ01251247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北银理财京华远见春系列行远18M封闭式6号（大类资产轮动策略）理财产品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Z7008926000049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Z7008925000578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YJ01241272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北银理财京华远见春系列全球配置720天持有期1号理财产品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Z7008924000613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北银理财京华远见春系列坤钰封闭式64号理财产品（机构版）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YJ14251113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北银理财京华远见春系列美元固收封闭式98号理财管理计划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YJ01250860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北银理财京华远见春系列谋定止盈21号理财产品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Z7008925000540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YJ01251060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北银理财京华远见春系列全球配置60天持有期1号理财产品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Z7008925000631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YJ14250501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Z7008925000362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YJ01250420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北银理财京华远见春系列卓远固收封闭式90号理财产品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YJ01251135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北银理财京华远见春系列卓远固收封闭式212号理财产品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Z7008925000684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YJ01251126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北银理财京华远见春系列坤钰封闭式75号理财产品（机构版）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Z7008925A000132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YJ01250845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北银理财京华远见春系列坤钰封闭式58号理财产品（机构版）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YJ01250556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Z7008925000317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ZX01251202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北银理财京华远见专享固定期限47号理财产品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TG01250401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北银理财京华远见春系列天天金29号理财产品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Z7008925000071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Z7008925000594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YJ14250111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北银理财京华远见春系列卓远美元90天持有期1号（存款存单策略）理财产品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Z7008925000006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YJ01250853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YJ14250413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北银理财京华远见春系列美元天天金1号理财产品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Z7008925000256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YJ01250317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北银理财京华远见春系列高远270天持有期1号理财产品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Z7008925000066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YJ01250331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北银理财京华远见春系列恒远固收封闭式24号理财产品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Z7008925000095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YJ01251263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北银理财京华远见春系列坤钰封闭式85号理财产品（机构版）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Z7008925A000164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YJ01250924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北银理财京华远见春系列行远36M封闭式1号（分红型）理财产品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Z7008925000569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YJ01250474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北银理财京华远见春系列坤钰封闭式53号理财产品（机构版）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Z7008925A000096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YJ01250644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北银理财京华远见春系列幸福安享封闭式21号理财产品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Z7008925000395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YJ01250540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北银理财京华远见春系列行远25M封闭式1号（大类资产轮动策略）理财产品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Z7008925000292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HY01260203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北银理财夏系列千鸿366天持有期1号（科技领先）理财产品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Z7008926000113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北银理财京华远见春系列天天金42号理财产品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Z7008925000555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YJ01250827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YJ01251129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北银理财京华远见春系列坤钰封闭式78号理财产品（机构版）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Z7008925A000130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YJ01250739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北银理财京华远见春系列行远18M封闭式7号（红利增强策略）理财产品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YJ01250669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Z7008925000418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YJ01250854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北银理财京华远见春系列行远私募封闭式20号（全球配置策略）理财产品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Z7008925A000146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北银理财京华远见春系列天天金41号理财产品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Z7008925000558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YJ01250678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北银理财京华远见春系列卓远固收封闭式162号理财产品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Z7008925000432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YJ01241251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北银理财京华远见春系列行远18M封闭式3号（红利增强策略）理财产品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Z7008924000590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北银理财春系列谋定止盈32号（科创主题）理财产品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Z7008926000072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北银理财京华远见春系列坤钰封闭式63号理财产品（机构版）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北银理财京华远见春系列高远7天持有期1号理财产品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Z7008925000650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YJ01250657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Z7008925000381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Z7008926000041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北银理财京华远见春系列卓远固收封闭式272号理财产品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Z7008925000579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YJ01250861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北银理财京华远见春系列谋定止盈22号理财产品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Z7008925000542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YJ01250617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北银理财京华远见春系列行远私募封闭式4号（全球配置策略）理财产品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Z7008925A000052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TG01240351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YJ01251069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北银理财京华远见春系列行远私募封闭式17号（全球配置策略）理财产品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YJ01250828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Z7008925000503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YJ01260108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北银理财京华远见春系列易淘金23号现金管理类理财产品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Z7008926000052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北银理财京华远见春系列卓远固收封闭式255号理财产品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Z7008925000488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YJ01250699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北银理财京华远见春系列坤钰封闭式40号理财产品（机构版）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Z7008925A000065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YJ01250671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北银理财京华远见春系列诚享7天持有期22号理财产品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Z7008925000420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北银理财京华远见春系列卓远固收封闭式181号理财产品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Z7008925000506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YJ01250461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Z7008925000204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ZX01251201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北银理财京华远见专享固定期限46号理财产品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Z7008925A000142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北银理财京华远见春系列智远380天持有期1号理财产品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YJ01251134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Z7008925000686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YJ01250852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北银理财京华远见春系列卓远固收封闭式197号理财产品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YJ14250504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Z7008925000370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北银理财京华远见春系列卓远固收封闭式250号理财产品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YJ01250471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北银理财京华远见春系列行远私募封闭式1号（全球配置策略）理财产品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Z7008925A000023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YJ01250633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北银理财京华远见春系列行远12M封闭式8号（大类资产轮动策略）理财产品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Z7008925000376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RZ01250502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北银理财京华润泽冬系列恒润12M封闭式13号理财产品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Z7008925A000041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TG01240350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Z7008924000136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YJ01251042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北银理财京华远见春系列天天金22号（存款存单策略）理财产品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YJ01250497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北银理财京华远见春系列坤钰封闭式16号理财产品（机构版）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Z7008925A000031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YJ01250557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Z7008925000306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YJ01250460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北银理财京华远见春系列行远12M封闭式5号（大类资产轮动策略）理财产品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Z7008925000203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YJ01251027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北银理财京华远见春系列智远封闭式17号理财产品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Z7008925000150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北银理财京华远见春系列高远188天持有期1号理财产品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Z7008925000067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YJ01251109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北银理财京华远见春系列卓远固收封闭式256号理财产品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Z7008925000483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YJ01250555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Z7008925000335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YJ01250673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北银理财京华远见春系列诚享7天持有期25号理财产品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TG01250461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北银理财京华远见春系列天天金34号理财产品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Z7008925000235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北银理财京华远见春系列卓远固收封闭式104号理财产品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Z7008925000282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YJ01250645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北银理财京华远见春系列幸福安享封闭式22号理财产品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YJ01250476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北银理财京华远见春系列幸福安享封闭式20号理财产品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Z7008925000227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YJ01250925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北银理财京华远见春系列行远36M封闭式2号（分红型）理财产品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Z7008925000565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YJ01251048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北银理财京华远见春系列天天金37号理财产品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RZ01250601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北银理财京华润泽冬系列恒润12M封闭式14号理财产品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Z7008925A000056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Z7008924000390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YJ01250694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北银理财京华远见春系列坤钰封闭式35号理财产品（机构版）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Z7008925A000067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YJ01250221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北银理财京华远见春系列智远步步高日申季赎1号理财产品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Z7008925000027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YJ01250551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北银理财京华远见春系列美元固收封闭式59号理财管理计划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YJ14250507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北银理财京华远见春系列美元固收封闭式87号理财管理计划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Z7008925000369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YJ01251061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北银理财春系列卓远30天持有期1号（珍惠存存款存单策略）理财产品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Z7008925000638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北银理财京华远见春系列行远私募封闭式21号（全球配置策略）理财产品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Z7008925A000143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北银理财京华远见春系列卓远固收封闭式252号理财产品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Z7008925000480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Z7008926000038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YJ01250864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北银理财京华远见春系列谋定止盈25号理财产品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Z7008925000541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YJ01250348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YJ01250665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北银理财京华远见春系列谋定止盈19号理财产品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Z7008925000404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YJ01250270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YJ01250858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北银理财京华远见春系列诚享120天持有期3号理财产品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Z7008925000533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北银理财京华远见春系列卓远固收封闭式295号理财产品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Z7008926000030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YJ01251249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北银理财京华远见春系列行远18M封闭式8号（大类资产轮动策略）理财产品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Z7008926000048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YJ01250547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北银理财京华远见春系列行远私募封闭式3号（全球配置策略）理财产品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YJ01250464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Z7008925000210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YJ01250620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北银理财京华远见春系列行远私募封闭式7号（全球配置策略）理财产品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Z7008925A000050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Z7008925000575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YJ01250831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YJ01241250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北银理财京华远见春系列行远18M封闭式2号（红利增强策略）理财产品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Z7008924000589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北银理财京华远见春系列坤钰封闭式49号理财产品（机构版）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Z7008925A000095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北银理财京华远见春系列卓远固收封闭式251号理财产品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Z7008925000497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YJ01250855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北银理财京华远见春系列卓远固收封闭式200号理财产品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Z7008925000532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YJ01240928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北银理财京华远见春系列行远750天持有期1号（核心与卫星投资策略）理财产品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Z7008925000001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YJ14250502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北银理财京华远见春系列美元固收封闭式82号理财管理计划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Z7008925000365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TG01240364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北银理财京华远见春系列天天金20号理财产品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Z7008924000150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YJ01260127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北银理财京华远见春系列行远15M封闭式2号（红利增强策略）理财产品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YJ01251230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YJ01250597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北银理财京华远见春系列行远私募封闭式2号（全球配置策略）理财产品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Z7008925A000043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YJ01250686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北银理财京华远见春系列卓远固收封闭式170号理财产品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YJ01251033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北银理财京华远见春系列智远封闭式23号理财产品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YJ01250876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北银理财京华远见春系列行远120天持有期1号（红利增强策略）理财产品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Z7008925000551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YJ01260117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北银理财京华远见春系列坤钰封闭式71号理财产品（机构版）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Z7008926A000001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YJ01250670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北银理财京华远见春系列诚享7天持有期20号理财产品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北银理财京华远见春系列卓远固收封闭式83号理财产品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Z7008925000146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RZ01250702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北银理财京华润泽冬系列恒润12M封闭式18号理财产品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YJ01250362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北银理财京华远见春系列诚享180天持有期2号理财产品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HY01250402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北银理财京华汇盈秋系列瑞盈13M封闭式2号（多元配置策略）理财产品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Z7008925000255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北银理财京华远见春系列卓远步步高日申月赎1号理财产品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Z7008925000004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YJ01250882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北银理财京华远见春系列坤钰封闭式47号理财产品（机构版）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Z7008925A000091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YJ01250666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北银理财京华远见春系列谋定止盈20号理财产品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Z7008925000399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YJ01250475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RZ01260301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北银理财冬系列恒润12M封闭式28号理财产品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Z7008926A000035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YJ01251217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北银理财京华远见春系列卓远固收封闭式276号理财产品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北银理财京华远见春系列卓远固收封闭式279号理财产品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Z7008926000042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RZ01251204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北银理财冬系列恒润12M封闭式26号理财产品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Z7008925A000170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YJ01250931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北银理财京华远见春系列坤钰封闭式57号理财产品（机构版）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YJ01250862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北银理财京华远见春系列谋定止盈23号理财产品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Z7008925000548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YJ01250663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北银理财京华远见春系列谋定止盈17号理财产品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Z7008925000398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YJ01250499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北银理财京华远见春系列坤钰封闭式18号理财产品（机构版）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YJ01250863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北银理财京华远见春系列谋定止盈24号理财产品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YJ01260301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北银理财京华远见春系列坤钰封闭式33号理财产品（机构版）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Z7008926A000038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YJ01250918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北银理财京华汇盈秋系列瑞盈私募封闭式7号（多元配置策略）理财产品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DG01160801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北银理财京华尊享月开放1号理财管理计划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Z7008922000002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DJ01170102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北银理财京华远见固收月开放1号理财管理计划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Z7008922000095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DJ01170104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北银理财京华远见固收月开放2号理财管理计划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Z7008922000145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HY01170401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北银理财京华汇盈春花秋实1期理财管理计划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Z7008922000005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HY01170402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北银理财京华汇盈年年有余1号理财管理计划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Z7008922000025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HY01170502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北银理财京华汇盈年年有余2号理财管理计划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Z7008922000032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HY01170701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北银理财京华汇盈春花秋实2期理财管理计划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Z7008922000009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HY01170902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北银理财京华汇盈春花秋实3期理财管理计划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Z7008922000024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北银理财京华汇盈年年有余5号理财管理计划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HY01171002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北银理财京华汇盈春花秋实4期理财管理计划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Z7008922000021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HY01171103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北银理财京华汇盈年年有余3号理财管理计划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Z7008922000023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HY01171104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北银理财京华汇盈年年有余4号理财管理计划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Z7008922000039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HY01171201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北银理财京华汇盈春花秋实5期理财管理计划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2017-12-19</w:t>
            </w:r>
          </w:p>
        </w:tc>
      </w:tr>
      <w:tr>
        <w:tblPrEx>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HY01180101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北银理财京华汇盈年年有余6号理财管理计划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Z7008922000017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HY01180201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北银理财京华汇盈春花秋实6期理财管理计划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HY01180301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北银理财京华汇盈春花秋实7期理财管理计划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HY01180302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北银理财京华汇盈年年有余7号理财管理计划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HY01200301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北银理财京华汇盈聚益京选1号理财管理计划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Z7008922000020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HY01200501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北银理财京华汇盈聚益京选2号理财管理计划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Z7008922000030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HY01200601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北银理财京华汇盈聚益京选3号理财管理计划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Z7008922000010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HY01210601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北银理财京华汇盈聚益京选年定开1号理财管理计划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Z7008922000018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HY01220501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北银理财京华汇盈聚益京选年定开12号理财管理计划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Z7008922000031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HY01220601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北银理财京华汇盈碳中和京品年定开5号理财管理计划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2022-06-21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HY01220801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北银理财京华汇盈碳中和京品年定开6号理财管理计划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HY01240102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北银理财京华汇盈秋系列多元配置190天持有期理财产品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Z7008924000046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HY01240103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北银理财京华汇盈秋系列多元配置380天持有期理财产品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Z7008924000047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HY01240501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北银理财京华汇盈秋系列多元配置年定开4号理财产品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Z7008924000204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HY01240502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北银理财京华汇盈秋系列多元配置年定开5号理财产品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Z7008924000206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HY01240603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北银理财京华汇盈秋系列多元配置年定开7号理财产品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Z7008924000270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HY01241105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北银理财京华汇盈秋系列共盈18个月封闭式1号理财产品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Z7008924000503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Z7008923000194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Z7008923000195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北银理财京华远见春系列京元宝3号现金管理类理财产品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Z7008923000196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北银理财京华远见春系列京元宝4号现金管理类理财产品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Z7008923000197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北银理财京华远见春系列京元宝5号现金管理类理财产品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Z7008923000198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北银理财京华远见春系列京元宝6号现金管理类理财产品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Z7008923000199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北银理财京华远见春系列京元宝7号现金管理类理财产品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JY01230008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北银理财京华远见春系列京元宝8号现金管理类理财产品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JY01230009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北银理财京华远见春系列京元宝9号现金管理类理财产品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北银理财京华远见春系列京元宝10号现金管理类理财产品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北银理财京华远见春系列京元宝11号现金管理类理财产品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北银理财京华远见春系列京元宝12号现金管理类理财产品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北银理财京华远见春系列京元宝13号现金管理类理财产品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北银理财京华远见春系列京元宝14号现金管理类理财产品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北银理财京华远见春系列京元宝15号现金管理类理财产品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北银理财京华远见春系列京元宝16号现金管理类理财产品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Z7008923000209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北银理财京华远见春系列京元宝17号现金管理类理财产品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北银理财京华远见春系列京元宝18号现金管理类理财产品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JY01230019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北银理财京华远见春系列京元宝19号现金管理类理财产品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北银理财京华远见春系列京元宝20号现金管理类理财产品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北银理财京华远见春系列京元宝21号现金管理类理财产品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北银理财京华远见春系列京元宝22号现金管理类理财产品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北银理财京华远见春系列京元宝23号现金管理类理财产品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北银理财京华远见春系列京元宝24号现金管理类理财产品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北银理财京华远见春系列京元宝25号现金管理类理财产品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北银理财京华远见春系列京元宝26号现金管理类理财产品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北银理财京华远见春系列京元宝27号现金管理类理财产品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Z7008923000220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北银理财京华远见春系列京元宝28号现金管理类理财产品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Z7008923000221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JY01230029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北银理财京华远见春系列京元宝29号现金管理类理财产品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JY01230030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北银理财京华远见春系列京元宝30号现金管理类理财产品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Z7008923000223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RZ01230101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北银理财京华润泽私募股权封闭式1号理财管理计划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Z7008923A000003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RZ01230102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北银理财京华润泽冬系列私募股权封闭式2号理财管理计划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Z7008923A000015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RZ01230103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北银理财京华润泽冬系列私募股权封闭式3号理财管理计划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Z7008923A000016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RZ01240501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北银理财京华润泽冬系列私募股权封闭式4号理财产品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Z7008924A000022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RZ01240801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北银理财京华润泽冬系列丰润封闭式5号理财产品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Z7008924A000049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RZ01241100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北银理财京华润泽冬系列丰润封闭式7号理财产品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Z7008924A000055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RZ01241201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北银理财京华润泽冬系列丰润封闭式8号理财产品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Z7008924A000064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TG01150501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Z7008922000130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2015-05-26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北银理财京华远见七日淘金理财管理计划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Z7008922000154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TG01160102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Z7008922000080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TG01160501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Z7008922000186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TG01160502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Z7008922000133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2016-06-24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TG01160601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TG01160701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Z7008922000155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TG01160702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Z7008922000079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TG01160801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Z7008922000093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TG01160901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北银理财京华远见年开放7号理财管理计划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Z7008922000105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2016-09-06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北银理财京华远见年开放8号理财管理计划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Z7008922000152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TG01161101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北银理财京华远见年开放9号理财管理计划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2016-11-03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TG01161201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北银理财京华远见年开放10号理财管理计划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Z7008922000120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TG01170202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TG01170301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Z7008922000047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TG01170302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北银理财京华远见薪满益足理财管理计划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Z7008922000066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TG01170702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Z7008922000131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TG01170703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北银理财京华远见半年开放7号理财管理计划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Z7008922000153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TG01170901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北银理财京华远见半年开放10号理财管理计划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Z7008922000091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北银理财京华远见半年开放11号理财管理计划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TG01171101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北银理财京华远见半年开放12号理财管理计划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Z7008922000168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TG01171104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北银理财京华远见半年开放13号理财管理计划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TG01171105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Z7008922000057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TG01171106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Z7008922000142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TG01171107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北银理财京华远见半年开放14号理财管理计划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Z7008922000072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TG01171204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北银理财京华远见得益双鑫1号理财管理计划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TG01171205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北银理财京华远见半年开放15号理财管理计划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Z7008922000071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2017-12-28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北银理财京华远见得益双鑫2号理财管理计划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Z7008922000085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TG01180103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Z7008922000040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TG01180301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北银理财京华远见得益双鑫3号理财管理计划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Z7008922000173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TG01180302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北银理财京华远见年开放17号理财管理计划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Z7008922000050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TG01180403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北银理财京华远见得益双鑫4号理财管理计划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Z7008922000123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TG01180901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北银理财京华远见得益双鑫5号理财管理计划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Z7008922000096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TG01180902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Z7008922000178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北银理财京华远见得益双鑫6号理财管理计划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Z7008922000143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2018-10-26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北银理财京华远见得益双鑫7号理财管理计划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Z7008922000049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2018-12-26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TG01181202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2018-12-26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TG01190701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北银理财京华远见易淘金现金管理类理财管理计划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Z7008922000052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TG01190801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北银理财京华远见京鹰联动1号理财管理计划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Z7008922000088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TG01190911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北银理财京华远见年开放18号理财管理计划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Z7008922000181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TG01190912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北银理财京华远见鑫益盈金11号理财管理计划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Z7008922000058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TG01190913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北银理财京华远见年开放19号理财管理计划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Z7008922000160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TG01190914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北银理财京华远见鑫益盈金12号理财管理计划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北银理财京华远见京鹰联动2号理财管理计划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Z7008922000101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TG01191011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北银理财京华远见鑫益盈金13号理财管理计划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Z7008922000098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TG01191012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北银理财京华远见鑫益盈金14号理财管理计划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Z7008922000082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TG01191013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北银理财京华远见得益双鑫18号理财管理计划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Z7008922000059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2019-10-23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TG01191101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北银理财京华远见京鹰联动3号理财管理计划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Z7008922000041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2019-11-11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TG01191112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北银理财京华远见鑫益盈金16号理财管理计划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2019-11-13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北银理财京华远见京鹰联动4号理财管理计划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Z7008922000174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2019-12-10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TG01191214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北银理财京华远见鑫益盈金22号理财管理计划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Z7008922000060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2019-12-25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北银理财京华远见京鹰联动5号理财管理计划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Z7008922000169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TG01200111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北银理财京华远见鑫益盈金23号理财管理计划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Z7008922000118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北银理财京华远见京鹰联动6号理财管理计划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Z7008922000054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TG01200213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北银理财京华远见鑫益盈金28号理财管理计划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Z7008922000124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TG01200313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北银理财京华远见鑫益盈金32号理财管理计划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Z7008922000167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TG01200411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北银理财京华远见鑫益盈金33号理财管理计划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Z7008922000046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TG01200412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北银理财京华远见鑫益盈金34号理财管理计划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TG01200413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北银理财京华远见鑫益盈金35号理财管理计划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Z7008922000078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TG01200511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北银理财京华远见鑫益盈金36号理财管理计划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Z7008922000073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TG01200611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北银理财京华远见鑫益盈金39号理财管理计划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Z7008922000109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TG01200612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北银理财京华远见鑫益盈金40号理财管理计划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Z7008922000176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TG01200711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北银理财京华远见鑫益盈金42号理财管理计划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Z7008922000164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TG01200712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北银理财京华远见鑫益盈金43号理财管理计划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Z7008922000139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TG01200713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北银理财京华远见鑫益盈金44号理财管理计划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Z7008922000157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TG01201011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北银理财京华远见鑫益盈金47号理财管理计划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Z7008922000172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2020-10-21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TG01201111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北银理财京华远见鑫益盈金48号理财管理计划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Z7008922000081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2020-11-18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TG01201112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北银理财京华远见科创京品1号理财管理计划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Z7008922000056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2020-11-06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TG01201212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北银理财京华远见科创京品2号理财管理计划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Z7008922000042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2020-12-08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北银理财京华远见医宝金现金管理类理财管理计划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Z7008922000184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TG01210111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北银理财京华远见鑫益盈金50号理财管理计划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Z7008922000150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TG01210112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北银理财京华远见科创京品3号理财管理计划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Z7008922000159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TG01210202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北银理财京华远见易淘金（新客）现金管理类理财管理计划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Z7008922000084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TG01210211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北银理财京华远见鑫益盈金51号理财管理计划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Z7008922000175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TG01210212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北银理财京华远见科创京品4号理财管理计划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Z7008922000069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TG01210311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北银理财京华远见鑫益盈金52号理财管理计划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TG01210312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北银理财京华远见科创京品5号理财管理计划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Z7008922000125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TG01210411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北银理财京华远见鑫益盈金53号理财管理计划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Z7008922000086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TG01210412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北银理财京华远见科创京品6号理财管理计划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Z7008922000075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TG01210502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北银理财京华远见易淘金尊享现金管理类理财管理计划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Z7008922000156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TG01210511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北银理财京华远见鑫益盈金54号理财管理计划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Z7008922000136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TG01210611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北银理财京华远见鑫益盈金55号理财管理计划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TG01210711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北银理财京华远见鑫益盈金56号理财管理计划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Z7008922000092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北银理财京华远见京鹰联动双月定开1号理财管理计划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Z7008922000132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北银理财京华远见鑫益盈金59号理财管理计划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北银理财京华远见基础设施公募REITs京品1号理财管理计划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Z7008922000089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北银理财京华远见京鹰联动双月定开2号理财管理计划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Z7008922000070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TG01220202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北银理财京华远见鑫益盈金60号理财管理计划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TG01220301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北银理财京华远见鑫益盈金61号理财管理计划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Z7008922000161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TG01220302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北银理财京华远见基础设施公募REITs京品2号理财管理计划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Z7008922000076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TG01220401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北银理财京华远见鑫益盈金62号理财管理计划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Z7008922000048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TG01220501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北银理财京华远见基础设施公募REITs京品3号理财管理计划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Z7008922000103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TG01220603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北银理财京华远见定增京品8号理财管理计划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Z7008922000090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2022-06-24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TG01220701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北银理财京华远见基础设施公募REITs京品4号理财管理计划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Z7008922000180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2022-07-12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TG01220901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北银理财京华远见基础设施公募REITs京品5号理财管理计划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Z7008922000068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TG01221001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北银理财京华远见诚享60天持有期理财管理计划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2022-10-18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TG01221002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北银理财京华远见诚享720天持有期理财管理计划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Z7008922000053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TG01221102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北银理财京华远见倍享180天周期型理财管理计划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Z7008922000189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2022-11-03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TG01221103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北银理财京华远见倍享360天周期型理财管理计划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Z7008922000188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2022-11-03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北银理财京华远见天天金理财管理计划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Z7008923000001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TG01230110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北银理财京华远见绿色发展京品30个月定开1号理财管理计划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Z7008923000010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TG01230313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北银理财京华远见春系列倍享90天周期型理财管理计划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Z7008923000039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TG01230601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Z7008923000082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TG01230602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Z7008923000083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TG01230603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Z7008923000086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TG01230604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北银理财京华远见春系列诚享100天持有期理财管理计划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TG01230801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北银理财京华远见绿色发展京品18个月定开2号理财管理计划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TG01230803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北银理财京华远见春系列诚享30天持有期理财管理计划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Z7008923000090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TG01230805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北银京华远见春系列红利京品年定开1号理财管理计划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Z7008923000092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TG01230901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北银理财京华远见春系列红利京品年定开2号理财管理计划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Z7008923000124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TG01230902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北银理财京华远见春系列红利京品年定开3号理财管理计划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Z7008923000125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2023-10-25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TG01230903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北银理财京华远见春系列红利京品年定开4号理财管理计划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2023-11-03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TG01230904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北银理财京华远见春系列红利京品年定开5号理财管理计划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TG01231005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北银理财京华远见春系列日享金现金管理类理财产品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Z7008923000156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2023-10-24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TG01231016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北银理财京华远见春系列易淘金2号现金管理类理财产品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TG01231017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北银理财京华远见春系列易淘金3号现金管理类理财产品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Z7008923000178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TG01231019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北银理财京华远见春系列易淘金5号现金管理类理财产品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Z7008923000180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TG01231020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北银理财京华远见春系列易淘金6号现金管理类理财产品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Z7008923000181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TG01231022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北银理财京华远见春系列易淘金8号现金管理类理财产品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Z7008923000183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TG01231023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北银理财京华远见春系列易淘金9号现金管理类理财产品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Z7008923000184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TG01231024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北银理财京华远见春系列易淘金10号现金管理类理财产品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Z7008923000185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2023-12-20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北银理财京华远见春系列易淘金16号现金管理类理财产品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北银理财京华远见春系列易淘金17号现金管理类理财产品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Z7008923000235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北银理财京华远见春系列易淘金18号现金管理类理财产品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Z7008923000236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TG01231104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北银理财京华远见春系列易淘金19号现金管理类理财产品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TG01231105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北银理财京华远见春系列易淘金20号现金管理类理财产品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Z7008923000238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北银理财京华远见春系列薪满益足30天周期型理财产品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Z7008924000003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北银理财京华远见春系列珍享7天（存款存单策略）持有期理财产品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Z7008924000004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Z7008924000026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Z7008924000027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TG01240109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Z7008924000036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Z7008924000038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Z7008924000039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Z7008924000040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TG01240115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北银理财京华远见春系列诚享30天持有期2号理财产品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Z7008924000042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北银理财京华远见春系列诚享30天持有期3号理财产品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Z7008924000043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TG01240117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北银理财京华远见春系列诚享30天持有期5号理财产品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TG01240245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北银理财京华远见春系列固收封闭式175号理财产品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Z7008924000095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TG01240246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北银理财京华远见春系列固收封闭式176号理财产品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Z7008924000096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TG01240251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北银理财京华远见春系列固收封闭式181号理财产品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Z7008924000101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TG01240252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北银理财京华远见春系列固收封闭式182号理财产品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Z7008924000102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TG01240253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北银理财京华远见春系列固收封闭式183号理财产品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Z7008924000103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TG01240256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北银理财京华远见春系列固收封闭式186号理财产品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Z7008924000106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TG01240263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北银理财京华远见春系列谋定止盈10号理财产品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TG01240264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北银理财京华远见春系列诚享60天持有期2号理财产品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TG01240265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北银理财京华远见春系列诚享60天持有期3号理财产品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TG01240343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TG01240344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Z7008924000130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TG01240345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Z7008924000131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TG01240346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Z7008924000132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TG01240347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Z7008924000133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TG01240361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Z7008924000147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TG01240362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北银理财京华远见春系列天天金18号理财产品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Z7008924000148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TG01240365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北银理财京华远见春系列易淘金26号现金管理类理财产品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Z7008924000151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TG01240367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北银理财京华远见春系列易淘金28号现金管理类理财产品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Z7008924000153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TG01241351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北银理财京华远见春系列诚享100天持有期1号理财产品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Z7008924000161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TG01241353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北银理财京华远见春系列诚享120天持有期1号理财产品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Z7008924000163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TG01241405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Z7008924000166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TG01241407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Z7008924000168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TG01241408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北银理财京华汇盈秋系列多元配置年定开1号理财产品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Z7008924000172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TG01241409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Z7008924000173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TG01241410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Z7008924000174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TG01241411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北银理财京华汇盈秋系列多元配置年定开2号理财产品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Z7008924000175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TG01241412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北银理财京华汇盈秋系列多元配置年定开3号理财产品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Z7008924000176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TG02231201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北银理财京华远见春系列日开薪1号现金管理类理财产品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Z7008923000266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TG14230301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北银理财京华远见春系列QDII美元固收年定开1号理财管理计划</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Z7008923000037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TG14240101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北银理财京华远见春系列QDII美元固收定开2号理财产品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Z7008924000032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TG14240102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北银理财京华远见春系列QDII美元固收定开3号理财产品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Z7008924000033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TG14240103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北银理财京华远见春系列QDII美元固收定开4号理财产品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Z7008924000034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TG14240105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北银理财京华远见春系列QDII美元固收定开5号理财产品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Z7008924000156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YJ01240516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Z7008924000198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YJ01240517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Z7008924000197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YJ01240518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Z7008924000199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YJ01240601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Z7008924000209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YJ01240602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YJ01240603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YJ01240604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YJ01240605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Z7008924000210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YJ01240614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北银理财京华远见春系列高远固收双周定开1号理财产品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Z7008924000267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北银理财京华远见春系列全球配置固收定开12号理财产品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Z7008924000259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北银理财京华远见春系列全球配置固收定开13号理财产品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Z7008924000272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北银理财京华远见春系列全球配置固收定开14号理财产品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Z7008924000264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YJ01240721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北银理财京华远见春系列全球配置90天持有期1号理财产品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Z7008924000285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YJ01240747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北银理财京华远见春系列固收封闭式224号理财产品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Z7008924000318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YJ01240793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YJ01240794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Z7008924000288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YJ01240795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Z7008924000289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YJ01240799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北银理财京华润泽冬系列恒润36M封闭式1号理财产品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Z7008924A000045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YJ01240801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北银理财京华远见春系列全球配置180天持有期1号理财产品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Z7008924000344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YJ01240804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北银理财京华远见春系列卓远固收550天持有期1号理财产品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Z7008924000349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YJ01240805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北银理财京华远见春系列卓远固收90天周期型1号理财产品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Z7008924000350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Z7008924000389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Z7008924000386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YJ01240908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Z7008924000387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YJ01240909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Z7008924000388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YJ01240929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北银理财京华远见春系列高远60天持有期1号理财产品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Z7008924000438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YJ01240951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Z7008924000477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YJ01240958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Z7008924000464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YJ01240971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北银理财京华远见春系列诚享30天持有期11号理财产品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Z7008924000482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YJ01240972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北银理财京华远见春系列诚享30天持有期12号理财产品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Z7008924000460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YJ01241101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北银理财京华远见春系列诚享7天持有期21号理财产品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Z7008924000488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YJ01241103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北银理财京华远见春系列易淘金60号现金管理类理财产品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Z7008924000489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YJ01241112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北银理财京华远见春系列诚享60天持有期21号理财产品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Z7008924000495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YJ01241118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北银理财京华远见春系列行远18M封闭式1号（红利增强策略）理财产品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YJ01241121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北银理财京华远见春系列诚享7天持有期23号理财产品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Z7008924000529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YJ01249001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北银理财京华远见春系列天天金21号（存款存单策略）理财产品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Z7008924000391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YJ01249010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北银理财京华远见春系列诚享持有期30天1号（存款存单策略）理财产品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Z7008924000399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YJ01249020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北银理财京华远见春系列易淘金21号现金管理类理财产品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Z7008924000416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Z7008924000593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YJ01250102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Z7008924000595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Z7008924000596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北银理财京华远见春系列恒远固收封闭式19号理财产品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Z7008924000592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北银理财京华远见春系列恒远固收封闭式20号理财产品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Z7008924000594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Z7008924000607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Z7008924000611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Z7008924000610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Z7008924000609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YJ01250115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Z7008924000608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Z7008925000022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Z7008925000019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YJ01250214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YJ01250215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北银理财京华远见春系列幸福安享封闭式9号理财产品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YJ01250216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Z7008925000023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北银理财京华远见春系列诚享5天持有期1号理财产品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Z7008925000056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YJ01250311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北银理财京华远见春系列诚享28天持有期1号理财产品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Z7008925000055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YJ01250320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Z7008925000076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YJ01250321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Z7008925000079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YJ01250322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Z7008925000085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YJ01250323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Z7008925000080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YJ01250324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北银理财京华远见春系列幸福安享封闭式15号理财产品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Z7008925000081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YJ01250328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北银理财京华远见春系列恒远固收封闭式21号理财产品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Z7008925000090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YJ01250329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北银理财京华远见春系列恒远固收封闭式22号理财产品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Z7008925000093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YJ01250330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北银理财京华远见春系列恒远固收封闭式23号理财产品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Z7008925000096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YJ01250332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北银理财京华远见春系列恒远固收封闭式25号理财产品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Z7008925000091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YJ01250334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北银理财京华远见春系列诚享5天持有期2号理财产品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YJ01250335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北银理财京华远见春系列诚享5天持有期3号理财产品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Z7008925000107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YJ01250336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北银理财京华远见春系列诚享5天持有期4号理财产品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Z7008925000111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YJ01250338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北银理财京华远见春系列诚享5天持有期6号理财产品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YJ01250339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Z7008925000108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YJ01250340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Z7008925000112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YJ01250341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北银理财京华远见春系列诚享7天持有期14号理财产品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Z7008925000120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YJ01250342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Z7008925000117</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YJ01250343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北银理财京华远见春系列诚享7天持有期16号理财产品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Z7008925000109</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YJ01250344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YJ01250345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Z7008925000121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YJ01250346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北银理财京华远见春系列诚享14天持有期8号理财产品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Z7008925000118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YJ01250426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北银理财京华远见春系列诚享持有期7天1号（存款存单策略）理财产品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Z7008925000166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ZX01240403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北银理财京华远见春系列尊享13号理财产品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Z7008924A000013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ZX01240404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北银理财京华远见春系列尊享16号理财产品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Z7008924A000014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ZX01240405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北银理财京华远见春系列尊享17号理财产品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Z7008924A000015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ZX01240406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北银理财京华远见春系列尊享18号理财产品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Z7008924A000016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2024-04-30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YJ01251226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北银理财京华远见春系列卓远固收封闭式285号理财产品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Z7008926000014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YJ01250554</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北银理财京华远见春系列恒远固收封闭式32号理财产品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Z7008925000328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YJ14250701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北银理财京华远见春系列QDII美元固收定开7号理财产品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Z7008925000436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YJ01260123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北银理财春系列谋定止盈33号（科创主题）理财产品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Z7008926000071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YJ01250266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北银理财京华远见春系列卓远固收封闭式66号理财产品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Z7008925000043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YJ01250456</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北银理财京华远见春系列坤钰18号理财产品（存款存单策略）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Z7008925A000021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YJ01251112</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北银理财京华远见春系列行远18M封闭式2号（大类资产轮动策略）理财产品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Z7008925000652</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FYJ01260301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北银理财春系列坤曜36M封闭式1号理财产品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Z7008926A000048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YJ01250445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北银理财京华远见春系列智远3M定开2号理财产品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Z7008925000230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YJ01250908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北银理财京华远见春系列天天金38号理财产品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Z7008925000554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YJ01250618</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北银理财京华远见春系列行远私募封闭式5号（全球配置策略）理财产品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Z7008925A000045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YJ01251219</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北银理财京华远见春系列卓远固收封闭式278号理财产品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Z7008926000028</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YJ01251065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北银理财京华远见春系列坤钰封闭式68号理财产品（机构版）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Z7008925A000124</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YJ01250505</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北银理财京华远见春系列坤钰封闭式21号理财产品（机构版）</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Z7008925A000035</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YJ01251110</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Z7008925000643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YJ01251003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北银理财京华远见春系列卓远固收封闭式273号理财产品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Z7008925000586</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YJ01250913</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北银理财京华远见春系列坤钰26号理财产品（存款存单策略）</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Z7008925A000100</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2025-12-30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YJ01260271</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北银理财京华远见春系列卓远固收封闭式410号理财产品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Z7008926000131</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2026-03-31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380"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YJ01250407</w:t>
            </w:r>
          </w:p>
        </w:tc>
        <w:tc>
          <w:tcPr>
            <w:tcW w:w="347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北银理财京华远见春系列卓远固收封闭式77号理财产品</w:t>
            </w:r>
          </w:p>
        </w:tc>
        <w:tc>
          <w:tcPr>
            <w:tcW w:w="2075"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Z7008925000133</w:t>
            </w:r>
          </w:p>
        </w:tc>
        <w:tc>
          <w:tcPr>
            <w:tcW w:w="2163" w:type="dxa"/>
            <w:shd w:val="clear" w:color="auto" w:fill="auto"/>
            <w:textDirection w:val="lrTb"/>
            <w:vAlign w:val="bottom"/>
          </w:tcPr>
          <w:p>
            <w:pPr>
              <w:keepNext w:val="0"/>
              <w:keepLines w:val="0"/>
              <w:widowControl/>
              <w:suppressLineNumbers w:val="0"/>
              <w:jc w:val="left"/>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2025-05-29</w:t>
            </w:r>
          </w:p>
        </w:tc>
      </w:tr>
    </w:tbl>
    <w:p>
      <w:pPr>
        <w:pStyle w:val="2"/>
        <w:rPr>
          <w:rFonts w:hint="eastAsia"/>
          <w:lang w:val="en-US" w:eastAsia="zh-CN"/>
        </w:rPr>
      </w:pPr>
      <w:bookmarkStart w:id="0" w:name="_GoBack"/>
      <w:bookmarkEnd w:id="0"/>
    </w:p>
    <w:p>
      <w:pPr>
        <w:pStyle w:val="5"/>
        <w:rPr>
          <w:rFonts w:hint="eastAsia" w:ascii="宋体" w:hAnsi="宋体"/>
          <w:sz w:val="24"/>
          <w:lang w:val="en-US" w:eastAsia="zh-CN"/>
        </w:rPr>
      </w:pPr>
    </w:p>
    <w:p>
      <w:pPr>
        <w:rPr>
          <w:rFonts w:hint="eastAsia"/>
          <w:lang w:val="en-US" w:eastAsia="zh-CN"/>
        </w:rPr>
      </w:pPr>
    </w:p>
    <w:p>
      <w:pPr>
        <w:pStyle w:val="2"/>
      </w:pPr>
    </w:p>
    <w:p>
      <w:pPr>
        <w:pStyle w:val="5"/>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826876125">
    <w:nsid w:val="314920DD"/>
    <w:multiLevelType w:val="singleLevel"/>
    <w:tmpl w:val="314920DD"/>
    <w:lvl w:ilvl="0" w:tentative="1">
      <w:start w:val="1"/>
      <w:numFmt w:val="chineseCounting"/>
      <w:suff w:val="nothing"/>
      <w:lvlText w:val="%1、"/>
      <w:lvlJc w:val="left"/>
      <w:pPr>
        <w:ind w:left="480" w:leftChars="0" w:firstLine="0" w:firstLineChars="0"/>
      </w:pPr>
      <w:rPr>
        <w:rFonts w:hint="eastAsia"/>
      </w:rPr>
    </w:lvl>
  </w:abstractNum>
  <w:num w:numId="1">
    <w:abstractNumId w:val="8268761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654763"/>
    <w:rsid w:val="0B910156"/>
    <w:rsid w:val="1A0864B0"/>
    <w:rsid w:val="21E15AF3"/>
    <w:rsid w:val="227618F4"/>
    <w:rsid w:val="32305F3D"/>
    <w:rsid w:val="3C8B16E3"/>
    <w:rsid w:val="419E664F"/>
    <w:rsid w:val="43362683"/>
    <w:rsid w:val="455013B2"/>
    <w:rsid w:val="475F5070"/>
    <w:rsid w:val="495E403C"/>
    <w:rsid w:val="5AE3354A"/>
    <w:rsid w:val="5B5E448D"/>
    <w:rsid w:val="5FF20404"/>
    <w:rsid w:val="6A1738E0"/>
    <w:rsid w:val="6E455B09"/>
    <w:rsid w:val="71654763"/>
    <w:rsid w:val="71B71E0E"/>
    <w:rsid w:val="74A155A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rPr>
      <w:rFonts w:ascii="Calibri" w:hAnsi="Calibri"/>
    </w:rPr>
  </w:style>
  <w:style w:type="paragraph" w:styleId="3">
    <w:name w:val="Body Text Indent"/>
    <w:basedOn w:val="1"/>
    <w:next w:val="4"/>
    <w:qFormat/>
    <w:uiPriority w:val="0"/>
    <w:pPr>
      <w:spacing w:after="120"/>
      <w:ind w:left="420" w:leftChars="200"/>
    </w:pPr>
  </w:style>
  <w:style w:type="paragraph" w:styleId="4">
    <w:name w:val="Normal Indent"/>
    <w:basedOn w:val="1"/>
    <w:next w:val="1"/>
    <w:qFormat/>
    <w:uiPriority w:val="0"/>
    <w:pPr>
      <w:ind w:firstLine="420"/>
    </w:pPr>
  </w:style>
  <w:style w:type="paragraph" w:styleId="5">
    <w:name w:val="Body Text"/>
    <w:basedOn w:val="1"/>
    <w:next w:val="1"/>
    <w:unhideWhenUsed/>
    <w:qFormat/>
    <w:uiPriority w:val="99"/>
    <w:pPr>
      <w:spacing w:before="120" w:after="120"/>
    </w:pPr>
  </w:style>
  <w:style w:type="table" w:styleId="8">
    <w:name w:val="Table Grid"/>
    <w:basedOn w:val="7"/>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21690</Words>
  <Characters>45900</Characters>
  <Lines>0</Lines>
  <Paragraphs>0</Paragraphs>
  <ScaleCrop>false</ScaleCrop>
  <LinksUpToDate>false</LinksUpToDate>
  <CharactersWithSpaces>45994</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2026-01-29T01:03:00Z</dcterms:created>
  <dc:creator>鲁西_产品管理部</dc:creator>
  <cp:lastModifiedBy>沈兹玖_产品管理部</cp:lastModifiedBy>
  <dcterms:modified xsi:type="dcterms:W3CDTF">2026-04-16T08:38:44Z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0839214806D04BE397F08FB711FDE3BB</vt:lpwstr>
  </property>
</Properties>
</file>